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80" w:type="dxa"/>
        <w:tblLayout w:type="fixed"/>
        <w:tblLook w:val="0000" w:firstRow="0" w:lastRow="0" w:firstColumn="0" w:lastColumn="0" w:noHBand="0" w:noVBand="0"/>
      </w:tblPr>
      <w:tblGrid>
        <w:gridCol w:w="2260"/>
        <w:gridCol w:w="4807"/>
        <w:gridCol w:w="2385"/>
      </w:tblGrid>
      <w:tr w:rsidR="001F587C" w14:paraId="42CDF0C1" w14:textId="77777777">
        <w:trPr>
          <w:cantSplit/>
          <w:trHeight w:hRule="exact" w:val="1320"/>
        </w:trPr>
        <w:tc>
          <w:tcPr>
            <w:tcW w:w="2260" w:type="dxa"/>
          </w:tcPr>
          <w:p w14:paraId="26F016AE" w14:textId="5BF6186E" w:rsidR="001F587C" w:rsidRPr="00B114E4" w:rsidRDefault="00600D66">
            <w:r w:rsidRPr="00B114E4">
              <w:rPr>
                <w:noProof/>
              </w:rPr>
              <w:drawing>
                <wp:inline distT="0" distB="0" distL="0" distR="0" wp14:anchorId="60AFBF0F" wp14:editId="1E36A28F">
                  <wp:extent cx="1061085" cy="832485"/>
                  <wp:effectExtent l="0" t="0" r="571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61085" cy="832485"/>
                          </a:xfrm>
                          <a:prstGeom prst="rect">
                            <a:avLst/>
                          </a:prstGeom>
                          <a:noFill/>
                          <a:ln>
                            <a:noFill/>
                          </a:ln>
                        </pic:spPr>
                      </pic:pic>
                    </a:graphicData>
                  </a:graphic>
                </wp:inline>
              </w:drawing>
            </w:r>
          </w:p>
        </w:tc>
        <w:tc>
          <w:tcPr>
            <w:tcW w:w="4807" w:type="dxa"/>
          </w:tcPr>
          <w:p w14:paraId="63A2EB46" w14:textId="77777777" w:rsidR="001F587C" w:rsidRDefault="001F587C">
            <w:pPr>
              <w:ind w:right="16"/>
              <w:jc w:val="right"/>
              <w:rPr>
                <w:b/>
                <w:sz w:val="32"/>
              </w:rPr>
            </w:pPr>
            <w:r>
              <w:rPr>
                <w:b/>
                <w:sz w:val="32"/>
              </w:rPr>
              <w:t>STATE OF CONNECTICUT</w:t>
            </w:r>
          </w:p>
        </w:tc>
        <w:tc>
          <w:tcPr>
            <w:tcW w:w="2385" w:type="dxa"/>
          </w:tcPr>
          <w:p w14:paraId="7C28C301" w14:textId="68B3BF83" w:rsidR="001F587C" w:rsidRDefault="001F587C">
            <w:pPr>
              <w:jc w:val="right"/>
              <w:rPr>
                <w:sz w:val="20"/>
              </w:rPr>
            </w:pPr>
          </w:p>
        </w:tc>
      </w:tr>
    </w:tbl>
    <w:p w14:paraId="7199EB76" w14:textId="77777777" w:rsidR="001F587C" w:rsidRDefault="00867840">
      <w:pPr>
        <w:spacing w:line="240" w:lineRule="atLeast"/>
        <w:jc w:val="center"/>
        <w:rPr>
          <w:b/>
        </w:rPr>
      </w:pPr>
      <w:r>
        <w:rPr>
          <w:b/>
        </w:rPr>
        <w:t>PUBLIC UTILITIES REGULATORY AUTHORITY</w:t>
      </w:r>
    </w:p>
    <w:p w14:paraId="38EAF56B" w14:textId="6A613563" w:rsidR="001F587C" w:rsidRDefault="001F587C">
      <w:pPr>
        <w:spacing w:line="240" w:lineRule="atLeast"/>
        <w:jc w:val="center"/>
        <w:rPr>
          <w:b/>
        </w:rPr>
      </w:pPr>
      <w:r>
        <w:rPr>
          <w:b/>
        </w:rPr>
        <w:t>TEN FRANKLIN SQUARE</w:t>
      </w:r>
    </w:p>
    <w:p w14:paraId="28D5E4E9" w14:textId="68284968" w:rsidR="001F587C" w:rsidRDefault="001F587C">
      <w:pPr>
        <w:spacing w:line="240" w:lineRule="atLeast"/>
        <w:jc w:val="center"/>
        <w:rPr>
          <w:b/>
        </w:rPr>
      </w:pPr>
      <w:r>
        <w:rPr>
          <w:b/>
        </w:rPr>
        <w:t>NEW BRITAIN, CT 06051</w:t>
      </w:r>
    </w:p>
    <w:p w14:paraId="30BB8CB9" w14:textId="40C6DF61" w:rsidR="001F587C" w:rsidRDefault="001F587C">
      <w:pPr>
        <w:spacing w:line="240" w:lineRule="atLeast"/>
        <w:jc w:val="center"/>
        <w:rPr>
          <w:b/>
        </w:rPr>
      </w:pPr>
    </w:p>
    <w:p w14:paraId="26125306" w14:textId="77777777" w:rsidR="001F587C" w:rsidRDefault="001F587C">
      <w:pPr>
        <w:spacing w:line="240" w:lineRule="atLeast"/>
        <w:jc w:val="center"/>
        <w:rPr>
          <w:b/>
        </w:rPr>
      </w:pPr>
    </w:p>
    <w:p w14:paraId="2807E167" w14:textId="351D89FE" w:rsidR="001F587C" w:rsidRDefault="001F587C">
      <w:pPr>
        <w:spacing w:line="240" w:lineRule="atLeast"/>
        <w:jc w:val="center"/>
        <w:rPr>
          <w:b/>
        </w:rPr>
      </w:pPr>
    </w:p>
    <w:tbl>
      <w:tblPr>
        <w:tblW w:w="0" w:type="auto"/>
        <w:tblLayout w:type="fixed"/>
        <w:tblLook w:val="0000" w:firstRow="0" w:lastRow="0" w:firstColumn="0" w:lastColumn="0" w:noHBand="0" w:noVBand="0"/>
      </w:tblPr>
      <w:tblGrid>
        <w:gridCol w:w="2825"/>
        <w:gridCol w:w="6698"/>
      </w:tblGrid>
      <w:tr w:rsidR="001F587C" w14:paraId="7894277D" w14:textId="77777777">
        <w:trPr>
          <w:cantSplit/>
        </w:trPr>
        <w:tc>
          <w:tcPr>
            <w:tcW w:w="2825" w:type="dxa"/>
          </w:tcPr>
          <w:p w14:paraId="515EE630" w14:textId="3093D8F4" w:rsidR="001F587C" w:rsidRDefault="001F587C">
            <w:pPr>
              <w:spacing w:line="240" w:lineRule="atLeast"/>
              <w:rPr>
                <w:b/>
                <w:caps/>
              </w:rPr>
            </w:pPr>
            <w:r>
              <w:rPr>
                <w:b/>
                <w:caps/>
              </w:rPr>
              <w:t xml:space="preserve">Docket No. </w:t>
            </w:r>
            <w:r>
              <w:rPr>
                <w:b/>
                <w:caps/>
              </w:rPr>
              <w:fldChar w:fldCharType="begin"/>
            </w:r>
            <w:r>
              <w:rPr>
                <w:b/>
                <w:caps/>
              </w:rPr>
              <w:instrText>Ask Docknum "Enter the docket number of the case (</w:instrText>
            </w:r>
            <w:r>
              <w:rPr>
                <w:b/>
              </w:rPr>
              <w:instrText>i.e.,</w:instrText>
            </w:r>
            <w:r>
              <w:rPr>
                <w:b/>
                <w:caps/>
              </w:rPr>
              <w:instrText xml:space="preserve"> 92-11-11)"</w:instrText>
            </w:r>
            <w:r>
              <w:rPr>
                <w:b/>
                <w:caps/>
              </w:rPr>
              <w:fldChar w:fldCharType="separate"/>
            </w:r>
            <w:bookmarkStart w:id="0" w:name="Docknum"/>
            <w:r w:rsidR="000F69E2">
              <w:rPr>
                <w:b/>
                <w:caps/>
              </w:rPr>
              <w:t>17-01-12</w:t>
            </w:r>
            <w:bookmarkEnd w:id="0"/>
            <w:r>
              <w:rPr>
                <w:b/>
                <w:caps/>
              </w:rPr>
              <w:fldChar w:fldCharType="end"/>
            </w:r>
            <w:r>
              <w:rPr>
                <w:b/>
                <w:caps/>
              </w:rPr>
              <w:fldChar w:fldCharType="begin"/>
            </w:r>
            <w:r>
              <w:rPr>
                <w:b/>
                <w:caps/>
              </w:rPr>
              <w:instrText>ref docknum</w:instrText>
            </w:r>
            <w:r w:rsidR="00150EA4">
              <w:rPr>
                <w:b/>
                <w:caps/>
              </w:rPr>
              <w:instrText xml:space="preserve"> \* MERGEFORMAT </w:instrText>
            </w:r>
            <w:r>
              <w:rPr>
                <w:b/>
                <w:caps/>
              </w:rPr>
              <w:fldChar w:fldCharType="separate"/>
            </w:r>
            <w:r w:rsidR="00B114E4">
              <w:rPr>
                <w:b/>
                <w:caps/>
              </w:rPr>
              <w:t>17-01-12</w:t>
            </w:r>
            <w:r>
              <w:rPr>
                <w:b/>
                <w:caps/>
              </w:rPr>
              <w:fldChar w:fldCharType="end"/>
            </w:r>
          </w:p>
        </w:tc>
        <w:tc>
          <w:tcPr>
            <w:tcW w:w="6698" w:type="dxa"/>
          </w:tcPr>
          <w:p w14:paraId="40B19B00" w14:textId="32F6C99B" w:rsidR="001F587C" w:rsidRDefault="001F587C" w:rsidP="00150EA4">
            <w:pPr>
              <w:spacing w:line="240" w:lineRule="atLeast"/>
              <w:jc w:val="both"/>
              <w:rPr>
                <w:b/>
                <w:caps/>
              </w:rPr>
            </w:pPr>
            <w:r>
              <w:rPr>
                <w:b/>
                <w:caps/>
              </w:rPr>
              <w:fldChar w:fldCharType="begin"/>
            </w:r>
            <w:r>
              <w:rPr>
                <w:b/>
                <w:caps/>
              </w:rPr>
              <w:instrText>Ask title "Enter the complete title</w:instrText>
            </w:r>
            <w:r>
              <w:rPr>
                <w:b/>
                <w:caps/>
              </w:rPr>
              <w:fldChar w:fldCharType="separate"/>
            </w:r>
            <w:bookmarkStart w:id="1" w:name="title"/>
            <w:r w:rsidR="000F69E2">
              <w:rPr>
                <w:b/>
                <w:caps/>
              </w:rPr>
              <w:t>PURA ESTABLISHMENT OF THE MAXIMUM CUSTOMER CHARGE (MRCC) FORMULA FOR NON-HEATING RESIDENTIAL SERVICE</w:t>
            </w:r>
            <w:bookmarkEnd w:id="1"/>
            <w:r>
              <w:rPr>
                <w:b/>
                <w:caps/>
              </w:rPr>
              <w:fldChar w:fldCharType="end"/>
            </w:r>
            <w:r>
              <w:rPr>
                <w:b/>
                <w:caps/>
              </w:rPr>
              <w:fldChar w:fldCharType="begin"/>
            </w:r>
            <w:r>
              <w:rPr>
                <w:b/>
                <w:caps/>
              </w:rPr>
              <w:instrText>ref title</w:instrText>
            </w:r>
            <w:r w:rsidR="00150EA4">
              <w:rPr>
                <w:b/>
                <w:caps/>
              </w:rPr>
              <w:instrText xml:space="preserve"> \* MERGEFORMAT </w:instrText>
            </w:r>
            <w:r>
              <w:rPr>
                <w:b/>
                <w:caps/>
              </w:rPr>
              <w:fldChar w:fldCharType="separate"/>
            </w:r>
            <w:r w:rsidR="00B114E4">
              <w:rPr>
                <w:b/>
                <w:caps/>
              </w:rPr>
              <w:t>PURA ESTABLISHMENT OF THE MAXIMUM CUSTOMER CHARGE (MRCC) FORMULA FOR NON-HEATING RESIDENTIAL SERVICE</w:t>
            </w:r>
            <w:r>
              <w:rPr>
                <w:b/>
                <w:caps/>
              </w:rPr>
              <w:fldChar w:fldCharType="end"/>
            </w:r>
          </w:p>
        </w:tc>
      </w:tr>
    </w:tbl>
    <w:p w14:paraId="66BBD41A" w14:textId="77777777" w:rsidR="001F587C" w:rsidRDefault="001F587C">
      <w:pPr>
        <w:spacing w:line="240" w:lineRule="atLeast"/>
      </w:pPr>
    </w:p>
    <w:p w14:paraId="4EC4E6A6" w14:textId="77777777" w:rsidR="001F587C" w:rsidRDefault="001F587C">
      <w:pPr>
        <w:spacing w:line="240" w:lineRule="atLeast"/>
      </w:pPr>
      <w:bookmarkStart w:id="2" w:name="_GoBack"/>
      <w:bookmarkEnd w:id="2"/>
    </w:p>
    <w:p w14:paraId="72D15C26" w14:textId="77777777" w:rsidR="001F587C" w:rsidRDefault="001F587C">
      <w:pPr>
        <w:spacing w:line="240" w:lineRule="atLeast"/>
      </w:pPr>
    </w:p>
    <w:p w14:paraId="64C90295" w14:textId="77777777" w:rsidR="001F587C" w:rsidRDefault="001F587C">
      <w:pPr>
        <w:spacing w:line="240" w:lineRule="atLeast"/>
        <w:jc w:val="center"/>
      </w:pPr>
    </w:p>
    <w:p w14:paraId="0E74F3CF" w14:textId="2E49F59A" w:rsidR="001F587C" w:rsidRDefault="00B114E4">
      <w:pPr>
        <w:spacing w:line="240" w:lineRule="atLeast"/>
        <w:jc w:val="center"/>
      </w:pPr>
      <w:r>
        <w:fldChar w:fldCharType="begin"/>
      </w:r>
      <w:r>
        <w:instrText xml:space="preserve"> FILLIN  "Enter the distribution date of the draft.  If exact date unknown, enter expected month and year.  i.e., July     , 2015" \d "July 1, 2015" </w:instrText>
      </w:r>
      <w:r>
        <w:fldChar w:fldCharType="separate"/>
      </w:r>
      <w:r w:rsidR="00E1092F">
        <w:t xml:space="preserve">December </w:t>
      </w:r>
      <w:r w:rsidR="005A4ADA">
        <w:t>20</w:t>
      </w:r>
      <w:r w:rsidR="00E1092F">
        <w:t>,</w:t>
      </w:r>
      <w:r w:rsidR="000F69E2">
        <w:t xml:space="preserve"> 2017</w:t>
      </w:r>
      <w:r>
        <w:fldChar w:fldCharType="end"/>
      </w:r>
    </w:p>
    <w:p w14:paraId="37BA1255" w14:textId="77777777" w:rsidR="001F587C" w:rsidRDefault="001F587C">
      <w:pPr>
        <w:spacing w:line="240" w:lineRule="atLeast"/>
        <w:jc w:val="center"/>
      </w:pPr>
    </w:p>
    <w:p w14:paraId="785E2150" w14:textId="77777777" w:rsidR="001F587C" w:rsidRDefault="001F587C">
      <w:pPr>
        <w:spacing w:line="240" w:lineRule="atLeast"/>
        <w:jc w:val="center"/>
      </w:pPr>
      <w:r>
        <w:t xml:space="preserve">By the following </w:t>
      </w:r>
      <w:r w:rsidR="00601882">
        <w:t>Commissioners</w:t>
      </w:r>
      <w:r>
        <w:t>:</w:t>
      </w:r>
    </w:p>
    <w:p w14:paraId="4E31037B" w14:textId="77777777" w:rsidR="001F587C" w:rsidRDefault="001F587C">
      <w:pPr>
        <w:spacing w:line="240" w:lineRule="atLeast"/>
        <w:jc w:val="center"/>
      </w:pPr>
    </w:p>
    <w:p w14:paraId="495F649E" w14:textId="77777777" w:rsidR="001F587C" w:rsidRDefault="001F587C">
      <w:pPr>
        <w:spacing w:line="240" w:lineRule="atLeast"/>
        <w:jc w:val="center"/>
      </w:pPr>
    </w:p>
    <w:tbl>
      <w:tblPr>
        <w:tblW w:w="0" w:type="auto"/>
        <w:tblInd w:w="3682" w:type="dxa"/>
        <w:tblLayout w:type="fixed"/>
        <w:tblLook w:val="0000" w:firstRow="0" w:lastRow="0" w:firstColumn="0" w:lastColumn="0" w:noHBand="0" w:noVBand="0"/>
      </w:tblPr>
      <w:tblGrid>
        <w:gridCol w:w="6152"/>
      </w:tblGrid>
      <w:tr w:rsidR="001F587C" w14:paraId="08EA9BA7" w14:textId="77777777">
        <w:trPr>
          <w:cantSplit/>
        </w:trPr>
        <w:tc>
          <w:tcPr>
            <w:tcW w:w="6152" w:type="dxa"/>
          </w:tcPr>
          <w:p w14:paraId="6BA3E08E" w14:textId="77777777" w:rsidR="001F587C" w:rsidRDefault="00F42687">
            <w:pPr>
              <w:spacing w:line="240" w:lineRule="atLeast"/>
            </w:pPr>
            <w:bookmarkStart w:id="3" w:name="comm1"/>
            <w:bookmarkEnd w:id="3"/>
            <w:r>
              <w:t xml:space="preserve">Katherine S. Dykes </w:t>
            </w:r>
          </w:p>
        </w:tc>
      </w:tr>
      <w:tr w:rsidR="001F587C" w14:paraId="6D1C4A0E" w14:textId="77777777">
        <w:trPr>
          <w:cantSplit/>
        </w:trPr>
        <w:tc>
          <w:tcPr>
            <w:tcW w:w="6152" w:type="dxa"/>
          </w:tcPr>
          <w:p w14:paraId="2B621715" w14:textId="77777777" w:rsidR="001F587C" w:rsidRDefault="00F42687">
            <w:pPr>
              <w:spacing w:line="240" w:lineRule="atLeast"/>
            </w:pPr>
            <w:bookmarkStart w:id="4" w:name="comm2"/>
            <w:bookmarkEnd w:id="4"/>
            <w:r>
              <w:t xml:space="preserve">Michael A. Caron </w:t>
            </w:r>
          </w:p>
        </w:tc>
      </w:tr>
      <w:tr w:rsidR="001F587C" w14:paraId="712D971C" w14:textId="77777777">
        <w:trPr>
          <w:cantSplit/>
        </w:trPr>
        <w:tc>
          <w:tcPr>
            <w:tcW w:w="6152" w:type="dxa"/>
          </w:tcPr>
          <w:p w14:paraId="7151FB96" w14:textId="77777777" w:rsidR="001F587C" w:rsidRDefault="00F42687">
            <w:pPr>
              <w:spacing w:line="240" w:lineRule="atLeast"/>
            </w:pPr>
            <w:bookmarkStart w:id="5" w:name="comm3"/>
            <w:bookmarkEnd w:id="5"/>
            <w:r>
              <w:t xml:space="preserve">John W. Betkoski, III </w:t>
            </w:r>
          </w:p>
        </w:tc>
      </w:tr>
      <w:tr w:rsidR="001F587C" w14:paraId="2A917EB2" w14:textId="77777777">
        <w:trPr>
          <w:cantSplit/>
        </w:trPr>
        <w:tc>
          <w:tcPr>
            <w:tcW w:w="6152" w:type="dxa"/>
          </w:tcPr>
          <w:p w14:paraId="7D0B037B" w14:textId="77777777" w:rsidR="001F587C" w:rsidRDefault="001F587C">
            <w:pPr>
              <w:spacing w:line="240" w:lineRule="atLeast"/>
            </w:pPr>
            <w:bookmarkStart w:id="6" w:name="comm4"/>
            <w:bookmarkStart w:id="7" w:name="four"/>
            <w:bookmarkEnd w:id="6"/>
            <w:bookmarkEnd w:id="7"/>
          </w:p>
        </w:tc>
      </w:tr>
      <w:tr w:rsidR="001F587C" w14:paraId="2AE76D79" w14:textId="77777777">
        <w:trPr>
          <w:cantSplit/>
        </w:trPr>
        <w:tc>
          <w:tcPr>
            <w:tcW w:w="6152" w:type="dxa"/>
          </w:tcPr>
          <w:p w14:paraId="2AB633A1" w14:textId="77777777" w:rsidR="001F587C" w:rsidRDefault="001F587C">
            <w:pPr>
              <w:spacing w:line="240" w:lineRule="atLeast"/>
            </w:pPr>
            <w:bookmarkStart w:id="8" w:name="comm5"/>
            <w:bookmarkEnd w:id="8"/>
          </w:p>
        </w:tc>
      </w:tr>
      <w:tr w:rsidR="00B21ECD" w14:paraId="6ADC7ECD" w14:textId="77777777">
        <w:trPr>
          <w:cantSplit/>
        </w:trPr>
        <w:tc>
          <w:tcPr>
            <w:tcW w:w="6152" w:type="dxa"/>
          </w:tcPr>
          <w:p w14:paraId="0B5F8776" w14:textId="724EA40C" w:rsidR="00B21ECD" w:rsidRDefault="00731C71" w:rsidP="00B21ECD">
            <w:pPr>
              <w:spacing w:line="240" w:lineRule="atLeast"/>
            </w:pPr>
            <w:r>
              <w:t>Lead S</w:t>
            </w:r>
            <w:r w:rsidR="00B21ECD">
              <w:t xml:space="preserve">taff: </w:t>
            </w:r>
            <w:bookmarkStart w:id="9" w:name="LeadStaff"/>
            <w:bookmarkEnd w:id="9"/>
            <w:r w:rsidR="00B21ECD" w:rsidRPr="00731C71">
              <w:fldChar w:fldCharType="begin"/>
            </w:r>
            <w:r w:rsidR="00B21ECD" w:rsidRPr="00731C71">
              <w:instrText xml:space="preserve"> ref Lead</w:instrText>
            </w:r>
            <w:r>
              <w:instrText xml:space="preserve"> \* MERGEFORMAT </w:instrText>
            </w:r>
            <w:r w:rsidR="00B21ECD" w:rsidRPr="00731C71">
              <w:fldChar w:fldCharType="separate"/>
            </w:r>
            <w:r w:rsidR="00B114E4" w:rsidRPr="00B114E4">
              <w:t>R. Skarzynski</w:t>
            </w:r>
            <w:r w:rsidR="00B21ECD" w:rsidRPr="00731C71">
              <w:fldChar w:fldCharType="end"/>
            </w:r>
          </w:p>
        </w:tc>
      </w:tr>
      <w:tr w:rsidR="00B21ECD" w14:paraId="245EBF92" w14:textId="77777777">
        <w:trPr>
          <w:cantSplit/>
        </w:trPr>
        <w:tc>
          <w:tcPr>
            <w:tcW w:w="6152" w:type="dxa"/>
          </w:tcPr>
          <w:p w14:paraId="27F95C82" w14:textId="7D56890D" w:rsidR="00B21ECD" w:rsidRDefault="00B21ECD">
            <w:pPr>
              <w:spacing w:line="240" w:lineRule="atLeast"/>
            </w:pPr>
            <w:r>
              <w:t xml:space="preserve">Legal Advisor: </w:t>
            </w:r>
            <w:bookmarkStart w:id="10" w:name="LegalAdvisor"/>
            <w:bookmarkEnd w:id="10"/>
            <w:r w:rsidRPr="00731C71">
              <w:fldChar w:fldCharType="begin"/>
            </w:r>
            <w:r w:rsidRPr="00731C71">
              <w:instrText xml:space="preserve"> ref Legal</w:instrText>
            </w:r>
            <w:r w:rsidR="00731C71">
              <w:instrText xml:space="preserve"> \* MERGEFORMAT </w:instrText>
            </w:r>
            <w:r w:rsidRPr="00731C71">
              <w:fldChar w:fldCharType="separate"/>
            </w:r>
            <w:r w:rsidR="00B114E4" w:rsidRPr="00B114E4">
              <w:t>R. Luysterborghs</w:t>
            </w:r>
            <w:r w:rsidRPr="00731C71">
              <w:fldChar w:fldCharType="end"/>
            </w:r>
          </w:p>
        </w:tc>
      </w:tr>
    </w:tbl>
    <w:p w14:paraId="61E7FD6F" w14:textId="77777777" w:rsidR="001F587C" w:rsidRDefault="001F587C">
      <w:pPr>
        <w:spacing w:line="240" w:lineRule="atLeast"/>
        <w:jc w:val="center"/>
      </w:pPr>
      <w:r>
        <w:cr/>
      </w:r>
      <w:bookmarkStart w:id="11" w:name="five"/>
      <w:bookmarkEnd w:id="11"/>
    </w:p>
    <w:p w14:paraId="1BF26A69" w14:textId="77777777" w:rsidR="001F587C" w:rsidRDefault="001F587C">
      <w:pPr>
        <w:spacing w:line="240" w:lineRule="atLeast"/>
        <w:jc w:val="center"/>
      </w:pPr>
    </w:p>
    <w:p w14:paraId="3DE904E1" w14:textId="77777777" w:rsidR="001F587C" w:rsidRDefault="001F587C">
      <w:pPr>
        <w:spacing w:line="240" w:lineRule="atLeast"/>
        <w:jc w:val="center"/>
      </w:pPr>
    </w:p>
    <w:p w14:paraId="2F6CF133" w14:textId="77777777" w:rsidR="001F587C" w:rsidRDefault="001F587C">
      <w:pPr>
        <w:spacing w:line="240" w:lineRule="atLeast"/>
        <w:jc w:val="center"/>
      </w:pPr>
    </w:p>
    <w:p w14:paraId="016DF39E" w14:textId="0135838F" w:rsidR="008056B1" w:rsidRDefault="008056B1" w:rsidP="008056B1">
      <w:pPr>
        <w:spacing w:line="240" w:lineRule="atLeast"/>
        <w:jc w:val="center"/>
        <w:rPr>
          <w:b/>
          <w:sz w:val="26"/>
          <w:u w:val="single"/>
        </w:rPr>
      </w:pPr>
      <w:r>
        <w:rPr>
          <w:b/>
          <w:sz w:val="26"/>
          <w:u w:val="single"/>
        </w:rPr>
        <w:t>DECISION</w:t>
      </w:r>
    </w:p>
    <w:p w14:paraId="7227AFD0" w14:textId="77777777" w:rsidR="008056B1" w:rsidRDefault="008056B1" w:rsidP="008056B1">
      <w:pPr>
        <w:spacing w:line="240" w:lineRule="atLeast"/>
      </w:pPr>
    </w:p>
    <w:p w14:paraId="7790C056" w14:textId="77777777" w:rsidR="008056B1" w:rsidRDefault="008056B1" w:rsidP="008056B1">
      <w:pPr>
        <w:spacing w:line="240" w:lineRule="atLeast"/>
      </w:pPr>
    </w:p>
    <w:p w14:paraId="072F9FB4" w14:textId="77777777" w:rsidR="008056B1" w:rsidRDefault="008056B1" w:rsidP="008056B1">
      <w:pPr>
        <w:spacing w:line="240" w:lineRule="atLeast"/>
        <w:rPr>
          <w:b/>
          <w:sz w:val="20"/>
        </w:rPr>
      </w:pPr>
    </w:p>
    <w:p w14:paraId="6624315A" w14:textId="7B929EE9" w:rsidR="00C558DC" w:rsidRDefault="00C558DC">
      <w:pPr>
        <w:spacing w:line="240" w:lineRule="atLeast"/>
        <w:rPr>
          <w:sz w:val="20"/>
        </w:rPr>
        <w:sectPr w:rsidR="00C558DC" w:rsidSect="004B10F5">
          <w:headerReference w:type="default" r:id="rId10"/>
          <w:footerReference w:type="default" r:id="rId11"/>
          <w:footerReference w:type="first" r:id="rId12"/>
          <w:pgSz w:w="12240" w:h="15840" w:code="1"/>
          <w:pgMar w:top="1152" w:right="1440" w:bottom="1152" w:left="1440" w:header="432" w:footer="288" w:gutter="0"/>
          <w:paperSrc w:first="3" w:other="3"/>
          <w:cols w:space="720"/>
          <w:titlePg/>
          <w:docGrid w:linePitch="326"/>
        </w:sectPr>
      </w:pPr>
    </w:p>
    <w:p w14:paraId="3DFFD161" w14:textId="77777777" w:rsidR="003F6BF8" w:rsidRDefault="003F6BF8">
      <w:pPr>
        <w:spacing w:line="240" w:lineRule="atLeast"/>
        <w:rPr>
          <w:sz w:val="20"/>
        </w:rPr>
        <w:sectPr w:rsidR="003F6BF8" w:rsidSect="004B10F5">
          <w:pgSz w:w="12240" w:h="15840" w:code="1"/>
          <w:pgMar w:top="1152" w:right="1440" w:bottom="1152" w:left="1440" w:header="432" w:footer="288" w:gutter="0"/>
          <w:paperSrc w:first="3" w:other="3"/>
          <w:cols w:space="720"/>
          <w:titlePg/>
          <w:docGrid w:linePitch="326"/>
        </w:sectPr>
      </w:pPr>
    </w:p>
    <w:bookmarkStart w:id="12" w:name="StartPage" w:displacedByCustomXml="next"/>
    <w:bookmarkEnd w:id="12" w:displacedByCustomXml="next"/>
    <w:bookmarkStart w:id="13" w:name="begindoc" w:displacedByCustomXml="next"/>
    <w:bookmarkEnd w:id="13" w:displacedByCustomXml="next"/>
    <w:bookmarkStart w:id="14" w:name="pend" w:displacedByCustomXml="next"/>
    <w:bookmarkEnd w:id="14" w:displacedByCustomXml="next"/>
    <w:sdt>
      <w:sdtPr>
        <w:rPr>
          <w:rFonts w:ascii="Arial" w:eastAsia="Times New Roman" w:hAnsi="Arial" w:cs="Times New Roman"/>
          <w:b w:val="0"/>
          <w:bCs w:val="0"/>
          <w:color w:val="auto"/>
          <w:sz w:val="24"/>
          <w:szCs w:val="20"/>
        </w:rPr>
        <w:id w:val="2134742257"/>
        <w:docPartObj>
          <w:docPartGallery w:val="Table of Contents"/>
          <w:docPartUnique/>
        </w:docPartObj>
      </w:sdtPr>
      <w:sdtEndPr>
        <w:rPr>
          <w:noProof/>
        </w:rPr>
      </w:sdtEndPr>
      <w:sdtContent>
        <w:p w14:paraId="14D95991" w14:textId="77777777" w:rsidR="001A4E0D" w:rsidRPr="00F66BCC" w:rsidRDefault="001A4E0D" w:rsidP="001A4E0D">
          <w:pPr>
            <w:pStyle w:val="TOCHeading"/>
            <w:spacing w:before="0"/>
            <w:jc w:val="center"/>
            <w:rPr>
              <w:rFonts w:ascii="Arial" w:hAnsi="Arial" w:cs="Arial"/>
              <w:color w:val="auto"/>
              <w:sz w:val="24"/>
              <w:szCs w:val="24"/>
            </w:rPr>
          </w:pPr>
          <w:r w:rsidRPr="00F66BCC">
            <w:rPr>
              <w:rFonts w:ascii="Arial" w:hAnsi="Arial" w:cs="Arial"/>
              <w:color w:val="auto"/>
              <w:sz w:val="24"/>
              <w:szCs w:val="24"/>
            </w:rPr>
            <w:t>TABLE OF CONTENTS</w:t>
          </w:r>
        </w:p>
        <w:p w14:paraId="714DBDC1" w14:textId="77777777" w:rsidR="001A4E0D" w:rsidRPr="00F66BCC" w:rsidRDefault="001A4E0D" w:rsidP="001A4E0D">
          <w:pPr>
            <w:rPr>
              <w:lang w:eastAsia="ja-JP"/>
            </w:rPr>
          </w:pPr>
        </w:p>
        <w:p w14:paraId="0DA57B9C" w14:textId="77777777" w:rsidR="00F54B08" w:rsidRDefault="009F100B">
          <w:pPr>
            <w:pStyle w:val="TOC1"/>
            <w:rPr>
              <w:rFonts w:asciiTheme="minorHAnsi" w:eastAsiaTheme="minorEastAsia" w:hAnsiTheme="minorHAnsi" w:cstheme="minorBidi"/>
              <w:b w:val="0"/>
              <w:caps w:val="0"/>
              <w:noProof/>
              <w:sz w:val="22"/>
              <w:szCs w:val="22"/>
            </w:rPr>
          </w:pPr>
          <w:r>
            <w:rPr>
              <w:b w:val="0"/>
              <w:bCs/>
              <w:noProof/>
            </w:rPr>
            <w:fldChar w:fldCharType="begin"/>
          </w:r>
          <w:r>
            <w:rPr>
              <w:b w:val="0"/>
              <w:bCs/>
              <w:noProof/>
            </w:rPr>
            <w:instrText xml:space="preserve"> TOC \o "1-5" \h \z \u </w:instrText>
          </w:r>
          <w:r>
            <w:rPr>
              <w:b w:val="0"/>
              <w:bCs/>
              <w:noProof/>
            </w:rPr>
            <w:fldChar w:fldCharType="separate"/>
          </w:r>
          <w:hyperlink w:anchor="_Toc501528246" w:history="1">
            <w:r w:rsidR="00F54B08" w:rsidRPr="00B4339B">
              <w:rPr>
                <w:rStyle w:val="Hyperlink"/>
                <w:noProof/>
              </w:rPr>
              <w:t>I.</w:t>
            </w:r>
            <w:r w:rsidR="00F54B08">
              <w:rPr>
                <w:rFonts w:asciiTheme="minorHAnsi" w:eastAsiaTheme="minorEastAsia" w:hAnsiTheme="minorHAnsi" w:cstheme="minorBidi"/>
                <w:b w:val="0"/>
                <w:caps w:val="0"/>
                <w:noProof/>
                <w:sz w:val="22"/>
                <w:szCs w:val="22"/>
              </w:rPr>
              <w:tab/>
            </w:r>
            <w:r w:rsidR="00F54B08" w:rsidRPr="00B4339B">
              <w:rPr>
                <w:rStyle w:val="Hyperlink"/>
                <w:noProof/>
              </w:rPr>
              <w:t>INTRODUCTION</w:t>
            </w:r>
            <w:r w:rsidR="00F54B08">
              <w:rPr>
                <w:noProof/>
                <w:webHidden/>
              </w:rPr>
              <w:tab/>
            </w:r>
            <w:r w:rsidR="00F54B08">
              <w:rPr>
                <w:noProof/>
                <w:webHidden/>
              </w:rPr>
              <w:fldChar w:fldCharType="begin"/>
            </w:r>
            <w:r w:rsidR="00F54B08">
              <w:rPr>
                <w:noProof/>
                <w:webHidden/>
              </w:rPr>
              <w:instrText xml:space="preserve"> PAGEREF _Toc501528246 \h </w:instrText>
            </w:r>
            <w:r w:rsidR="00F54B08">
              <w:rPr>
                <w:noProof/>
                <w:webHidden/>
              </w:rPr>
            </w:r>
            <w:r w:rsidR="00F54B08">
              <w:rPr>
                <w:noProof/>
                <w:webHidden/>
              </w:rPr>
              <w:fldChar w:fldCharType="separate"/>
            </w:r>
            <w:r w:rsidR="00B114E4">
              <w:rPr>
                <w:noProof/>
                <w:webHidden/>
              </w:rPr>
              <w:t>1</w:t>
            </w:r>
            <w:r w:rsidR="00F54B08">
              <w:rPr>
                <w:noProof/>
                <w:webHidden/>
              </w:rPr>
              <w:fldChar w:fldCharType="end"/>
            </w:r>
          </w:hyperlink>
        </w:p>
        <w:p w14:paraId="2083BC08" w14:textId="77777777" w:rsidR="00F54B08" w:rsidRDefault="00B114E4">
          <w:pPr>
            <w:pStyle w:val="TOC2"/>
            <w:rPr>
              <w:rFonts w:asciiTheme="minorHAnsi" w:eastAsiaTheme="minorEastAsia" w:hAnsiTheme="minorHAnsi" w:cstheme="minorBidi"/>
              <w:b w:val="0"/>
              <w:smallCaps w:val="0"/>
              <w:noProof/>
              <w:sz w:val="22"/>
              <w:szCs w:val="22"/>
            </w:rPr>
          </w:pPr>
          <w:hyperlink w:anchor="_Toc501528247" w:history="1">
            <w:r w:rsidR="00F54B08" w:rsidRPr="00B4339B">
              <w:rPr>
                <w:rStyle w:val="Hyperlink"/>
                <w:noProof/>
              </w:rPr>
              <w:t>A.</w:t>
            </w:r>
            <w:r w:rsidR="00F54B08">
              <w:rPr>
                <w:rFonts w:asciiTheme="minorHAnsi" w:eastAsiaTheme="minorEastAsia" w:hAnsiTheme="minorHAnsi" w:cstheme="minorBidi"/>
                <w:b w:val="0"/>
                <w:smallCaps w:val="0"/>
                <w:noProof/>
                <w:sz w:val="22"/>
                <w:szCs w:val="22"/>
              </w:rPr>
              <w:tab/>
            </w:r>
            <w:r w:rsidR="00F54B08" w:rsidRPr="00B4339B">
              <w:rPr>
                <w:rStyle w:val="Hyperlink"/>
                <w:noProof/>
              </w:rPr>
              <w:t>Summary</w:t>
            </w:r>
            <w:r w:rsidR="00F54B08">
              <w:rPr>
                <w:noProof/>
                <w:webHidden/>
              </w:rPr>
              <w:tab/>
            </w:r>
            <w:r w:rsidR="00F54B08">
              <w:rPr>
                <w:noProof/>
                <w:webHidden/>
              </w:rPr>
              <w:fldChar w:fldCharType="begin"/>
            </w:r>
            <w:r w:rsidR="00F54B08">
              <w:rPr>
                <w:noProof/>
                <w:webHidden/>
              </w:rPr>
              <w:instrText xml:space="preserve"> PAGEREF _Toc501528247 \h </w:instrText>
            </w:r>
            <w:r w:rsidR="00F54B08">
              <w:rPr>
                <w:noProof/>
                <w:webHidden/>
              </w:rPr>
            </w:r>
            <w:r w:rsidR="00F54B08">
              <w:rPr>
                <w:noProof/>
                <w:webHidden/>
              </w:rPr>
              <w:fldChar w:fldCharType="separate"/>
            </w:r>
            <w:r>
              <w:rPr>
                <w:noProof/>
                <w:webHidden/>
              </w:rPr>
              <w:t>1</w:t>
            </w:r>
            <w:r w:rsidR="00F54B08">
              <w:rPr>
                <w:noProof/>
                <w:webHidden/>
              </w:rPr>
              <w:fldChar w:fldCharType="end"/>
            </w:r>
          </w:hyperlink>
        </w:p>
        <w:p w14:paraId="78D146C2" w14:textId="77777777" w:rsidR="00F54B08" w:rsidRDefault="00B114E4">
          <w:pPr>
            <w:pStyle w:val="TOC2"/>
            <w:rPr>
              <w:rFonts w:asciiTheme="minorHAnsi" w:eastAsiaTheme="minorEastAsia" w:hAnsiTheme="minorHAnsi" w:cstheme="minorBidi"/>
              <w:b w:val="0"/>
              <w:smallCaps w:val="0"/>
              <w:noProof/>
              <w:sz w:val="22"/>
              <w:szCs w:val="22"/>
            </w:rPr>
          </w:pPr>
          <w:hyperlink w:anchor="_Toc501528248" w:history="1">
            <w:r w:rsidR="00F54B08" w:rsidRPr="00B4339B">
              <w:rPr>
                <w:rStyle w:val="Hyperlink"/>
                <w:noProof/>
              </w:rPr>
              <w:t>B.</w:t>
            </w:r>
            <w:r w:rsidR="00F54B08">
              <w:rPr>
                <w:rFonts w:asciiTheme="minorHAnsi" w:eastAsiaTheme="minorEastAsia" w:hAnsiTheme="minorHAnsi" w:cstheme="minorBidi"/>
                <w:b w:val="0"/>
                <w:smallCaps w:val="0"/>
                <w:noProof/>
                <w:sz w:val="22"/>
                <w:szCs w:val="22"/>
              </w:rPr>
              <w:tab/>
            </w:r>
            <w:r w:rsidR="00F54B08" w:rsidRPr="00B4339B">
              <w:rPr>
                <w:rStyle w:val="Hyperlink"/>
                <w:noProof/>
              </w:rPr>
              <w:t>Background of the Proceeding</w:t>
            </w:r>
            <w:r w:rsidR="00F54B08">
              <w:rPr>
                <w:noProof/>
                <w:webHidden/>
              </w:rPr>
              <w:tab/>
            </w:r>
            <w:r w:rsidR="00F54B08">
              <w:rPr>
                <w:noProof/>
                <w:webHidden/>
              </w:rPr>
              <w:fldChar w:fldCharType="begin"/>
            </w:r>
            <w:r w:rsidR="00F54B08">
              <w:rPr>
                <w:noProof/>
                <w:webHidden/>
              </w:rPr>
              <w:instrText xml:space="preserve"> PAGEREF _Toc501528248 \h </w:instrText>
            </w:r>
            <w:r w:rsidR="00F54B08">
              <w:rPr>
                <w:noProof/>
                <w:webHidden/>
              </w:rPr>
            </w:r>
            <w:r w:rsidR="00F54B08">
              <w:rPr>
                <w:noProof/>
                <w:webHidden/>
              </w:rPr>
              <w:fldChar w:fldCharType="separate"/>
            </w:r>
            <w:r>
              <w:rPr>
                <w:noProof/>
                <w:webHidden/>
              </w:rPr>
              <w:t>1</w:t>
            </w:r>
            <w:r w:rsidR="00F54B08">
              <w:rPr>
                <w:noProof/>
                <w:webHidden/>
              </w:rPr>
              <w:fldChar w:fldCharType="end"/>
            </w:r>
          </w:hyperlink>
        </w:p>
        <w:p w14:paraId="0F94881A" w14:textId="77777777" w:rsidR="00F54B08" w:rsidRDefault="00B114E4">
          <w:pPr>
            <w:pStyle w:val="TOC2"/>
            <w:rPr>
              <w:rFonts w:asciiTheme="minorHAnsi" w:eastAsiaTheme="minorEastAsia" w:hAnsiTheme="minorHAnsi" w:cstheme="minorBidi"/>
              <w:b w:val="0"/>
              <w:smallCaps w:val="0"/>
              <w:noProof/>
              <w:sz w:val="22"/>
              <w:szCs w:val="22"/>
            </w:rPr>
          </w:pPr>
          <w:hyperlink w:anchor="_Toc501528249" w:history="1">
            <w:r w:rsidR="00F54B08" w:rsidRPr="00B4339B">
              <w:rPr>
                <w:rStyle w:val="Hyperlink"/>
                <w:noProof/>
              </w:rPr>
              <w:t>C.</w:t>
            </w:r>
            <w:r w:rsidR="00F54B08">
              <w:rPr>
                <w:rFonts w:asciiTheme="minorHAnsi" w:eastAsiaTheme="minorEastAsia" w:hAnsiTheme="minorHAnsi" w:cstheme="minorBidi"/>
                <w:b w:val="0"/>
                <w:smallCaps w:val="0"/>
                <w:noProof/>
                <w:sz w:val="22"/>
                <w:szCs w:val="22"/>
              </w:rPr>
              <w:tab/>
            </w:r>
            <w:r w:rsidR="00F54B08" w:rsidRPr="00B4339B">
              <w:rPr>
                <w:rStyle w:val="Hyperlink"/>
                <w:noProof/>
              </w:rPr>
              <w:t>Conduct of the Proceeding</w:t>
            </w:r>
            <w:r w:rsidR="00F54B08">
              <w:rPr>
                <w:noProof/>
                <w:webHidden/>
              </w:rPr>
              <w:tab/>
            </w:r>
            <w:r w:rsidR="00F54B08">
              <w:rPr>
                <w:noProof/>
                <w:webHidden/>
              </w:rPr>
              <w:fldChar w:fldCharType="begin"/>
            </w:r>
            <w:r w:rsidR="00F54B08">
              <w:rPr>
                <w:noProof/>
                <w:webHidden/>
              </w:rPr>
              <w:instrText xml:space="preserve"> PAGEREF _Toc501528249 \h </w:instrText>
            </w:r>
            <w:r w:rsidR="00F54B08">
              <w:rPr>
                <w:noProof/>
                <w:webHidden/>
              </w:rPr>
            </w:r>
            <w:r w:rsidR="00F54B08">
              <w:rPr>
                <w:noProof/>
                <w:webHidden/>
              </w:rPr>
              <w:fldChar w:fldCharType="separate"/>
            </w:r>
            <w:r>
              <w:rPr>
                <w:noProof/>
                <w:webHidden/>
              </w:rPr>
              <w:t>1</w:t>
            </w:r>
            <w:r w:rsidR="00F54B08">
              <w:rPr>
                <w:noProof/>
                <w:webHidden/>
              </w:rPr>
              <w:fldChar w:fldCharType="end"/>
            </w:r>
          </w:hyperlink>
        </w:p>
        <w:p w14:paraId="5035F83B" w14:textId="77777777" w:rsidR="00F54B08" w:rsidRDefault="00B114E4">
          <w:pPr>
            <w:pStyle w:val="TOC2"/>
            <w:rPr>
              <w:rFonts w:asciiTheme="minorHAnsi" w:eastAsiaTheme="minorEastAsia" w:hAnsiTheme="minorHAnsi" w:cstheme="minorBidi"/>
              <w:b w:val="0"/>
              <w:smallCaps w:val="0"/>
              <w:noProof/>
              <w:sz w:val="22"/>
              <w:szCs w:val="22"/>
            </w:rPr>
          </w:pPr>
          <w:hyperlink w:anchor="_Toc501528250" w:history="1">
            <w:r w:rsidR="00F54B08" w:rsidRPr="00B4339B">
              <w:rPr>
                <w:rStyle w:val="Hyperlink"/>
                <w:noProof/>
              </w:rPr>
              <w:t>D.</w:t>
            </w:r>
            <w:r w:rsidR="00F54B08">
              <w:rPr>
                <w:rFonts w:asciiTheme="minorHAnsi" w:eastAsiaTheme="minorEastAsia" w:hAnsiTheme="minorHAnsi" w:cstheme="minorBidi"/>
                <w:b w:val="0"/>
                <w:smallCaps w:val="0"/>
                <w:noProof/>
                <w:sz w:val="22"/>
                <w:szCs w:val="22"/>
              </w:rPr>
              <w:tab/>
            </w:r>
            <w:r w:rsidR="00F54B08" w:rsidRPr="00B4339B">
              <w:rPr>
                <w:rStyle w:val="Hyperlink"/>
                <w:noProof/>
              </w:rPr>
              <w:t>Parties and Intervenors</w:t>
            </w:r>
            <w:r w:rsidR="00F54B08">
              <w:rPr>
                <w:noProof/>
                <w:webHidden/>
              </w:rPr>
              <w:tab/>
            </w:r>
            <w:r w:rsidR="00F54B08">
              <w:rPr>
                <w:noProof/>
                <w:webHidden/>
              </w:rPr>
              <w:fldChar w:fldCharType="begin"/>
            </w:r>
            <w:r w:rsidR="00F54B08">
              <w:rPr>
                <w:noProof/>
                <w:webHidden/>
              </w:rPr>
              <w:instrText xml:space="preserve"> PAGEREF _Toc501528250 \h </w:instrText>
            </w:r>
            <w:r w:rsidR="00F54B08">
              <w:rPr>
                <w:noProof/>
                <w:webHidden/>
              </w:rPr>
            </w:r>
            <w:r w:rsidR="00F54B08">
              <w:rPr>
                <w:noProof/>
                <w:webHidden/>
              </w:rPr>
              <w:fldChar w:fldCharType="separate"/>
            </w:r>
            <w:r>
              <w:rPr>
                <w:noProof/>
                <w:webHidden/>
              </w:rPr>
              <w:t>2</w:t>
            </w:r>
            <w:r w:rsidR="00F54B08">
              <w:rPr>
                <w:noProof/>
                <w:webHidden/>
              </w:rPr>
              <w:fldChar w:fldCharType="end"/>
            </w:r>
          </w:hyperlink>
        </w:p>
        <w:p w14:paraId="4180BE69" w14:textId="77777777" w:rsidR="00F54B08" w:rsidRDefault="00B114E4">
          <w:pPr>
            <w:pStyle w:val="TOC1"/>
            <w:rPr>
              <w:rFonts w:asciiTheme="minorHAnsi" w:eastAsiaTheme="minorEastAsia" w:hAnsiTheme="minorHAnsi" w:cstheme="minorBidi"/>
              <w:b w:val="0"/>
              <w:caps w:val="0"/>
              <w:noProof/>
              <w:sz w:val="22"/>
              <w:szCs w:val="22"/>
            </w:rPr>
          </w:pPr>
          <w:hyperlink w:anchor="_Toc501528251" w:history="1">
            <w:r w:rsidR="00F54B08" w:rsidRPr="00B4339B">
              <w:rPr>
                <w:rStyle w:val="Hyperlink"/>
                <w:noProof/>
              </w:rPr>
              <w:t>II.</w:t>
            </w:r>
            <w:r w:rsidR="00F54B08">
              <w:rPr>
                <w:rFonts w:asciiTheme="minorHAnsi" w:eastAsiaTheme="minorEastAsia" w:hAnsiTheme="minorHAnsi" w:cstheme="minorBidi"/>
                <w:b w:val="0"/>
                <w:caps w:val="0"/>
                <w:noProof/>
                <w:sz w:val="22"/>
                <w:szCs w:val="22"/>
              </w:rPr>
              <w:tab/>
            </w:r>
            <w:r w:rsidR="00F54B08" w:rsidRPr="00B4339B">
              <w:rPr>
                <w:rStyle w:val="Hyperlink"/>
                <w:noProof/>
              </w:rPr>
              <w:t>Authority analysis of Statutory Requirements</w:t>
            </w:r>
            <w:r w:rsidR="00F54B08">
              <w:rPr>
                <w:noProof/>
                <w:webHidden/>
              </w:rPr>
              <w:tab/>
            </w:r>
            <w:r w:rsidR="00F54B08">
              <w:rPr>
                <w:noProof/>
                <w:webHidden/>
              </w:rPr>
              <w:fldChar w:fldCharType="begin"/>
            </w:r>
            <w:r w:rsidR="00F54B08">
              <w:rPr>
                <w:noProof/>
                <w:webHidden/>
              </w:rPr>
              <w:instrText xml:space="preserve"> PAGEREF _Toc501528251 \h </w:instrText>
            </w:r>
            <w:r w:rsidR="00F54B08">
              <w:rPr>
                <w:noProof/>
                <w:webHidden/>
              </w:rPr>
            </w:r>
            <w:r w:rsidR="00F54B08">
              <w:rPr>
                <w:noProof/>
                <w:webHidden/>
              </w:rPr>
              <w:fldChar w:fldCharType="separate"/>
            </w:r>
            <w:r>
              <w:rPr>
                <w:noProof/>
                <w:webHidden/>
              </w:rPr>
              <w:t>2</w:t>
            </w:r>
            <w:r w:rsidR="00F54B08">
              <w:rPr>
                <w:noProof/>
                <w:webHidden/>
              </w:rPr>
              <w:fldChar w:fldCharType="end"/>
            </w:r>
          </w:hyperlink>
        </w:p>
        <w:p w14:paraId="031586DC" w14:textId="77777777" w:rsidR="00F54B08" w:rsidRDefault="00B114E4">
          <w:pPr>
            <w:pStyle w:val="TOC1"/>
            <w:rPr>
              <w:rFonts w:asciiTheme="minorHAnsi" w:eastAsiaTheme="minorEastAsia" w:hAnsiTheme="minorHAnsi" w:cstheme="minorBidi"/>
              <w:b w:val="0"/>
              <w:caps w:val="0"/>
              <w:noProof/>
              <w:sz w:val="22"/>
              <w:szCs w:val="22"/>
            </w:rPr>
          </w:pPr>
          <w:hyperlink w:anchor="_Toc501528252" w:history="1">
            <w:r w:rsidR="00F54B08" w:rsidRPr="00B4339B">
              <w:rPr>
                <w:rStyle w:val="Hyperlink"/>
                <w:noProof/>
              </w:rPr>
              <w:t>III.</w:t>
            </w:r>
            <w:r w:rsidR="00F54B08">
              <w:rPr>
                <w:rFonts w:asciiTheme="minorHAnsi" w:eastAsiaTheme="minorEastAsia" w:hAnsiTheme="minorHAnsi" w:cstheme="minorBidi"/>
                <w:b w:val="0"/>
                <w:caps w:val="0"/>
                <w:noProof/>
                <w:sz w:val="22"/>
                <w:szCs w:val="22"/>
              </w:rPr>
              <w:tab/>
            </w:r>
            <w:r w:rsidR="00F54B08" w:rsidRPr="00B4339B">
              <w:rPr>
                <w:rStyle w:val="Hyperlink"/>
                <w:noProof/>
              </w:rPr>
              <w:t>AUTHORITY MRCC DEFINITION AND methodology</w:t>
            </w:r>
            <w:r w:rsidR="00F54B08">
              <w:rPr>
                <w:noProof/>
                <w:webHidden/>
              </w:rPr>
              <w:tab/>
            </w:r>
            <w:r w:rsidR="00F54B08">
              <w:rPr>
                <w:noProof/>
                <w:webHidden/>
              </w:rPr>
              <w:fldChar w:fldCharType="begin"/>
            </w:r>
            <w:r w:rsidR="00F54B08">
              <w:rPr>
                <w:noProof/>
                <w:webHidden/>
              </w:rPr>
              <w:instrText xml:space="preserve"> PAGEREF _Toc501528252 \h </w:instrText>
            </w:r>
            <w:r w:rsidR="00F54B08">
              <w:rPr>
                <w:noProof/>
                <w:webHidden/>
              </w:rPr>
            </w:r>
            <w:r w:rsidR="00F54B08">
              <w:rPr>
                <w:noProof/>
                <w:webHidden/>
              </w:rPr>
              <w:fldChar w:fldCharType="separate"/>
            </w:r>
            <w:r>
              <w:rPr>
                <w:noProof/>
                <w:webHidden/>
              </w:rPr>
              <w:t>6</w:t>
            </w:r>
            <w:r w:rsidR="00F54B08">
              <w:rPr>
                <w:noProof/>
                <w:webHidden/>
              </w:rPr>
              <w:fldChar w:fldCharType="end"/>
            </w:r>
          </w:hyperlink>
        </w:p>
        <w:p w14:paraId="6BE348B0" w14:textId="77777777" w:rsidR="00F54B08" w:rsidRDefault="00B114E4">
          <w:pPr>
            <w:pStyle w:val="TOC2"/>
            <w:rPr>
              <w:rFonts w:asciiTheme="minorHAnsi" w:eastAsiaTheme="minorEastAsia" w:hAnsiTheme="minorHAnsi" w:cstheme="minorBidi"/>
              <w:b w:val="0"/>
              <w:smallCaps w:val="0"/>
              <w:noProof/>
              <w:sz w:val="22"/>
              <w:szCs w:val="22"/>
            </w:rPr>
          </w:pPr>
          <w:hyperlink w:anchor="_Toc501528253" w:history="1">
            <w:r w:rsidR="00F54B08" w:rsidRPr="00B4339B">
              <w:rPr>
                <w:rStyle w:val="Hyperlink"/>
                <w:noProof/>
              </w:rPr>
              <w:t>A.</w:t>
            </w:r>
            <w:r w:rsidR="00F54B08">
              <w:rPr>
                <w:rFonts w:asciiTheme="minorHAnsi" w:eastAsiaTheme="minorEastAsia" w:hAnsiTheme="minorHAnsi" w:cstheme="minorBidi"/>
                <w:b w:val="0"/>
                <w:smallCaps w:val="0"/>
                <w:noProof/>
                <w:sz w:val="22"/>
                <w:szCs w:val="22"/>
              </w:rPr>
              <w:tab/>
            </w:r>
            <w:r w:rsidR="00F54B08" w:rsidRPr="00B4339B">
              <w:rPr>
                <w:rStyle w:val="Hyperlink"/>
                <w:noProof/>
              </w:rPr>
              <w:t>Costs Directly Related to the Statutory Functions</w:t>
            </w:r>
            <w:r w:rsidR="00F54B08">
              <w:rPr>
                <w:noProof/>
                <w:webHidden/>
              </w:rPr>
              <w:tab/>
            </w:r>
            <w:r w:rsidR="00F54B08">
              <w:rPr>
                <w:noProof/>
                <w:webHidden/>
              </w:rPr>
              <w:fldChar w:fldCharType="begin"/>
            </w:r>
            <w:r w:rsidR="00F54B08">
              <w:rPr>
                <w:noProof/>
                <w:webHidden/>
              </w:rPr>
              <w:instrText xml:space="preserve"> PAGEREF _Toc501528253 \h </w:instrText>
            </w:r>
            <w:r w:rsidR="00F54B08">
              <w:rPr>
                <w:noProof/>
                <w:webHidden/>
              </w:rPr>
            </w:r>
            <w:r w:rsidR="00F54B08">
              <w:rPr>
                <w:noProof/>
                <w:webHidden/>
              </w:rPr>
              <w:fldChar w:fldCharType="separate"/>
            </w:r>
            <w:r>
              <w:rPr>
                <w:noProof/>
                <w:webHidden/>
              </w:rPr>
              <w:t>6</w:t>
            </w:r>
            <w:r w:rsidR="00F54B08">
              <w:rPr>
                <w:noProof/>
                <w:webHidden/>
              </w:rPr>
              <w:fldChar w:fldCharType="end"/>
            </w:r>
          </w:hyperlink>
        </w:p>
        <w:p w14:paraId="09686C92" w14:textId="77777777" w:rsidR="00F54B08" w:rsidRDefault="00B114E4">
          <w:pPr>
            <w:pStyle w:val="TOC3"/>
            <w:rPr>
              <w:rFonts w:asciiTheme="minorHAnsi" w:eastAsiaTheme="minorEastAsia" w:hAnsiTheme="minorHAnsi" w:cstheme="minorBidi"/>
              <w:b w:val="0"/>
              <w:noProof/>
              <w:sz w:val="22"/>
              <w:szCs w:val="22"/>
            </w:rPr>
          </w:pPr>
          <w:hyperlink w:anchor="_Toc501528254" w:history="1">
            <w:r w:rsidR="00F54B08" w:rsidRPr="00B4339B">
              <w:rPr>
                <w:rStyle w:val="Hyperlink"/>
                <w:noProof/>
              </w:rPr>
              <w:t>1.</w:t>
            </w:r>
            <w:r w:rsidR="00F54B08">
              <w:rPr>
                <w:rFonts w:asciiTheme="minorHAnsi" w:eastAsiaTheme="minorEastAsia" w:hAnsiTheme="minorHAnsi" w:cstheme="minorBidi"/>
                <w:b w:val="0"/>
                <w:noProof/>
                <w:sz w:val="22"/>
                <w:szCs w:val="22"/>
              </w:rPr>
              <w:tab/>
            </w:r>
            <w:r w:rsidR="00F54B08" w:rsidRPr="00B4339B">
              <w:rPr>
                <w:rStyle w:val="Hyperlink"/>
                <w:noProof/>
              </w:rPr>
              <w:t>Billing</w:t>
            </w:r>
            <w:r w:rsidR="00F54B08">
              <w:rPr>
                <w:noProof/>
                <w:webHidden/>
              </w:rPr>
              <w:tab/>
            </w:r>
            <w:r w:rsidR="00F54B08">
              <w:rPr>
                <w:noProof/>
                <w:webHidden/>
              </w:rPr>
              <w:fldChar w:fldCharType="begin"/>
            </w:r>
            <w:r w:rsidR="00F54B08">
              <w:rPr>
                <w:noProof/>
                <w:webHidden/>
              </w:rPr>
              <w:instrText xml:space="preserve"> PAGEREF _Toc501528254 \h </w:instrText>
            </w:r>
            <w:r w:rsidR="00F54B08">
              <w:rPr>
                <w:noProof/>
                <w:webHidden/>
              </w:rPr>
            </w:r>
            <w:r w:rsidR="00F54B08">
              <w:rPr>
                <w:noProof/>
                <w:webHidden/>
              </w:rPr>
              <w:fldChar w:fldCharType="separate"/>
            </w:r>
            <w:r>
              <w:rPr>
                <w:noProof/>
                <w:webHidden/>
              </w:rPr>
              <w:t>7</w:t>
            </w:r>
            <w:r w:rsidR="00F54B08">
              <w:rPr>
                <w:noProof/>
                <w:webHidden/>
              </w:rPr>
              <w:fldChar w:fldCharType="end"/>
            </w:r>
          </w:hyperlink>
        </w:p>
        <w:p w14:paraId="0619E559" w14:textId="77777777" w:rsidR="00F54B08" w:rsidRDefault="00B114E4">
          <w:pPr>
            <w:pStyle w:val="TOC4"/>
            <w:rPr>
              <w:rFonts w:asciiTheme="minorHAnsi" w:eastAsiaTheme="minorEastAsia" w:hAnsiTheme="minorHAnsi" w:cstheme="minorBidi"/>
              <w:b w:val="0"/>
              <w:noProof/>
              <w:sz w:val="22"/>
              <w:szCs w:val="22"/>
            </w:rPr>
          </w:pPr>
          <w:hyperlink w:anchor="_Toc501528255" w:history="1">
            <w:r w:rsidR="00F54B08" w:rsidRPr="00B4339B">
              <w:rPr>
                <w:rStyle w:val="Hyperlink"/>
                <w:noProof/>
              </w:rPr>
              <w:t>a.</w:t>
            </w:r>
            <w:r w:rsidR="00F54B08">
              <w:rPr>
                <w:rFonts w:asciiTheme="minorHAnsi" w:eastAsiaTheme="minorEastAsia" w:hAnsiTheme="minorHAnsi" w:cstheme="minorBidi"/>
                <w:b w:val="0"/>
                <w:noProof/>
                <w:sz w:val="22"/>
                <w:szCs w:val="22"/>
              </w:rPr>
              <w:tab/>
            </w:r>
            <w:r w:rsidR="00F54B08" w:rsidRPr="00B4339B">
              <w:rPr>
                <w:rStyle w:val="Hyperlink"/>
                <w:noProof/>
              </w:rPr>
              <w:t>Positions of the Parties</w:t>
            </w:r>
            <w:r w:rsidR="00F54B08">
              <w:rPr>
                <w:noProof/>
                <w:webHidden/>
              </w:rPr>
              <w:tab/>
            </w:r>
            <w:r w:rsidR="00F54B08">
              <w:rPr>
                <w:noProof/>
                <w:webHidden/>
              </w:rPr>
              <w:fldChar w:fldCharType="begin"/>
            </w:r>
            <w:r w:rsidR="00F54B08">
              <w:rPr>
                <w:noProof/>
                <w:webHidden/>
              </w:rPr>
              <w:instrText xml:space="preserve"> PAGEREF _Toc501528255 \h </w:instrText>
            </w:r>
            <w:r w:rsidR="00F54B08">
              <w:rPr>
                <w:noProof/>
                <w:webHidden/>
              </w:rPr>
            </w:r>
            <w:r w:rsidR="00F54B08">
              <w:rPr>
                <w:noProof/>
                <w:webHidden/>
              </w:rPr>
              <w:fldChar w:fldCharType="separate"/>
            </w:r>
            <w:r>
              <w:rPr>
                <w:noProof/>
                <w:webHidden/>
              </w:rPr>
              <w:t>7</w:t>
            </w:r>
            <w:r w:rsidR="00F54B08">
              <w:rPr>
                <w:noProof/>
                <w:webHidden/>
              </w:rPr>
              <w:fldChar w:fldCharType="end"/>
            </w:r>
          </w:hyperlink>
        </w:p>
        <w:p w14:paraId="2A8045AD" w14:textId="77777777" w:rsidR="00F54B08" w:rsidRDefault="00B114E4">
          <w:pPr>
            <w:pStyle w:val="TOC4"/>
            <w:rPr>
              <w:rFonts w:asciiTheme="minorHAnsi" w:eastAsiaTheme="minorEastAsia" w:hAnsiTheme="minorHAnsi" w:cstheme="minorBidi"/>
              <w:b w:val="0"/>
              <w:noProof/>
              <w:sz w:val="22"/>
              <w:szCs w:val="22"/>
            </w:rPr>
          </w:pPr>
          <w:hyperlink w:anchor="_Toc501528256" w:history="1">
            <w:r w:rsidR="00F54B08" w:rsidRPr="00B4339B">
              <w:rPr>
                <w:rStyle w:val="Hyperlink"/>
                <w:noProof/>
              </w:rPr>
              <w:t>b.</w:t>
            </w:r>
            <w:r w:rsidR="00F54B08">
              <w:rPr>
                <w:rFonts w:asciiTheme="minorHAnsi" w:eastAsiaTheme="minorEastAsia" w:hAnsiTheme="minorHAnsi" w:cstheme="minorBidi"/>
                <w:b w:val="0"/>
                <w:noProof/>
                <w:sz w:val="22"/>
                <w:szCs w:val="22"/>
              </w:rPr>
              <w:tab/>
            </w:r>
            <w:r w:rsidR="00F54B08" w:rsidRPr="00B4339B">
              <w:rPr>
                <w:rStyle w:val="Hyperlink"/>
                <w:noProof/>
              </w:rPr>
              <w:t>Discussion</w:t>
            </w:r>
            <w:r w:rsidR="00F54B08">
              <w:rPr>
                <w:noProof/>
                <w:webHidden/>
              </w:rPr>
              <w:tab/>
            </w:r>
            <w:r w:rsidR="00F54B08">
              <w:rPr>
                <w:noProof/>
                <w:webHidden/>
              </w:rPr>
              <w:fldChar w:fldCharType="begin"/>
            </w:r>
            <w:r w:rsidR="00F54B08">
              <w:rPr>
                <w:noProof/>
                <w:webHidden/>
              </w:rPr>
              <w:instrText xml:space="preserve"> PAGEREF _Toc501528256 \h </w:instrText>
            </w:r>
            <w:r w:rsidR="00F54B08">
              <w:rPr>
                <w:noProof/>
                <w:webHidden/>
              </w:rPr>
            </w:r>
            <w:r w:rsidR="00F54B08">
              <w:rPr>
                <w:noProof/>
                <w:webHidden/>
              </w:rPr>
              <w:fldChar w:fldCharType="separate"/>
            </w:r>
            <w:r>
              <w:rPr>
                <w:noProof/>
                <w:webHidden/>
              </w:rPr>
              <w:t>7</w:t>
            </w:r>
            <w:r w:rsidR="00F54B08">
              <w:rPr>
                <w:noProof/>
                <w:webHidden/>
              </w:rPr>
              <w:fldChar w:fldCharType="end"/>
            </w:r>
          </w:hyperlink>
        </w:p>
        <w:p w14:paraId="15FDB61F" w14:textId="77777777" w:rsidR="00F54B08" w:rsidRDefault="00B114E4">
          <w:pPr>
            <w:pStyle w:val="TOC3"/>
            <w:rPr>
              <w:rFonts w:asciiTheme="minorHAnsi" w:eastAsiaTheme="minorEastAsia" w:hAnsiTheme="minorHAnsi" w:cstheme="minorBidi"/>
              <w:b w:val="0"/>
              <w:noProof/>
              <w:sz w:val="22"/>
              <w:szCs w:val="22"/>
            </w:rPr>
          </w:pPr>
          <w:hyperlink w:anchor="_Toc501528257" w:history="1">
            <w:r w:rsidR="00F54B08" w:rsidRPr="00B4339B">
              <w:rPr>
                <w:rStyle w:val="Hyperlink"/>
                <w:noProof/>
              </w:rPr>
              <w:t>2.</w:t>
            </w:r>
            <w:r w:rsidR="00F54B08">
              <w:rPr>
                <w:rFonts w:asciiTheme="minorHAnsi" w:eastAsiaTheme="minorEastAsia" w:hAnsiTheme="minorHAnsi" w:cstheme="minorBidi"/>
                <w:b w:val="0"/>
                <w:noProof/>
                <w:sz w:val="22"/>
                <w:szCs w:val="22"/>
              </w:rPr>
              <w:tab/>
            </w:r>
            <w:r w:rsidR="00F54B08" w:rsidRPr="00B4339B">
              <w:rPr>
                <w:rStyle w:val="Hyperlink"/>
                <w:noProof/>
              </w:rPr>
              <w:t>Provision of Customer Service</w:t>
            </w:r>
            <w:r w:rsidR="00F54B08">
              <w:rPr>
                <w:noProof/>
                <w:webHidden/>
              </w:rPr>
              <w:tab/>
            </w:r>
            <w:r w:rsidR="00F54B08">
              <w:rPr>
                <w:noProof/>
                <w:webHidden/>
              </w:rPr>
              <w:fldChar w:fldCharType="begin"/>
            </w:r>
            <w:r w:rsidR="00F54B08">
              <w:rPr>
                <w:noProof/>
                <w:webHidden/>
              </w:rPr>
              <w:instrText xml:space="preserve"> PAGEREF _Toc501528257 \h </w:instrText>
            </w:r>
            <w:r w:rsidR="00F54B08">
              <w:rPr>
                <w:noProof/>
                <w:webHidden/>
              </w:rPr>
            </w:r>
            <w:r w:rsidR="00F54B08">
              <w:rPr>
                <w:noProof/>
                <w:webHidden/>
              </w:rPr>
              <w:fldChar w:fldCharType="separate"/>
            </w:r>
            <w:r>
              <w:rPr>
                <w:noProof/>
                <w:webHidden/>
              </w:rPr>
              <w:t>9</w:t>
            </w:r>
            <w:r w:rsidR="00F54B08">
              <w:rPr>
                <w:noProof/>
                <w:webHidden/>
              </w:rPr>
              <w:fldChar w:fldCharType="end"/>
            </w:r>
          </w:hyperlink>
        </w:p>
        <w:p w14:paraId="4140868C" w14:textId="77777777" w:rsidR="00F54B08" w:rsidRDefault="00B114E4">
          <w:pPr>
            <w:pStyle w:val="TOC4"/>
            <w:rPr>
              <w:rFonts w:asciiTheme="minorHAnsi" w:eastAsiaTheme="minorEastAsia" w:hAnsiTheme="minorHAnsi" w:cstheme="minorBidi"/>
              <w:b w:val="0"/>
              <w:noProof/>
              <w:sz w:val="22"/>
              <w:szCs w:val="22"/>
            </w:rPr>
          </w:pPr>
          <w:hyperlink w:anchor="_Toc501528258" w:history="1">
            <w:r w:rsidR="00F54B08" w:rsidRPr="00B4339B">
              <w:rPr>
                <w:rStyle w:val="Hyperlink"/>
                <w:noProof/>
              </w:rPr>
              <w:t>a.</w:t>
            </w:r>
            <w:r w:rsidR="00F54B08">
              <w:rPr>
                <w:rFonts w:asciiTheme="minorHAnsi" w:eastAsiaTheme="minorEastAsia" w:hAnsiTheme="minorHAnsi" w:cstheme="minorBidi"/>
                <w:b w:val="0"/>
                <w:noProof/>
                <w:sz w:val="22"/>
                <w:szCs w:val="22"/>
              </w:rPr>
              <w:tab/>
            </w:r>
            <w:r w:rsidR="00F54B08" w:rsidRPr="00B4339B">
              <w:rPr>
                <w:rStyle w:val="Hyperlink"/>
                <w:noProof/>
              </w:rPr>
              <w:t>Positions of the Parties</w:t>
            </w:r>
            <w:r w:rsidR="00F54B08">
              <w:rPr>
                <w:noProof/>
                <w:webHidden/>
              </w:rPr>
              <w:tab/>
            </w:r>
            <w:r w:rsidR="00F54B08">
              <w:rPr>
                <w:noProof/>
                <w:webHidden/>
              </w:rPr>
              <w:fldChar w:fldCharType="begin"/>
            </w:r>
            <w:r w:rsidR="00F54B08">
              <w:rPr>
                <w:noProof/>
                <w:webHidden/>
              </w:rPr>
              <w:instrText xml:space="preserve"> PAGEREF _Toc501528258 \h </w:instrText>
            </w:r>
            <w:r w:rsidR="00F54B08">
              <w:rPr>
                <w:noProof/>
                <w:webHidden/>
              </w:rPr>
            </w:r>
            <w:r w:rsidR="00F54B08">
              <w:rPr>
                <w:noProof/>
                <w:webHidden/>
              </w:rPr>
              <w:fldChar w:fldCharType="separate"/>
            </w:r>
            <w:r>
              <w:rPr>
                <w:noProof/>
                <w:webHidden/>
              </w:rPr>
              <w:t>9</w:t>
            </w:r>
            <w:r w:rsidR="00F54B08">
              <w:rPr>
                <w:noProof/>
                <w:webHidden/>
              </w:rPr>
              <w:fldChar w:fldCharType="end"/>
            </w:r>
          </w:hyperlink>
        </w:p>
        <w:p w14:paraId="6376870B" w14:textId="77777777" w:rsidR="00F54B08" w:rsidRDefault="00B114E4">
          <w:pPr>
            <w:pStyle w:val="TOC4"/>
            <w:rPr>
              <w:rFonts w:asciiTheme="minorHAnsi" w:eastAsiaTheme="minorEastAsia" w:hAnsiTheme="minorHAnsi" w:cstheme="minorBidi"/>
              <w:b w:val="0"/>
              <w:noProof/>
              <w:sz w:val="22"/>
              <w:szCs w:val="22"/>
            </w:rPr>
          </w:pPr>
          <w:hyperlink w:anchor="_Toc501528259" w:history="1">
            <w:r w:rsidR="00F54B08" w:rsidRPr="00B4339B">
              <w:rPr>
                <w:rStyle w:val="Hyperlink"/>
                <w:noProof/>
              </w:rPr>
              <w:t>b.</w:t>
            </w:r>
            <w:r w:rsidR="00F54B08">
              <w:rPr>
                <w:rFonts w:asciiTheme="minorHAnsi" w:eastAsiaTheme="minorEastAsia" w:hAnsiTheme="minorHAnsi" w:cstheme="minorBidi"/>
                <w:b w:val="0"/>
                <w:noProof/>
                <w:sz w:val="22"/>
                <w:szCs w:val="22"/>
              </w:rPr>
              <w:tab/>
            </w:r>
            <w:r w:rsidR="00F54B08" w:rsidRPr="00B4339B">
              <w:rPr>
                <w:rStyle w:val="Hyperlink"/>
                <w:noProof/>
              </w:rPr>
              <w:t>Discussion</w:t>
            </w:r>
            <w:r w:rsidR="00F54B08">
              <w:rPr>
                <w:noProof/>
                <w:webHidden/>
              </w:rPr>
              <w:tab/>
            </w:r>
            <w:r w:rsidR="00F54B08">
              <w:rPr>
                <w:noProof/>
                <w:webHidden/>
              </w:rPr>
              <w:fldChar w:fldCharType="begin"/>
            </w:r>
            <w:r w:rsidR="00F54B08">
              <w:rPr>
                <w:noProof/>
                <w:webHidden/>
              </w:rPr>
              <w:instrText xml:space="preserve"> PAGEREF _Toc501528259 \h </w:instrText>
            </w:r>
            <w:r w:rsidR="00F54B08">
              <w:rPr>
                <w:noProof/>
                <w:webHidden/>
              </w:rPr>
            </w:r>
            <w:r w:rsidR="00F54B08">
              <w:rPr>
                <w:noProof/>
                <w:webHidden/>
              </w:rPr>
              <w:fldChar w:fldCharType="separate"/>
            </w:r>
            <w:r>
              <w:rPr>
                <w:noProof/>
                <w:webHidden/>
              </w:rPr>
              <w:t>9</w:t>
            </w:r>
            <w:r w:rsidR="00F54B08">
              <w:rPr>
                <w:noProof/>
                <w:webHidden/>
              </w:rPr>
              <w:fldChar w:fldCharType="end"/>
            </w:r>
          </w:hyperlink>
        </w:p>
        <w:p w14:paraId="55279733" w14:textId="77777777" w:rsidR="00F54B08" w:rsidRDefault="00B114E4">
          <w:pPr>
            <w:pStyle w:val="TOC3"/>
            <w:rPr>
              <w:rFonts w:asciiTheme="minorHAnsi" w:eastAsiaTheme="minorEastAsia" w:hAnsiTheme="minorHAnsi" w:cstheme="minorBidi"/>
              <w:b w:val="0"/>
              <w:noProof/>
              <w:sz w:val="22"/>
              <w:szCs w:val="22"/>
            </w:rPr>
          </w:pPr>
          <w:hyperlink w:anchor="_Toc501528260" w:history="1">
            <w:r w:rsidR="00F54B08" w:rsidRPr="00B4339B">
              <w:rPr>
                <w:rStyle w:val="Hyperlink"/>
                <w:noProof/>
              </w:rPr>
              <w:t>3.</w:t>
            </w:r>
            <w:r w:rsidR="00F54B08">
              <w:rPr>
                <w:rFonts w:asciiTheme="minorHAnsi" w:eastAsiaTheme="minorEastAsia" w:hAnsiTheme="minorHAnsi" w:cstheme="minorBidi"/>
                <w:b w:val="0"/>
                <w:noProof/>
                <w:sz w:val="22"/>
                <w:szCs w:val="22"/>
              </w:rPr>
              <w:tab/>
            </w:r>
            <w:r w:rsidR="00F54B08" w:rsidRPr="00B4339B">
              <w:rPr>
                <w:rStyle w:val="Hyperlink"/>
                <w:noProof/>
              </w:rPr>
              <w:t>Metering</w:t>
            </w:r>
            <w:r w:rsidR="00F54B08">
              <w:rPr>
                <w:noProof/>
                <w:webHidden/>
              </w:rPr>
              <w:tab/>
            </w:r>
            <w:r w:rsidR="00F54B08">
              <w:rPr>
                <w:noProof/>
                <w:webHidden/>
              </w:rPr>
              <w:fldChar w:fldCharType="begin"/>
            </w:r>
            <w:r w:rsidR="00F54B08">
              <w:rPr>
                <w:noProof/>
                <w:webHidden/>
              </w:rPr>
              <w:instrText xml:space="preserve"> PAGEREF _Toc501528260 \h </w:instrText>
            </w:r>
            <w:r w:rsidR="00F54B08">
              <w:rPr>
                <w:noProof/>
                <w:webHidden/>
              </w:rPr>
            </w:r>
            <w:r w:rsidR="00F54B08">
              <w:rPr>
                <w:noProof/>
                <w:webHidden/>
              </w:rPr>
              <w:fldChar w:fldCharType="separate"/>
            </w:r>
            <w:r>
              <w:rPr>
                <w:noProof/>
                <w:webHidden/>
              </w:rPr>
              <w:t>10</w:t>
            </w:r>
            <w:r w:rsidR="00F54B08">
              <w:rPr>
                <w:noProof/>
                <w:webHidden/>
              </w:rPr>
              <w:fldChar w:fldCharType="end"/>
            </w:r>
          </w:hyperlink>
        </w:p>
        <w:p w14:paraId="6AE05013" w14:textId="77777777" w:rsidR="00F54B08" w:rsidRDefault="00B114E4">
          <w:pPr>
            <w:pStyle w:val="TOC4"/>
            <w:rPr>
              <w:rFonts w:asciiTheme="minorHAnsi" w:eastAsiaTheme="minorEastAsia" w:hAnsiTheme="minorHAnsi" w:cstheme="minorBidi"/>
              <w:b w:val="0"/>
              <w:noProof/>
              <w:sz w:val="22"/>
              <w:szCs w:val="22"/>
            </w:rPr>
          </w:pPr>
          <w:hyperlink w:anchor="_Toc501528261" w:history="1">
            <w:r w:rsidR="00F54B08" w:rsidRPr="00B4339B">
              <w:rPr>
                <w:rStyle w:val="Hyperlink"/>
                <w:noProof/>
              </w:rPr>
              <w:t>a.</w:t>
            </w:r>
            <w:r w:rsidR="00F54B08">
              <w:rPr>
                <w:rFonts w:asciiTheme="minorHAnsi" w:eastAsiaTheme="minorEastAsia" w:hAnsiTheme="minorHAnsi" w:cstheme="minorBidi"/>
                <w:b w:val="0"/>
                <w:noProof/>
                <w:sz w:val="22"/>
                <w:szCs w:val="22"/>
              </w:rPr>
              <w:tab/>
            </w:r>
            <w:r w:rsidR="00F54B08" w:rsidRPr="00B4339B">
              <w:rPr>
                <w:rStyle w:val="Hyperlink"/>
                <w:noProof/>
              </w:rPr>
              <w:t>Positions of the Parties</w:t>
            </w:r>
            <w:r w:rsidR="00F54B08">
              <w:rPr>
                <w:noProof/>
                <w:webHidden/>
              </w:rPr>
              <w:tab/>
            </w:r>
            <w:r w:rsidR="00F54B08">
              <w:rPr>
                <w:noProof/>
                <w:webHidden/>
              </w:rPr>
              <w:fldChar w:fldCharType="begin"/>
            </w:r>
            <w:r w:rsidR="00F54B08">
              <w:rPr>
                <w:noProof/>
                <w:webHidden/>
              </w:rPr>
              <w:instrText xml:space="preserve"> PAGEREF _Toc501528261 \h </w:instrText>
            </w:r>
            <w:r w:rsidR="00F54B08">
              <w:rPr>
                <w:noProof/>
                <w:webHidden/>
              </w:rPr>
            </w:r>
            <w:r w:rsidR="00F54B08">
              <w:rPr>
                <w:noProof/>
                <w:webHidden/>
              </w:rPr>
              <w:fldChar w:fldCharType="separate"/>
            </w:r>
            <w:r>
              <w:rPr>
                <w:noProof/>
                <w:webHidden/>
              </w:rPr>
              <w:t>10</w:t>
            </w:r>
            <w:r w:rsidR="00F54B08">
              <w:rPr>
                <w:noProof/>
                <w:webHidden/>
              </w:rPr>
              <w:fldChar w:fldCharType="end"/>
            </w:r>
          </w:hyperlink>
        </w:p>
        <w:p w14:paraId="3A6CCCDB" w14:textId="77777777" w:rsidR="00F54B08" w:rsidRDefault="00B114E4">
          <w:pPr>
            <w:pStyle w:val="TOC4"/>
            <w:rPr>
              <w:rFonts w:asciiTheme="minorHAnsi" w:eastAsiaTheme="minorEastAsia" w:hAnsiTheme="minorHAnsi" w:cstheme="minorBidi"/>
              <w:b w:val="0"/>
              <w:noProof/>
              <w:sz w:val="22"/>
              <w:szCs w:val="22"/>
            </w:rPr>
          </w:pPr>
          <w:hyperlink w:anchor="_Toc501528262" w:history="1">
            <w:r w:rsidR="00F54B08" w:rsidRPr="00B4339B">
              <w:rPr>
                <w:rStyle w:val="Hyperlink"/>
                <w:noProof/>
              </w:rPr>
              <w:t>b.</w:t>
            </w:r>
            <w:r w:rsidR="00F54B08">
              <w:rPr>
                <w:rFonts w:asciiTheme="minorHAnsi" w:eastAsiaTheme="minorEastAsia" w:hAnsiTheme="minorHAnsi" w:cstheme="minorBidi"/>
                <w:b w:val="0"/>
                <w:noProof/>
                <w:sz w:val="22"/>
                <w:szCs w:val="22"/>
              </w:rPr>
              <w:tab/>
            </w:r>
            <w:r w:rsidR="00F54B08" w:rsidRPr="00B4339B">
              <w:rPr>
                <w:rStyle w:val="Hyperlink"/>
                <w:noProof/>
              </w:rPr>
              <w:t>Discussion</w:t>
            </w:r>
            <w:r w:rsidR="00F54B08">
              <w:rPr>
                <w:noProof/>
                <w:webHidden/>
              </w:rPr>
              <w:tab/>
            </w:r>
            <w:r w:rsidR="00F54B08">
              <w:rPr>
                <w:noProof/>
                <w:webHidden/>
              </w:rPr>
              <w:fldChar w:fldCharType="begin"/>
            </w:r>
            <w:r w:rsidR="00F54B08">
              <w:rPr>
                <w:noProof/>
                <w:webHidden/>
              </w:rPr>
              <w:instrText xml:space="preserve"> PAGEREF _Toc501528262 \h </w:instrText>
            </w:r>
            <w:r w:rsidR="00F54B08">
              <w:rPr>
                <w:noProof/>
                <w:webHidden/>
              </w:rPr>
            </w:r>
            <w:r w:rsidR="00F54B08">
              <w:rPr>
                <w:noProof/>
                <w:webHidden/>
              </w:rPr>
              <w:fldChar w:fldCharType="separate"/>
            </w:r>
            <w:r>
              <w:rPr>
                <w:noProof/>
                <w:webHidden/>
              </w:rPr>
              <w:t>10</w:t>
            </w:r>
            <w:r w:rsidR="00F54B08">
              <w:rPr>
                <w:noProof/>
                <w:webHidden/>
              </w:rPr>
              <w:fldChar w:fldCharType="end"/>
            </w:r>
          </w:hyperlink>
        </w:p>
        <w:p w14:paraId="7AFBD362" w14:textId="77777777" w:rsidR="00F54B08" w:rsidRDefault="00B114E4">
          <w:pPr>
            <w:pStyle w:val="TOC3"/>
            <w:rPr>
              <w:rFonts w:asciiTheme="minorHAnsi" w:eastAsiaTheme="minorEastAsia" w:hAnsiTheme="minorHAnsi" w:cstheme="minorBidi"/>
              <w:b w:val="0"/>
              <w:noProof/>
              <w:sz w:val="22"/>
              <w:szCs w:val="22"/>
            </w:rPr>
          </w:pPr>
          <w:hyperlink w:anchor="_Toc501528263" w:history="1">
            <w:r w:rsidR="00F54B08" w:rsidRPr="00B4339B">
              <w:rPr>
                <w:rStyle w:val="Hyperlink"/>
                <w:noProof/>
              </w:rPr>
              <w:t>4.</w:t>
            </w:r>
            <w:r w:rsidR="00F54B08">
              <w:rPr>
                <w:rFonts w:asciiTheme="minorHAnsi" w:eastAsiaTheme="minorEastAsia" w:hAnsiTheme="minorHAnsi" w:cstheme="minorBidi"/>
                <w:b w:val="0"/>
                <w:noProof/>
                <w:sz w:val="22"/>
                <w:szCs w:val="22"/>
              </w:rPr>
              <w:tab/>
            </w:r>
            <w:r w:rsidR="00F54B08" w:rsidRPr="00B4339B">
              <w:rPr>
                <w:rStyle w:val="Hyperlink"/>
                <w:noProof/>
              </w:rPr>
              <w:t>Service Connection</w:t>
            </w:r>
            <w:r w:rsidR="00F54B08">
              <w:rPr>
                <w:noProof/>
                <w:webHidden/>
              </w:rPr>
              <w:tab/>
            </w:r>
            <w:r w:rsidR="00F54B08">
              <w:rPr>
                <w:noProof/>
                <w:webHidden/>
              </w:rPr>
              <w:fldChar w:fldCharType="begin"/>
            </w:r>
            <w:r w:rsidR="00F54B08">
              <w:rPr>
                <w:noProof/>
                <w:webHidden/>
              </w:rPr>
              <w:instrText xml:space="preserve"> PAGEREF _Toc501528263 \h </w:instrText>
            </w:r>
            <w:r w:rsidR="00F54B08">
              <w:rPr>
                <w:noProof/>
                <w:webHidden/>
              </w:rPr>
            </w:r>
            <w:r w:rsidR="00F54B08">
              <w:rPr>
                <w:noProof/>
                <w:webHidden/>
              </w:rPr>
              <w:fldChar w:fldCharType="separate"/>
            </w:r>
            <w:r>
              <w:rPr>
                <w:noProof/>
                <w:webHidden/>
              </w:rPr>
              <w:t>11</w:t>
            </w:r>
            <w:r w:rsidR="00F54B08">
              <w:rPr>
                <w:noProof/>
                <w:webHidden/>
              </w:rPr>
              <w:fldChar w:fldCharType="end"/>
            </w:r>
          </w:hyperlink>
        </w:p>
        <w:p w14:paraId="29E95109" w14:textId="77777777" w:rsidR="00F54B08" w:rsidRDefault="00B114E4">
          <w:pPr>
            <w:pStyle w:val="TOC4"/>
            <w:rPr>
              <w:rFonts w:asciiTheme="minorHAnsi" w:eastAsiaTheme="minorEastAsia" w:hAnsiTheme="minorHAnsi" w:cstheme="minorBidi"/>
              <w:b w:val="0"/>
              <w:noProof/>
              <w:sz w:val="22"/>
              <w:szCs w:val="22"/>
            </w:rPr>
          </w:pPr>
          <w:hyperlink w:anchor="_Toc501528264" w:history="1">
            <w:r w:rsidR="00F54B08" w:rsidRPr="00B4339B">
              <w:rPr>
                <w:rStyle w:val="Hyperlink"/>
                <w:noProof/>
              </w:rPr>
              <w:t>a.</w:t>
            </w:r>
            <w:r w:rsidR="00F54B08">
              <w:rPr>
                <w:rFonts w:asciiTheme="minorHAnsi" w:eastAsiaTheme="minorEastAsia" w:hAnsiTheme="minorHAnsi" w:cstheme="minorBidi"/>
                <w:b w:val="0"/>
                <w:noProof/>
                <w:sz w:val="22"/>
                <w:szCs w:val="22"/>
              </w:rPr>
              <w:tab/>
            </w:r>
            <w:r w:rsidR="00F54B08" w:rsidRPr="00B4339B">
              <w:rPr>
                <w:rStyle w:val="Hyperlink"/>
                <w:noProof/>
              </w:rPr>
              <w:t>Positions of the Parties</w:t>
            </w:r>
            <w:r w:rsidR="00F54B08">
              <w:rPr>
                <w:noProof/>
                <w:webHidden/>
              </w:rPr>
              <w:tab/>
            </w:r>
            <w:r w:rsidR="00F54B08">
              <w:rPr>
                <w:noProof/>
                <w:webHidden/>
              </w:rPr>
              <w:fldChar w:fldCharType="begin"/>
            </w:r>
            <w:r w:rsidR="00F54B08">
              <w:rPr>
                <w:noProof/>
                <w:webHidden/>
              </w:rPr>
              <w:instrText xml:space="preserve"> PAGEREF _Toc501528264 \h </w:instrText>
            </w:r>
            <w:r w:rsidR="00F54B08">
              <w:rPr>
                <w:noProof/>
                <w:webHidden/>
              </w:rPr>
            </w:r>
            <w:r w:rsidR="00F54B08">
              <w:rPr>
                <w:noProof/>
                <w:webHidden/>
              </w:rPr>
              <w:fldChar w:fldCharType="separate"/>
            </w:r>
            <w:r>
              <w:rPr>
                <w:noProof/>
                <w:webHidden/>
              </w:rPr>
              <w:t>11</w:t>
            </w:r>
            <w:r w:rsidR="00F54B08">
              <w:rPr>
                <w:noProof/>
                <w:webHidden/>
              </w:rPr>
              <w:fldChar w:fldCharType="end"/>
            </w:r>
          </w:hyperlink>
        </w:p>
        <w:p w14:paraId="76D6989D" w14:textId="77777777" w:rsidR="00F54B08" w:rsidRDefault="00B114E4">
          <w:pPr>
            <w:pStyle w:val="TOC4"/>
            <w:rPr>
              <w:rFonts w:asciiTheme="minorHAnsi" w:eastAsiaTheme="minorEastAsia" w:hAnsiTheme="minorHAnsi" w:cstheme="minorBidi"/>
              <w:b w:val="0"/>
              <w:noProof/>
              <w:sz w:val="22"/>
              <w:szCs w:val="22"/>
            </w:rPr>
          </w:pPr>
          <w:hyperlink w:anchor="_Toc501528265" w:history="1">
            <w:r w:rsidR="00F54B08" w:rsidRPr="00B4339B">
              <w:rPr>
                <w:rStyle w:val="Hyperlink"/>
                <w:noProof/>
              </w:rPr>
              <w:t>b.</w:t>
            </w:r>
            <w:r w:rsidR="00F54B08">
              <w:rPr>
                <w:rFonts w:asciiTheme="minorHAnsi" w:eastAsiaTheme="minorEastAsia" w:hAnsiTheme="minorHAnsi" w:cstheme="minorBidi"/>
                <w:b w:val="0"/>
                <w:noProof/>
                <w:sz w:val="22"/>
                <w:szCs w:val="22"/>
              </w:rPr>
              <w:tab/>
            </w:r>
            <w:r w:rsidR="00F54B08" w:rsidRPr="00B4339B">
              <w:rPr>
                <w:rStyle w:val="Hyperlink"/>
                <w:noProof/>
              </w:rPr>
              <w:t>Discussion</w:t>
            </w:r>
            <w:r w:rsidR="00F54B08">
              <w:rPr>
                <w:noProof/>
                <w:webHidden/>
              </w:rPr>
              <w:tab/>
            </w:r>
            <w:r w:rsidR="00F54B08">
              <w:rPr>
                <w:noProof/>
                <w:webHidden/>
              </w:rPr>
              <w:fldChar w:fldCharType="begin"/>
            </w:r>
            <w:r w:rsidR="00F54B08">
              <w:rPr>
                <w:noProof/>
                <w:webHidden/>
              </w:rPr>
              <w:instrText xml:space="preserve"> PAGEREF _Toc501528265 \h </w:instrText>
            </w:r>
            <w:r w:rsidR="00F54B08">
              <w:rPr>
                <w:noProof/>
                <w:webHidden/>
              </w:rPr>
            </w:r>
            <w:r w:rsidR="00F54B08">
              <w:rPr>
                <w:noProof/>
                <w:webHidden/>
              </w:rPr>
              <w:fldChar w:fldCharType="separate"/>
            </w:r>
            <w:r>
              <w:rPr>
                <w:noProof/>
                <w:webHidden/>
              </w:rPr>
              <w:t>12</w:t>
            </w:r>
            <w:r w:rsidR="00F54B08">
              <w:rPr>
                <w:noProof/>
                <w:webHidden/>
              </w:rPr>
              <w:fldChar w:fldCharType="end"/>
            </w:r>
          </w:hyperlink>
        </w:p>
        <w:p w14:paraId="21A9B0C7" w14:textId="77777777" w:rsidR="00F54B08" w:rsidRDefault="00B114E4">
          <w:pPr>
            <w:pStyle w:val="TOC2"/>
            <w:rPr>
              <w:rFonts w:asciiTheme="minorHAnsi" w:eastAsiaTheme="minorEastAsia" w:hAnsiTheme="minorHAnsi" w:cstheme="minorBidi"/>
              <w:b w:val="0"/>
              <w:smallCaps w:val="0"/>
              <w:noProof/>
              <w:sz w:val="22"/>
              <w:szCs w:val="22"/>
            </w:rPr>
          </w:pPr>
          <w:hyperlink w:anchor="_Toc501528266" w:history="1">
            <w:r w:rsidR="00F54B08" w:rsidRPr="00B4339B">
              <w:rPr>
                <w:rStyle w:val="Hyperlink"/>
                <w:noProof/>
              </w:rPr>
              <w:t>B.</w:t>
            </w:r>
            <w:r w:rsidR="00F54B08">
              <w:rPr>
                <w:rFonts w:asciiTheme="minorHAnsi" w:eastAsiaTheme="minorEastAsia" w:hAnsiTheme="minorHAnsi" w:cstheme="minorBidi"/>
                <w:b w:val="0"/>
                <w:smallCaps w:val="0"/>
                <w:noProof/>
                <w:sz w:val="22"/>
                <w:szCs w:val="22"/>
              </w:rPr>
              <w:tab/>
            </w:r>
            <w:r w:rsidR="00F54B08" w:rsidRPr="00B4339B">
              <w:rPr>
                <w:rStyle w:val="Hyperlink"/>
                <w:noProof/>
              </w:rPr>
              <w:t>Assignment of Costs; MRCC Methodology</w:t>
            </w:r>
            <w:r w:rsidR="00F54B08">
              <w:rPr>
                <w:noProof/>
                <w:webHidden/>
              </w:rPr>
              <w:tab/>
            </w:r>
            <w:r w:rsidR="00F54B08">
              <w:rPr>
                <w:noProof/>
                <w:webHidden/>
              </w:rPr>
              <w:fldChar w:fldCharType="begin"/>
            </w:r>
            <w:r w:rsidR="00F54B08">
              <w:rPr>
                <w:noProof/>
                <w:webHidden/>
              </w:rPr>
              <w:instrText xml:space="preserve"> PAGEREF _Toc501528266 \h </w:instrText>
            </w:r>
            <w:r w:rsidR="00F54B08">
              <w:rPr>
                <w:noProof/>
                <w:webHidden/>
              </w:rPr>
            </w:r>
            <w:r w:rsidR="00F54B08">
              <w:rPr>
                <w:noProof/>
                <w:webHidden/>
              </w:rPr>
              <w:fldChar w:fldCharType="separate"/>
            </w:r>
            <w:r>
              <w:rPr>
                <w:noProof/>
                <w:webHidden/>
              </w:rPr>
              <w:t>13</w:t>
            </w:r>
            <w:r w:rsidR="00F54B08">
              <w:rPr>
                <w:noProof/>
                <w:webHidden/>
              </w:rPr>
              <w:fldChar w:fldCharType="end"/>
            </w:r>
          </w:hyperlink>
        </w:p>
        <w:p w14:paraId="05EF91F2" w14:textId="77777777" w:rsidR="00F54B08" w:rsidRDefault="00B114E4">
          <w:pPr>
            <w:pStyle w:val="TOC3"/>
            <w:rPr>
              <w:rFonts w:asciiTheme="minorHAnsi" w:eastAsiaTheme="minorEastAsia" w:hAnsiTheme="minorHAnsi" w:cstheme="minorBidi"/>
              <w:b w:val="0"/>
              <w:noProof/>
              <w:sz w:val="22"/>
              <w:szCs w:val="22"/>
            </w:rPr>
          </w:pPr>
          <w:hyperlink w:anchor="_Toc501528267" w:history="1">
            <w:r w:rsidR="00F54B08" w:rsidRPr="00B4339B">
              <w:rPr>
                <w:rStyle w:val="Hyperlink"/>
                <w:noProof/>
              </w:rPr>
              <w:t>1.</w:t>
            </w:r>
            <w:r w:rsidR="00F54B08">
              <w:rPr>
                <w:rFonts w:asciiTheme="minorHAnsi" w:eastAsiaTheme="minorEastAsia" w:hAnsiTheme="minorHAnsi" w:cstheme="minorBidi"/>
                <w:b w:val="0"/>
                <w:noProof/>
                <w:sz w:val="22"/>
                <w:szCs w:val="22"/>
              </w:rPr>
              <w:tab/>
            </w:r>
            <w:r w:rsidR="00F54B08" w:rsidRPr="00B4339B">
              <w:rPr>
                <w:rStyle w:val="Hyperlink"/>
                <w:noProof/>
              </w:rPr>
              <w:t>Positions of the Parties</w:t>
            </w:r>
            <w:r w:rsidR="00F54B08">
              <w:rPr>
                <w:noProof/>
                <w:webHidden/>
              </w:rPr>
              <w:tab/>
            </w:r>
            <w:r w:rsidR="00F54B08">
              <w:rPr>
                <w:noProof/>
                <w:webHidden/>
              </w:rPr>
              <w:fldChar w:fldCharType="begin"/>
            </w:r>
            <w:r w:rsidR="00F54B08">
              <w:rPr>
                <w:noProof/>
                <w:webHidden/>
              </w:rPr>
              <w:instrText xml:space="preserve"> PAGEREF _Toc501528267 \h </w:instrText>
            </w:r>
            <w:r w:rsidR="00F54B08">
              <w:rPr>
                <w:noProof/>
                <w:webHidden/>
              </w:rPr>
            </w:r>
            <w:r w:rsidR="00F54B08">
              <w:rPr>
                <w:noProof/>
                <w:webHidden/>
              </w:rPr>
              <w:fldChar w:fldCharType="separate"/>
            </w:r>
            <w:r>
              <w:rPr>
                <w:noProof/>
                <w:webHidden/>
              </w:rPr>
              <w:t>13</w:t>
            </w:r>
            <w:r w:rsidR="00F54B08">
              <w:rPr>
                <w:noProof/>
                <w:webHidden/>
              </w:rPr>
              <w:fldChar w:fldCharType="end"/>
            </w:r>
          </w:hyperlink>
        </w:p>
        <w:p w14:paraId="52BEA79C" w14:textId="77777777" w:rsidR="00F54B08" w:rsidRDefault="00B114E4">
          <w:pPr>
            <w:pStyle w:val="TOC3"/>
            <w:rPr>
              <w:rFonts w:asciiTheme="minorHAnsi" w:eastAsiaTheme="minorEastAsia" w:hAnsiTheme="minorHAnsi" w:cstheme="minorBidi"/>
              <w:b w:val="0"/>
              <w:noProof/>
              <w:sz w:val="22"/>
              <w:szCs w:val="22"/>
            </w:rPr>
          </w:pPr>
          <w:hyperlink w:anchor="_Toc501528268" w:history="1">
            <w:r w:rsidR="00F54B08" w:rsidRPr="00B4339B">
              <w:rPr>
                <w:rStyle w:val="Hyperlink"/>
                <w:noProof/>
              </w:rPr>
              <w:t>2.</w:t>
            </w:r>
            <w:r w:rsidR="00F54B08">
              <w:rPr>
                <w:rFonts w:asciiTheme="minorHAnsi" w:eastAsiaTheme="minorEastAsia" w:hAnsiTheme="minorHAnsi" w:cstheme="minorBidi"/>
                <w:b w:val="0"/>
                <w:noProof/>
                <w:sz w:val="22"/>
                <w:szCs w:val="22"/>
              </w:rPr>
              <w:tab/>
            </w:r>
            <w:r w:rsidR="00F54B08" w:rsidRPr="00B4339B">
              <w:rPr>
                <w:rStyle w:val="Hyperlink"/>
                <w:noProof/>
              </w:rPr>
              <w:t>Discussion on Solar DG Residential Customers</w:t>
            </w:r>
            <w:r w:rsidR="00F54B08">
              <w:rPr>
                <w:noProof/>
                <w:webHidden/>
              </w:rPr>
              <w:tab/>
            </w:r>
            <w:r w:rsidR="00F54B08">
              <w:rPr>
                <w:noProof/>
                <w:webHidden/>
              </w:rPr>
              <w:fldChar w:fldCharType="begin"/>
            </w:r>
            <w:r w:rsidR="00F54B08">
              <w:rPr>
                <w:noProof/>
                <w:webHidden/>
              </w:rPr>
              <w:instrText xml:space="preserve"> PAGEREF _Toc501528268 \h </w:instrText>
            </w:r>
            <w:r w:rsidR="00F54B08">
              <w:rPr>
                <w:noProof/>
                <w:webHidden/>
              </w:rPr>
            </w:r>
            <w:r w:rsidR="00F54B08">
              <w:rPr>
                <w:noProof/>
                <w:webHidden/>
              </w:rPr>
              <w:fldChar w:fldCharType="separate"/>
            </w:r>
            <w:r>
              <w:rPr>
                <w:noProof/>
                <w:webHidden/>
              </w:rPr>
              <w:t>15</w:t>
            </w:r>
            <w:r w:rsidR="00F54B08">
              <w:rPr>
                <w:noProof/>
                <w:webHidden/>
              </w:rPr>
              <w:fldChar w:fldCharType="end"/>
            </w:r>
          </w:hyperlink>
        </w:p>
        <w:p w14:paraId="7730FC70" w14:textId="77777777" w:rsidR="00F54B08" w:rsidRDefault="00B114E4">
          <w:pPr>
            <w:pStyle w:val="TOC3"/>
            <w:rPr>
              <w:rFonts w:asciiTheme="minorHAnsi" w:eastAsiaTheme="minorEastAsia" w:hAnsiTheme="minorHAnsi" w:cstheme="minorBidi"/>
              <w:b w:val="0"/>
              <w:noProof/>
              <w:sz w:val="22"/>
              <w:szCs w:val="22"/>
            </w:rPr>
          </w:pPr>
          <w:hyperlink w:anchor="_Toc501528269" w:history="1">
            <w:r w:rsidR="00F54B08" w:rsidRPr="00B4339B">
              <w:rPr>
                <w:rStyle w:val="Hyperlink"/>
                <w:noProof/>
              </w:rPr>
              <w:t>3.</w:t>
            </w:r>
            <w:r w:rsidR="00F54B08">
              <w:rPr>
                <w:rFonts w:asciiTheme="minorHAnsi" w:eastAsiaTheme="minorEastAsia" w:hAnsiTheme="minorHAnsi" w:cstheme="minorBidi"/>
                <w:b w:val="0"/>
                <w:noProof/>
                <w:sz w:val="22"/>
                <w:szCs w:val="22"/>
              </w:rPr>
              <w:tab/>
            </w:r>
            <w:r w:rsidR="00F54B08" w:rsidRPr="00B4339B">
              <w:rPr>
                <w:rStyle w:val="Hyperlink"/>
                <w:noProof/>
              </w:rPr>
              <w:t>Discussion on COSS / Cost Allocation / Direct Assignment</w:t>
            </w:r>
            <w:r w:rsidR="00F54B08">
              <w:rPr>
                <w:noProof/>
                <w:webHidden/>
              </w:rPr>
              <w:tab/>
            </w:r>
            <w:r w:rsidR="00F54B08">
              <w:rPr>
                <w:noProof/>
                <w:webHidden/>
              </w:rPr>
              <w:fldChar w:fldCharType="begin"/>
            </w:r>
            <w:r w:rsidR="00F54B08">
              <w:rPr>
                <w:noProof/>
                <w:webHidden/>
              </w:rPr>
              <w:instrText xml:space="preserve"> PAGEREF _Toc501528269 \h </w:instrText>
            </w:r>
            <w:r w:rsidR="00F54B08">
              <w:rPr>
                <w:noProof/>
                <w:webHidden/>
              </w:rPr>
            </w:r>
            <w:r w:rsidR="00F54B08">
              <w:rPr>
                <w:noProof/>
                <w:webHidden/>
              </w:rPr>
              <w:fldChar w:fldCharType="separate"/>
            </w:r>
            <w:r>
              <w:rPr>
                <w:noProof/>
                <w:webHidden/>
              </w:rPr>
              <w:t>15</w:t>
            </w:r>
            <w:r w:rsidR="00F54B08">
              <w:rPr>
                <w:noProof/>
                <w:webHidden/>
              </w:rPr>
              <w:fldChar w:fldCharType="end"/>
            </w:r>
          </w:hyperlink>
        </w:p>
        <w:p w14:paraId="2D513CB0" w14:textId="77777777" w:rsidR="00F54B08" w:rsidRDefault="00B114E4">
          <w:pPr>
            <w:pStyle w:val="TOC3"/>
            <w:rPr>
              <w:rFonts w:asciiTheme="minorHAnsi" w:eastAsiaTheme="minorEastAsia" w:hAnsiTheme="minorHAnsi" w:cstheme="minorBidi"/>
              <w:b w:val="0"/>
              <w:noProof/>
              <w:sz w:val="22"/>
              <w:szCs w:val="22"/>
            </w:rPr>
          </w:pPr>
          <w:hyperlink w:anchor="_Toc501528270" w:history="1">
            <w:r w:rsidR="00F54B08" w:rsidRPr="00B4339B">
              <w:rPr>
                <w:rStyle w:val="Hyperlink"/>
                <w:noProof/>
              </w:rPr>
              <w:t>4.</w:t>
            </w:r>
            <w:r w:rsidR="00F54B08">
              <w:rPr>
                <w:rFonts w:asciiTheme="minorHAnsi" w:eastAsiaTheme="minorEastAsia" w:hAnsiTheme="minorHAnsi" w:cstheme="minorBidi"/>
                <w:b w:val="0"/>
                <w:noProof/>
                <w:sz w:val="22"/>
                <w:szCs w:val="22"/>
              </w:rPr>
              <w:tab/>
            </w:r>
            <w:r w:rsidR="00F54B08" w:rsidRPr="00B4339B">
              <w:rPr>
                <w:rStyle w:val="Hyperlink"/>
                <w:noProof/>
              </w:rPr>
              <w:t>MRCC Application</w:t>
            </w:r>
            <w:r w:rsidR="00F54B08">
              <w:rPr>
                <w:noProof/>
                <w:webHidden/>
              </w:rPr>
              <w:tab/>
            </w:r>
            <w:r w:rsidR="00F54B08">
              <w:rPr>
                <w:noProof/>
                <w:webHidden/>
              </w:rPr>
              <w:fldChar w:fldCharType="begin"/>
            </w:r>
            <w:r w:rsidR="00F54B08">
              <w:rPr>
                <w:noProof/>
                <w:webHidden/>
              </w:rPr>
              <w:instrText xml:space="preserve"> PAGEREF _Toc501528270 \h </w:instrText>
            </w:r>
            <w:r w:rsidR="00F54B08">
              <w:rPr>
                <w:noProof/>
                <w:webHidden/>
              </w:rPr>
            </w:r>
            <w:r w:rsidR="00F54B08">
              <w:rPr>
                <w:noProof/>
                <w:webHidden/>
              </w:rPr>
              <w:fldChar w:fldCharType="separate"/>
            </w:r>
            <w:r>
              <w:rPr>
                <w:noProof/>
                <w:webHidden/>
              </w:rPr>
              <w:t>15</w:t>
            </w:r>
            <w:r w:rsidR="00F54B08">
              <w:rPr>
                <w:noProof/>
                <w:webHidden/>
              </w:rPr>
              <w:fldChar w:fldCharType="end"/>
            </w:r>
          </w:hyperlink>
        </w:p>
        <w:p w14:paraId="20920A46" w14:textId="77777777" w:rsidR="00F54B08" w:rsidRDefault="00B114E4">
          <w:pPr>
            <w:pStyle w:val="TOC2"/>
            <w:rPr>
              <w:rFonts w:asciiTheme="minorHAnsi" w:eastAsiaTheme="minorEastAsia" w:hAnsiTheme="minorHAnsi" w:cstheme="minorBidi"/>
              <w:b w:val="0"/>
              <w:smallCaps w:val="0"/>
              <w:noProof/>
              <w:sz w:val="22"/>
              <w:szCs w:val="22"/>
            </w:rPr>
          </w:pPr>
          <w:hyperlink w:anchor="_Toc501528271" w:history="1">
            <w:r w:rsidR="00F54B08" w:rsidRPr="00B4339B">
              <w:rPr>
                <w:rStyle w:val="Hyperlink"/>
                <w:noProof/>
              </w:rPr>
              <w:t>C.</w:t>
            </w:r>
            <w:r w:rsidR="00F54B08">
              <w:rPr>
                <w:rFonts w:asciiTheme="minorHAnsi" w:eastAsiaTheme="minorEastAsia" w:hAnsiTheme="minorHAnsi" w:cstheme="minorBidi"/>
                <w:b w:val="0"/>
                <w:smallCaps w:val="0"/>
                <w:noProof/>
                <w:sz w:val="22"/>
                <w:szCs w:val="22"/>
              </w:rPr>
              <w:tab/>
            </w:r>
            <w:r w:rsidR="00F54B08" w:rsidRPr="00B4339B">
              <w:rPr>
                <w:rStyle w:val="Hyperlink"/>
                <w:noProof/>
              </w:rPr>
              <w:t>FERC Accounts</w:t>
            </w:r>
            <w:r w:rsidR="00F54B08">
              <w:rPr>
                <w:noProof/>
                <w:webHidden/>
              </w:rPr>
              <w:tab/>
            </w:r>
            <w:r w:rsidR="00F54B08">
              <w:rPr>
                <w:noProof/>
                <w:webHidden/>
              </w:rPr>
              <w:fldChar w:fldCharType="begin"/>
            </w:r>
            <w:r w:rsidR="00F54B08">
              <w:rPr>
                <w:noProof/>
                <w:webHidden/>
              </w:rPr>
              <w:instrText xml:space="preserve"> PAGEREF _Toc501528271 \h </w:instrText>
            </w:r>
            <w:r w:rsidR="00F54B08">
              <w:rPr>
                <w:noProof/>
                <w:webHidden/>
              </w:rPr>
            </w:r>
            <w:r w:rsidR="00F54B08">
              <w:rPr>
                <w:noProof/>
                <w:webHidden/>
              </w:rPr>
              <w:fldChar w:fldCharType="separate"/>
            </w:r>
            <w:r>
              <w:rPr>
                <w:noProof/>
                <w:webHidden/>
              </w:rPr>
              <w:t>16</w:t>
            </w:r>
            <w:r w:rsidR="00F54B08">
              <w:rPr>
                <w:noProof/>
                <w:webHidden/>
              </w:rPr>
              <w:fldChar w:fldCharType="end"/>
            </w:r>
          </w:hyperlink>
        </w:p>
        <w:p w14:paraId="1DA0ED35" w14:textId="77777777" w:rsidR="00F54B08" w:rsidRDefault="00B114E4">
          <w:pPr>
            <w:pStyle w:val="TOC3"/>
            <w:rPr>
              <w:rFonts w:asciiTheme="minorHAnsi" w:eastAsiaTheme="minorEastAsia" w:hAnsiTheme="minorHAnsi" w:cstheme="minorBidi"/>
              <w:b w:val="0"/>
              <w:noProof/>
              <w:sz w:val="22"/>
              <w:szCs w:val="22"/>
            </w:rPr>
          </w:pPr>
          <w:hyperlink w:anchor="_Toc501528272" w:history="1">
            <w:r w:rsidR="00F54B08" w:rsidRPr="00B4339B">
              <w:rPr>
                <w:rStyle w:val="Hyperlink"/>
                <w:noProof/>
              </w:rPr>
              <w:t>1.</w:t>
            </w:r>
            <w:r w:rsidR="00F54B08">
              <w:rPr>
                <w:rFonts w:asciiTheme="minorHAnsi" w:eastAsiaTheme="minorEastAsia" w:hAnsiTheme="minorHAnsi" w:cstheme="minorBidi"/>
                <w:b w:val="0"/>
                <w:noProof/>
                <w:sz w:val="22"/>
                <w:szCs w:val="22"/>
              </w:rPr>
              <w:tab/>
            </w:r>
            <w:r w:rsidR="00F54B08" w:rsidRPr="00B4339B">
              <w:rPr>
                <w:rStyle w:val="Hyperlink"/>
                <w:noProof/>
              </w:rPr>
              <w:t>Balance Sheet Accounts 100-299</w:t>
            </w:r>
            <w:r w:rsidR="00F54B08">
              <w:rPr>
                <w:noProof/>
                <w:webHidden/>
              </w:rPr>
              <w:tab/>
            </w:r>
            <w:r w:rsidR="00F54B08">
              <w:rPr>
                <w:noProof/>
                <w:webHidden/>
              </w:rPr>
              <w:fldChar w:fldCharType="begin"/>
            </w:r>
            <w:r w:rsidR="00F54B08">
              <w:rPr>
                <w:noProof/>
                <w:webHidden/>
              </w:rPr>
              <w:instrText xml:space="preserve"> PAGEREF _Toc501528272 \h </w:instrText>
            </w:r>
            <w:r w:rsidR="00F54B08">
              <w:rPr>
                <w:noProof/>
                <w:webHidden/>
              </w:rPr>
            </w:r>
            <w:r w:rsidR="00F54B08">
              <w:rPr>
                <w:noProof/>
                <w:webHidden/>
              </w:rPr>
              <w:fldChar w:fldCharType="separate"/>
            </w:r>
            <w:r>
              <w:rPr>
                <w:noProof/>
                <w:webHidden/>
              </w:rPr>
              <w:t>17</w:t>
            </w:r>
            <w:r w:rsidR="00F54B08">
              <w:rPr>
                <w:noProof/>
                <w:webHidden/>
              </w:rPr>
              <w:fldChar w:fldCharType="end"/>
            </w:r>
          </w:hyperlink>
        </w:p>
        <w:p w14:paraId="41B8D28F" w14:textId="77777777" w:rsidR="00F54B08" w:rsidRDefault="00B114E4">
          <w:pPr>
            <w:pStyle w:val="TOC4"/>
            <w:rPr>
              <w:rFonts w:asciiTheme="minorHAnsi" w:eastAsiaTheme="minorEastAsia" w:hAnsiTheme="minorHAnsi" w:cstheme="minorBidi"/>
              <w:b w:val="0"/>
              <w:noProof/>
              <w:sz w:val="22"/>
              <w:szCs w:val="22"/>
            </w:rPr>
          </w:pPr>
          <w:hyperlink w:anchor="_Toc501528273" w:history="1">
            <w:r w:rsidR="00F54B08" w:rsidRPr="00B4339B">
              <w:rPr>
                <w:rStyle w:val="Hyperlink"/>
                <w:noProof/>
              </w:rPr>
              <w:t>a.</w:t>
            </w:r>
            <w:r w:rsidR="00F54B08">
              <w:rPr>
                <w:rFonts w:asciiTheme="minorHAnsi" w:eastAsiaTheme="minorEastAsia" w:hAnsiTheme="minorHAnsi" w:cstheme="minorBidi"/>
                <w:b w:val="0"/>
                <w:noProof/>
                <w:sz w:val="22"/>
                <w:szCs w:val="22"/>
              </w:rPr>
              <w:tab/>
            </w:r>
            <w:r w:rsidR="00F54B08" w:rsidRPr="00B4339B">
              <w:rPr>
                <w:rStyle w:val="Hyperlink"/>
                <w:noProof/>
              </w:rPr>
              <w:t>Rate Base Additions</w:t>
            </w:r>
            <w:r w:rsidR="00F54B08">
              <w:rPr>
                <w:noProof/>
                <w:webHidden/>
              </w:rPr>
              <w:tab/>
            </w:r>
            <w:r w:rsidR="00F54B08">
              <w:rPr>
                <w:noProof/>
                <w:webHidden/>
              </w:rPr>
              <w:fldChar w:fldCharType="begin"/>
            </w:r>
            <w:r w:rsidR="00F54B08">
              <w:rPr>
                <w:noProof/>
                <w:webHidden/>
              </w:rPr>
              <w:instrText xml:space="preserve"> PAGEREF _Toc501528273 \h </w:instrText>
            </w:r>
            <w:r w:rsidR="00F54B08">
              <w:rPr>
                <w:noProof/>
                <w:webHidden/>
              </w:rPr>
            </w:r>
            <w:r w:rsidR="00F54B08">
              <w:rPr>
                <w:noProof/>
                <w:webHidden/>
              </w:rPr>
              <w:fldChar w:fldCharType="separate"/>
            </w:r>
            <w:r>
              <w:rPr>
                <w:noProof/>
                <w:webHidden/>
              </w:rPr>
              <w:t>17</w:t>
            </w:r>
            <w:r w:rsidR="00F54B08">
              <w:rPr>
                <w:noProof/>
                <w:webHidden/>
              </w:rPr>
              <w:fldChar w:fldCharType="end"/>
            </w:r>
          </w:hyperlink>
        </w:p>
        <w:p w14:paraId="6A729CA7" w14:textId="77777777" w:rsidR="00F54B08" w:rsidRDefault="00B114E4">
          <w:pPr>
            <w:pStyle w:val="TOC4"/>
            <w:rPr>
              <w:rFonts w:asciiTheme="minorHAnsi" w:eastAsiaTheme="minorEastAsia" w:hAnsiTheme="minorHAnsi" w:cstheme="minorBidi"/>
              <w:b w:val="0"/>
              <w:noProof/>
              <w:sz w:val="22"/>
              <w:szCs w:val="22"/>
            </w:rPr>
          </w:pPr>
          <w:hyperlink w:anchor="_Toc501528274" w:history="1">
            <w:r w:rsidR="00F54B08" w:rsidRPr="00B4339B">
              <w:rPr>
                <w:rStyle w:val="Hyperlink"/>
                <w:noProof/>
              </w:rPr>
              <w:t>b.</w:t>
            </w:r>
            <w:r w:rsidR="00F54B08">
              <w:rPr>
                <w:rFonts w:asciiTheme="minorHAnsi" w:eastAsiaTheme="minorEastAsia" w:hAnsiTheme="minorHAnsi" w:cstheme="minorBidi"/>
                <w:b w:val="0"/>
                <w:noProof/>
                <w:sz w:val="22"/>
                <w:szCs w:val="22"/>
              </w:rPr>
              <w:tab/>
            </w:r>
            <w:r w:rsidR="00F54B08" w:rsidRPr="00B4339B">
              <w:rPr>
                <w:rStyle w:val="Hyperlink"/>
                <w:noProof/>
              </w:rPr>
              <w:t>Rate Base Deductions</w:t>
            </w:r>
            <w:r w:rsidR="00F54B08">
              <w:rPr>
                <w:noProof/>
                <w:webHidden/>
              </w:rPr>
              <w:tab/>
            </w:r>
            <w:r w:rsidR="00F54B08">
              <w:rPr>
                <w:noProof/>
                <w:webHidden/>
              </w:rPr>
              <w:fldChar w:fldCharType="begin"/>
            </w:r>
            <w:r w:rsidR="00F54B08">
              <w:rPr>
                <w:noProof/>
                <w:webHidden/>
              </w:rPr>
              <w:instrText xml:space="preserve"> PAGEREF _Toc501528274 \h </w:instrText>
            </w:r>
            <w:r w:rsidR="00F54B08">
              <w:rPr>
                <w:noProof/>
                <w:webHidden/>
              </w:rPr>
            </w:r>
            <w:r w:rsidR="00F54B08">
              <w:rPr>
                <w:noProof/>
                <w:webHidden/>
              </w:rPr>
              <w:fldChar w:fldCharType="separate"/>
            </w:r>
            <w:r>
              <w:rPr>
                <w:noProof/>
                <w:webHidden/>
              </w:rPr>
              <w:t>19</w:t>
            </w:r>
            <w:r w:rsidR="00F54B08">
              <w:rPr>
                <w:noProof/>
                <w:webHidden/>
              </w:rPr>
              <w:fldChar w:fldCharType="end"/>
            </w:r>
          </w:hyperlink>
        </w:p>
        <w:p w14:paraId="49F0914D" w14:textId="77777777" w:rsidR="00F54B08" w:rsidRDefault="00B114E4">
          <w:pPr>
            <w:pStyle w:val="TOC3"/>
            <w:rPr>
              <w:rFonts w:asciiTheme="minorHAnsi" w:eastAsiaTheme="minorEastAsia" w:hAnsiTheme="minorHAnsi" w:cstheme="minorBidi"/>
              <w:b w:val="0"/>
              <w:noProof/>
              <w:sz w:val="22"/>
              <w:szCs w:val="22"/>
            </w:rPr>
          </w:pPr>
          <w:hyperlink w:anchor="_Toc501528275" w:history="1">
            <w:r w:rsidR="00F54B08" w:rsidRPr="00B4339B">
              <w:rPr>
                <w:rStyle w:val="Hyperlink"/>
                <w:noProof/>
              </w:rPr>
              <w:t>2.</w:t>
            </w:r>
            <w:r w:rsidR="00F54B08">
              <w:rPr>
                <w:rFonts w:asciiTheme="minorHAnsi" w:eastAsiaTheme="minorEastAsia" w:hAnsiTheme="minorHAnsi" w:cstheme="minorBidi"/>
                <w:b w:val="0"/>
                <w:noProof/>
                <w:sz w:val="22"/>
                <w:szCs w:val="22"/>
              </w:rPr>
              <w:tab/>
            </w:r>
            <w:r w:rsidR="00F54B08" w:rsidRPr="00B4339B">
              <w:rPr>
                <w:rStyle w:val="Hyperlink"/>
                <w:noProof/>
              </w:rPr>
              <w:t>Electric Plant Accounts 301 – 399.1</w:t>
            </w:r>
            <w:r w:rsidR="00F54B08">
              <w:rPr>
                <w:noProof/>
                <w:webHidden/>
              </w:rPr>
              <w:tab/>
            </w:r>
            <w:r w:rsidR="00F54B08">
              <w:rPr>
                <w:noProof/>
                <w:webHidden/>
              </w:rPr>
              <w:fldChar w:fldCharType="begin"/>
            </w:r>
            <w:r w:rsidR="00F54B08">
              <w:rPr>
                <w:noProof/>
                <w:webHidden/>
              </w:rPr>
              <w:instrText xml:space="preserve"> PAGEREF _Toc501528275 \h </w:instrText>
            </w:r>
            <w:r w:rsidR="00F54B08">
              <w:rPr>
                <w:noProof/>
                <w:webHidden/>
              </w:rPr>
            </w:r>
            <w:r w:rsidR="00F54B08">
              <w:rPr>
                <w:noProof/>
                <w:webHidden/>
              </w:rPr>
              <w:fldChar w:fldCharType="separate"/>
            </w:r>
            <w:r>
              <w:rPr>
                <w:noProof/>
                <w:webHidden/>
              </w:rPr>
              <w:t>20</w:t>
            </w:r>
            <w:r w:rsidR="00F54B08">
              <w:rPr>
                <w:noProof/>
                <w:webHidden/>
              </w:rPr>
              <w:fldChar w:fldCharType="end"/>
            </w:r>
          </w:hyperlink>
        </w:p>
        <w:p w14:paraId="2D03209F" w14:textId="77777777" w:rsidR="00F54B08" w:rsidRDefault="00B114E4">
          <w:pPr>
            <w:pStyle w:val="TOC4"/>
            <w:rPr>
              <w:rFonts w:asciiTheme="minorHAnsi" w:eastAsiaTheme="minorEastAsia" w:hAnsiTheme="minorHAnsi" w:cstheme="minorBidi"/>
              <w:b w:val="0"/>
              <w:noProof/>
              <w:sz w:val="22"/>
              <w:szCs w:val="22"/>
            </w:rPr>
          </w:pPr>
          <w:hyperlink w:anchor="_Toc501528276" w:history="1">
            <w:r w:rsidR="00F54B08" w:rsidRPr="00B4339B">
              <w:rPr>
                <w:rStyle w:val="Hyperlink"/>
                <w:noProof/>
              </w:rPr>
              <w:t>a.</w:t>
            </w:r>
            <w:r w:rsidR="00F54B08">
              <w:rPr>
                <w:rFonts w:asciiTheme="minorHAnsi" w:eastAsiaTheme="minorEastAsia" w:hAnsiTheme="minorHAnsi" w:cstheme="minorBidi"/>
                <w:b w:val="0"/>
                <w:noProof/>
                <w:sz w:val="22"/>
                <w:szCs w:val="22"/>
              </w:rPr>
              <w:tab/>
            </w:r>
            <w:r w:rsidR="00F54B08" w:rsidRPr="00B4339B">
              <w:rPr>
                <w:rStyle w:val="Hyperlink"/>
                <w:noProof/>
              </w:rPr>
              <w:t>Intangible Plant Accounts 301-303</w:t>
            </w:r>
            <w:r w:rsidR="00F54B08">
              <w:rPr>
                <w:noProof/>
                <w:webHidden/>
              </w:rPr>
              <w:tab/>
            </w:r>
            <w:r w:rsidR="00F54B08">
              <w:rPr>
                <w:noProof/>
                <w:webHidden/>
              </w:rPr>
              <w:fldChar w:fldCharType="begin"/>
            </w:r>
            <w:r w:rsidR="00F54B08">
              <w:rPr>
                <w:noProof/>
                <w:webHidden/>
              </w:rPr>
              <w:instrText xml:space="preserve"> PAGEREF _Toc501528276 \h </w:instrText>
            </w:r>
            <w:r w:rsidR="00F54B08">
              <w:rPr>
                <w:noProof/>
                <w:webHidden/>
              </w:rPr>
            </w:r>
            <w:r w:rsidR="00F54B08">
              <w:rPr>
                <w:noProof/>
                <w:webHidden/>
              </w:rPr>
              <w:fldChar w:fldCharType="separate"/>
            </w:r>
            <w:r>
              <w:rPr>
                <w:noProof/>
                <w:webHidden/>
              </w:rPr>
              <w:t>20</w:t>
            </w:r>
            <w:r w:rsidR="00F54B08">
              <w:rPr>
                <w:noProof/>
                <w:webHidden/>
              </w:rPr>
              <w:fldChar w:fldCharType="end"/>
            </w:r>
          </w:hyperlink>
        </w:p>
        <w:p w14:paraId="6C0751F2" w14:textId="77777777" w:rsidR="00F54B08" w:rsidRDefault="00B114E4">
          <w:pPr>
            <w:pStyle w:val="TOC4"/>
            <w:rPr>
              <w:rFonts w:asciiTheme="minorHAnsi" w:eastAsiaTheme="minorEastAsia" w:hAnsiTheme="minorHAnsi" w:cstheme="minorBidi"/>
              <w:b w:val="0"/>
              <w:noProof/>
              <w:sz w:val="22"/>
              <w:szCs w:val="22"/>
            </w:rPr>
          </w:pPr>
          <w:hyperlink w:anchor="_Toc501528277" w:history="1">
            <w:r w:rsidR="00F54B08" w:rsidRPr="00B4339B">
              <w:rPr>
                <w:rStyle w:val="Hyperlink"/>
                <w:noProof/>
              </w:rPr>
              <w:t>b.</w:t>
            </w:r>
            <w:r w:rsidR="00F54B08">
              <w:rPr>
                <w:rFonts w:asciiTheme="minorHAnsi" w:eastAsiaTheme="minorEastAsia" w:hAnsiTheme="minorHAnsi" w:cstheme="minorBidi"/>
                <w:b w:val="0"/>
                <w:noProof/>
                <w:sz w:val="22"/>
                <w:szCs w:val="22"/>
              </w:rPr>
              <w:tab/>
            </w:r>
            <w:r w:rsidR="00F54B08" w:rsidRPr="00B4339B">
              <w:rPr>
                <w:rStyle w:val="Hyperlink"/>
                <w:noProof/>
              </w:rPr>
              <w:t>Distribution Plant Accounts 360-363</w:t>
            </w:r>
            <w:r w:rsidR="00F54B08">
              <w:rPr>
                <w:noProof/>
                <w:webHidden/>
              </w:rPr>
              <w:tab/>
            </w:r>
            <w:r w:rsidR="00F54B08">
              <w:rPr>
                <w:noProof/>
                <w:webHidden/>
              </w:rPr>
              <w:fldChar w:fldCharType="begin"/>
            </w:r>
            <w:r w:rsidR="00F54B08">
              <w:rPr>
                <w:noProof/>
                <w:webHidden/>
              </w:rPr>
              <w:instrText xml:space="preserve"> PAGEREF _Toc501528277 \h </w:instrText>
            </w:r>
            <w:r w:rsidR="00F54B08">
              <w:rPr>
                <w:noProof/>
                <w:webHidden/>
              </w:rPr>
            </w:r>
            <w:r w:rsidR="00F54B08">
              <w:rPr>
                <w:noProof/>
                <w:webHidden/>
              </w:rPr>
              <w:fldChar w:fldCharType="separate"/>
            </w:r>
            <w:r>
              <w:rPr>
                <w:noProof/>
                <w:webHidden/>
              </w:rPr>
              <w:t>21</w:t>
            </w:r>
            <w:r w:rsidR="00F54B08">
              <w:rPr>
                <w:noProof/>
                <w:webHidden/>
              </w:rPr>
              <w:fldChar w:fldCharType="end"/>
            </w:r>
          </w:hyperlink>
        </w:p>
        <w:p w14:paraId="6FDF971D" w14:textId="77777777" w:rsidR="00F54B08" w:rsidRDefault="00B114E4">
          <w:pPr>
            <w:pStyle w:val="TOC4"/>
            <w:rPr>
              <w:rFonts w:asciiTheme="minorHAnsi" w:eastAsiaTheme="minorEastAsia" w:hAnsiTheme="minorHAnsi" w:cstheme="minorBidi"/>
              <w:b w:val="0"/>
              <w:noProof/>
              <w:sz w:val="22"/>
              <w:szCs w:val="22"/>
            </w:rPr>
          </w:pPr>
          <w:hyperlink w:anchor="_Toc501528278" w:history="1">
            <w:r w:rsidR="00F54B08" w:rsidRPr="00B4339B">
              <w:rPr>
                <w:rStyle w:val="Hyperlink"/>
                <w:noProof/>
              </w:rPr>
              <w:t>c.</w:t>
            </w:r>
            <w:r w:rsidR="00F54B08">
              <w:rPr>
                <w:rFonts w:asciiTheme="minorHAnsi" w:eastAsiaTheme="minorEastAsia" w:hAnsiTheme="minorHAnsi" w:cstheme="minorBidi"/>
                <w:b w:val="0"/>
                <w:noProof/>
                <w:sz w:val="22"/>
                <w:szCs w:val="22"/>
              </w:rPr>
              <w:tab/>
            </w:r>
            <w:r w:rsidR="00F54B08" w:rsidRPr="00B4339B">
              <w:rPr>
                <w:rStyle w:val="Hyperlink"/>
                <w:noProof/>
              </w:rPr>
              <w:t>Distribution Plant Accounts 364 – 370</w:t>
            </w:r>
            <w:r w:rsidR="00F54B08">
              <w:rPr>
                <w:noProof/>
                <w:webHidden/>
              </w:rPr>
              <w:tab/>
            </w:r>
            <w:r w:rsidR="00F54B08">
              <w:rPr>
                <w:noProof/>
                <w:webHidden/>
              </w:rPr>
              <w:fldChar w:fldCharType="begin"/>
            </w:r>
            <w:r w:rsidR="00F54B08">
              <w:rPr>
                <w:noProof/>
                <w:webHidden/>
              </w:rPr>
              <w:instrText xml:space="preserve"> PAGEREF _Toc501528278 \h </w:instrText>
            </w:r>
            <w:r w:rsidR="00F54B08">
              <w:rPr>
                <w:noProof/>
                <w:webHidden/>
              </w:rPr>
            </w:r>
            <w:r w:rsidR="00F54B08">
              <w:rPr>
                <w:noProof/>
                <w:webHidden/>
              </w:rPr>
              <w:fldChar w:fldCharType="separate"/>
            </w:r>
            <w:r>
              <w:rPr>
                <w:noProof/>
                <w:webHidden/>
              </w:rPr>
              <w:t>22</w:t>
            </w:r>
            <w:r w:rsidR="00F54B08">
              <w:rPr>
                <w:noProof/>
                <w:webHidden/>
              </w:rPr>
              <w:fldChar w:fldCharType="end"/>
            </w:r>
          </w:hyperlink>
        </w:p>
        <w:p w14:paraId="6FB52A72" w14:textId="77777777" w:rsidR="00F54B08" w:rsidRDefault="00B114E4">
          <w:pPr>
            <w:pStyle w:val="TOC4"/>
            <w:rPr>
              <w:rFonts w:asciiTheme="minorHAnsi" w:eastAsiaTheme="minorEastAsia" w:hAnsiTheme="minorHAnsi" w:cstheme="minorBidi"/>
              <w:b w:val="0"/>
              <w:noProof/>
              <w:sz w:val="22"/>
              <w:szCs w:val="22"/>
            </w:rPr>
          </w:pPr>
          <w:hyperlink w:anchor="_Toc501528279" w:history="1">
            <w:r w:rsidR="00F54B08" w:rsidRPr="00B4339B">
              <w:rPr>
                <w:rStyle w:val="Hyperlink"/>
                <w:noProof/>
              </w:rPr>
              <w:t>d.</w:t>
            </w:r>
            <w:r w:rsidR="00F54B08">
              <w:rPr>
                <w:rFonts w:asciiTheme="minorHAnsi" w:eastAsiaTheme="minorEastAsia" w:hAnsiTheme="minorHAnsi" w:cstheme="minorBidi"/>
                <w:b w:val="0"/>
                <w:noProof/>
                <w:sz w:val="22"/>
                <w:szCs w:val="22"/>
              </w:rPr>
              <w:tab/>
            </w:r>
            <w:r w:rsidR="00F54B08" w:rsidRPr="00B4339B">
              <w:rPr>
                <w:rStyle w:val="Hyperlink"/>
                <w:noProof/>
              </w:rPr>
              <w:t>Distribution Plant Accounts 371-374</w:t>
            </w:r>
            <w:r w:rsidR="00F54B08">
              <w:rPr>
                <w:noProof/>
                <w:webHidden/>
              </w:rPr>
              <w:tab/>
            </w:r>
            <w:r w:rsidR="00F54B08">
              <w:rPr>
                <w:noProof/>
                <w:webHidden/>
              </w:rPr>
              <w:fldChar w:fldCharType="begin"/>
            </w:r>
            <w:r w:rsidR="00F54B08">
              <w:rPr>
                <w:noProof/>
                <w:webHidden/>
              </w:rPr>
              <w:instrText xml:space="preserve"> PAGEREF _Toc501528279 \h </w:instrText>
            </w:r>
            <w:r w:rsidR="00F54B08">
              <w:rPr>
                <w:noProof/>
                <w:webHidden/>
              </w:rPr>
            </w:r>
            <w:r w:rsidR="00F54B08">
              <w:rPr>
                <w:noProof/>
                <w:webHidden/>
              </w:rPr>
              <w:fldChar w:fldCharType="separate"/>
            </w:r>
            <w:r>
              <w:rPr>
                <w:noProof/>
                <w:webHidden/>
              </w:rPr>
              <w:t>24</w:t>
            </w:r>
            <w:r w:rsidR="00F54B08">
              <w:rPr>
                <w:noProof/>
                <w:webHidden/>
              </w:rPr>
              <w:fldChar w:fldCharType="end"/>
            </w:r>
          </w:hyperlink>
        </w:p>
        <w:p w14:paraId="142A3B72" w14:textId="77777777" w:rsidR="00F54B08" w:rsidRDefault="00B114E4">
          <w:pPr>
            <w:pStyle w:val="TOC4"/>
            <w:rPr>
              <w:rFonts w:asciiTheme="minorHAnsi" w:eastAsiaTheme="minorEastAsia" w:hAnsiTheme="minorHAnsi" w:cstheme="minorBidi"/>
              <w:b w:val="0"/>
              <w:noProof/>
              <w:sz w:val="22"/>
              <w:szCs w:val="22"/>
            </w:rPr>
          </w:pPr>
          <w:hyperlink w:anchor="_Toc501528280" w:history="1">
            <w:r w:rsidR="00F54B08" w:rsidRPr="00B4339B">
              <w:rPr>
                <w:rStyle w:val="Hyperlink"/>
                <w:noProof/>
              </w:rPr>
              <w:t>e.</w:t>
            </w:r>
            <w:r w:rsidR="00F54B08">
              <w:rPr>
                <w:rFonts w:asciiTheme="minorHAnsi" w:eastAsiaTheme="minorEastAsia" w:hAnsiTheme="minorHAnsi" w:cstheme="minorBidi"/>
                <w:b w:val="0"/>
                <w:noProof/>
                <w:sz w:val="22"/>
                <w:szCs w:val="22"/>
              </w:rPr>
              <w:tab/>
            </w:r>
            <w:r w:rsidR="00F54B08" w:rsidRPr="00B4339B">
              <w:rPr>
                <w:rStyle w:val="Hyperlink"/>
                <w:noProof/>
              </w:rPr>
              <w:t>General Plant Accounts 389-399.1</w:t>
            </w:r>
            <w:r w:rsidR="00F54B08">
              <w:rPr>
                <w:noProof/>
                <w:webHidden/>
              </w:rPr>
              <w:tab/>
            </w:r>
            <w:r w:rsidR="00F54B08">
              <w:rPr>
                <w:noProof/>
                <w:webHidden/>
              </w:rPr>
              <w:fldChar w:fldCharType="begin"/>
            </w:r>
            <w:r w:rsidR="00F54B08">
              <w:rPr>
                <w:noProof/>
                <w:webHidden/>
              </w:rPr>
              <w:instrText xml:space="preserve"> PAGEREF _Toc501528280 \h </w:instrText>
            </w:r>
            <w:r w:rsidR="00F54B08">
              <w:rPr>
                <w:noProof/>
                <w:webHidden/>
              </w:rPr>
            </w:r>
            <w:r w:rsidR="00F54B08">
              <w:rPr>
                <w:noProof/>
                <w:webHidden/>
              </w:rPr>
              <w:fldChar w:fldCharType="separate"/>
            </w:r>
            <w:r>
              <w:rPr>
                <w:noProof/>
                <w:webHidden/>
              </w:rPr>
              <w:t>24</w:t>
            </w:r>
            <w:r w:rsidR="00F54B08">
              <w:rPr>
                <w:noProof/>
                <w:webHidden/>
              </w:rPr>
              <w:fldChar w:fldCharType="end"/>
            </w:r>
          </w:hyperlink>
        </w:p>
        <w:p w14:paraId="33374AC6" w14:textId="77777777" w:rsidR="00F54B08" w:rsidRDefault="00B114E4">
          <w:pPr>
            <w:pStyle w:val="TOC3"/>
            <w:rPr>
              <w:rFonts w:asciiTheme="minorHAnsi" w:eastAsiaTheme="minorEastAsia" w:hAnsiTheme="minorHAnsi" w:cstheme="minorBidi"/>
              <w:b w:val="0"/>
              <w:noProof/>
              <w:sz w:val="22"/>
              <w:szCs w:val="22"/>
            </w:rPr>
          </w:pPr>
          <w:hyperlink w:anchor="_Toc501528281" w:history="1">
            <w:r w:rsidR="00F54B08" w:rsidRPr="00B4339B">
              <w:rPr>
                <w:rStyle w:val="Hyperlink"/>
                <w:noProof/>
              </w:rPr>
              <w:t>3.</w:t>
            </w:r>
            <w:r w:rsidR="00F54B08">
              <w:rPr>
                <w:rFonts w:asciiTheme="minorHAnsi" w:eastAsiaTheme="minorEastAsia" w:hAnsiTheme="minorHAnsi" w:cstheme="minorBidi"/>
                <w:b w:val="0"/>
                <w:noProof/>
                <w:sz w:val="22"/>
                <w:szCs w:val="22"/>
              </w:rPr>
              <w:tab/>
            </w:r>
            <w:r w:rsidR="00F54B08" w:rsidRPr="00B4339B">
              <w:rPr>
                <w:rStyle w:val="Hyperlink"/>
                <w:noProof/>
              </w:rPr>
              <w:t>Income Accounts 400 – 408.1</w:t>
            </w:r>
            <w:r w:rsidR="00F54B08">
              <w:rPr>
                <w:noProof/>
                <w:webHidden/>
              </w:rPr>
              <w:tab/>
            </w:r>
            <w:r w:rsidR="00F54B08">
              <w:rPr>
                <w:noProof/>
                <w:webHidden/>
              </w:rPr>
              <w:fldChar w:fldCharType="begin"/>
            </w:r>
            <w:r w:rsidR="00F54B08">
              <w:rPr>
                <w:noProof/>
                <w:webHidden/>
              </w:rPr>
              <w:instrText xml:space="preserve"> PAGEREF _Toc501528281 \h </w:instrText>
            </w:r>
            <w:r w:rsidR="00F54B08">
              <w:rPr>
                <w:noProof/>
                <w:webHidden/>
              </w:rPr>
            </w:r>
            <w:r w:rsidR="00F54B08">
              <w:rPr>
                <w:noProof/>
                <w:webHidden/>
              </w:rPr>
              <w:fldChar w:fldCharType="separate"/>
            </w:r>
            <w:r>
              <w:rPr>
                <w:noProof/>
                <w:webHidden/>
              </w:rPr>
              <w:t>26</w:t>
            </w:r>
            <w:r w:rsidR="00F54B08">
              <w:rPr>
                <w:noProof/>
                <w:webHidden/>
              </w:rPr>
              <w:fldChar w:fldCharType="end"/>
            </w:r>
          </w:hyperlink>
        </w:p>
        <w:p w14:paraId="6B3C56E8" w14:textId="77777777" w:rsidR="00F54B08" w:rsidRDefault="00B114E4">
          <w:pPr>
            <w:pStyle w:val="TOC3"/>
            <w:rPr>
              <w:rFonts w:asciiTheme="minorHAnsi" w:eastAsiaTheme="minorEastAsia" w:hAnsiTheme="minorHAnsi" w:cstheme="minorBidi"/>
              <w:b w:val="0"/>
              <w:noProof/>
              <w:sz w:val="22"/>
              <w:szCs w:val="22"/>
            </w:rPr>
          </w:pPr>
          <w:hyperlink w:anchor="_Toc501528282" w:history="1">
            <w:r w:rsidR="00F54B08" w:rsidRPr="00B4339B">
              <w:rPr>
                <w:rStyle w:val="Hyperlink"/>
                <w:noProof/>
              </w:rPr>
              <w:t>4.</w:t>
            </w:r>
            <w:r w:rsidR="00F54B08">
              <w:rPr>
                <w:rFonts w:asciiTheme="minorHAnsi" w:eastAsiaTheme="minorEastAsia" w:hAnsiTheme="minorHAnsi" w:cstheme="minorBidi"/>
                <w:b w:val="0"/>
                <w:noProof/>
                <w:sz w:val="22"/>
                <w:szCs w:val="22"/>
              </w:rPr>
              <w:tab/>
            </w:r>
            <w:r w:rsidR="00F54B08" w:rsidRPr="00B4339B">
              <w:rPr>
                <w:rStyle w:val="Hyperlink"/>
                <w:noProof/>
              </w:rPr>
              <w:t>Other Operating Revenue – Accounts 447 - 457</w:t>
            </w:r>
            <w:r w:rsidR="00F54B08">
              <w:rPr>
                <w:noProof/>
                <w:webHidden/>
              </w:rPr>
              <w:tab/>
            </w:r>
            <w:r w:rsidR="00F54B08">
              <w:rPr>
                <w:noProof/>
                <w:webHidden/>
              </w:rPr>
              <w:fldChar w:fldCharType="begin"/>
            </w:r>
            <w:r w:rsidR="00F54B08">
              <w:rPr>
                <w:noProof/>
                <w:webHidden/>
              </w:rPr>
              <w:instrText xml:space="preserve"> PAGEREF _Toc501528282 \h </w:instrText>
            </w:r>
            <w:r w:rsidR="00F54B08">
              <w:rPr>
                <w:noProof/>
                <w:webHidden/>
              </w:rPr>
            </w:r>
            <w:r w:rsidR="00F54B08">
              <w:rPr>
                <w:noProof/>
                <w:webHidden/>
              </w:rPr>
              <w:fldChar w:fldCharType="separate"/>
            </w:r>
            <w:r>
              <w:rPr>
                <w:noProof/>
                <w:webHidden/>
              </w:rPr>
              <w:t>27</w:t>
            </w:r>
            <w:r w:rsidR="00F54B08">
              <w:rPr>
                <w:noProof/>
                <w:webHidden/>
              </w:rPr>
              <w:fldChar w:fldCharType="end"/>
            </w:r>
          </w:hyperlink>
        </w:p>
        <w:p w14:paraId="04DEFF57" w14:textId="77777777" w:rsidR="00F54B08" w:rsidRDefault="00B114E4">
          <w:pPr>
            <w:pStyle w:val="TOC3"/>
            <w:rPr>
              <w:rFonts w:asciiTheme="minorHAnsi" w:eastAsiaTheme="minorEastAsia" w:hAnsiTheme="minorHAnsi" w:cstheme="minorBidi"/>
              <w:b w:val="0"/>
              <w:noProof/>
              <w:sz w:val="22"/>
              <w:szCs w:val="22"/>
            </w:rPr>
          </w:pPr>
          <w:hyperlink w:anchor="_Toc501528283" w:history="1">
            <w:r w:rsidR="00F54B08" w:rsidRPr="00B4339B">
              <w:rPr>
                <w:rStyle w:val="Hyperlink"/>
                <w:noProof/>
              </w:rPr>
              <w:t>5.</w:t>
            </w:r>
            <w:r w:rsidR="00F54B08">
              <w:rPr>
                <w:rFonts w:asciiTheme="minorHAnsi" w:eastAsiaTheme="minorEastAsia" w:hAnsiTheme="minorHAnsi" w:cstheme="minorBidi"/>
                <w:b w:val="0"/>
                <w:noProof/>
                <w:sz w:val="22"/>
                <w:szCs w:val="22"/>
              </w:rPr>
              <w:tab/>
            </w:r>
            <w:r w:rsidR="00F54B08" w:rsidRPr="00B4339B">
              <w:rPr>
                <w:rStyle w:val="Hyperlink"/>
                <w:noProof/>
              </w:rPr>
              <w:t>Distribution Expenses Accounts 500-599</w:t>
            </w:r>
            <w:r w:rsidR="00F54B08">
              <w:rPr>
                <w:noProof/>
                <w:webHidden/>
              </w:rPr>
              <w:tab/>
            </w:r>
            <w:r w:rsidR="00F54B08">
              <w:rPr>
                <w:noProof/>
                <w:webHidden/>
              </w:rPr>
              <w:fldChar w:fldCharType="begin"/>
            </w:r>
            <w:r w:rsidR="00F54B08">
              <w:rPr>
                <w:noProof/>
                <w:webHidden/>
              </w:rPr>
              <w:instrText xml:space="preserve"> PAGEREF _Toc501528283 \h </w:instrText>
            </w:r>
            <w:r w:rsidR="00F54B08">
              <w:rPr>
                <w:noProof/>
                <w:webHidden/>
              </w:rPr>
            </w:r>
            <w:r w:rsidR="00F54B08">
              <w:rPr>
                <w:noProof/>
                <w:webHidden/>
              </w:rPr>
              <w:fldChar w:fldCharType="separate"/>
            </w:r>
            <w:r>
              <w:rPr>
                <w:noProof/>
                <w:webHidden/>
              </w:rPr>
              <w:t>28</w:t>
            </w:r>
            <w:r w:rsidR="00F54B08">
              <w:rPr>
                <w:noProof/>
                <w:webHidden/>
              </w:rPr>
              <w:fldChar w:fldCharType="end"/>
            </w:r>
          </w:hyperlink>
        </w:p>
        <w:p w14:paraId="79F66639" w14:textId="77777777" w:rsidR="00F54B08" w:rsidRDefault="00B114E4">
          <w:pPr>
            <w:pStyle w:val="TOC3"/>
            <w:rPr>
              <w:rFonts w:asciiTheme="minorHAnsi" w:eastAsiaTheme="minorEastAsia" w:hAnsiTheme="minorHAnsi" w:cstheme="minorBidi"/>
              <w:b w:val="0"/>
              <w:noProof/>
              <w:sz w:val="22"/>
              <w:szCs w:val="22"/>
            </w:rPr>
          </w:pPr>
          <w:hyperlink w:anchor="_Toc501528284" w:history="1">
            <w:r w:rsidR="00F54B08" w:rsidRPr="00B4339B">
              <w:rPr>
                <w:rStyle w:val="Hyperlink"/>
                <w:noProof/>
              </w:rPr>
              <w:t>6.</w:t>
            </w:r>
            <w:r w:rsidR="00F54B08">
              <w:rPr>
                <w:rFonts w:asciiTheme="minorHAnsi" w:eastAsiaTheme="minorEastAsia" w:hAnsiTheme="minorHAnsi" w:cstheme="minorBidi"/>
                <w:b w:val="0"/>
                <w:noProof/>
                <w:sz w:val="22"/>
                <w:szCs w:val="22"/>
              </w:rPr>
              <w:tab/>
            </w:r>
            <w:r w:rsidR="00F54B08" w:rsidRPr="00B4339B">
              <w:rPr>
                <w:rStyle w:val="Hyperlink"/>
                <w:noProof/>
              </w:rPr>
              <w:t>Customer Accounts Expenses, Accounts 901- 905</w:t>
            </w:r>
            <w:r w:rsidR="00F54B08">
              <w:rPr>
                <w:noProof/>
                <w:webHidden/>
              </w:rPr>
              <w:tab/>
            </w:r>
            <w:r w:rsidR="00F54B08">
              <w:rPr>
                <w:noProof/>
                <w:webHidden/>
              </w:rPr>
              <w:fldChar w:fldCharType="begin"/>
            </w:r>
            <w:r w:rsidR="00F54B08">
              <w:rPr>
                <w:noProof/>
                <w:webHidden/>
              </w:rPr>
              <w:instrText xml:space="preserve"> PAGEREF _Toc501528284 \h </w:instrText>
            </w:r>
            <w:r w:rsidR="00F54B08">
              <w:rPr>
                <w:noProof/>
                <w:webHidden/>
              </w:rPr>
            </w:r>
            <w:r w:rsidR="00F54B08">
              <w:rPr>
                <w:noProof/>
                <w:webHidden/>
              </w:rPr>
              <w:fldChar w:fldCharType="separate"/>
            </w:r>
            <w:r>
              <w:rPr>
                <w:noProof/>
                <w:webHidden/>
              </w:rPr>
              <w:t>30</w:t>
            </w:r>
            <w:r w:rsidR="00F54B08">
              <w:rPr>
                <w:noProof/>
                <w:webHidden/>
              </w:rPr>
              <w:fldChar w:fldCharType="end"/>
            </w:r>
          </w:hyperlink>
        </w:p>
        <w:p w14:paraId="7CBC8CB1" w14:textId="77777777" w:rsidR="00F54B08" w:rsidRDefault="00B114E4">
          <w:pPr>
            <w:pStyle w:val="TOC3"/>
            <w:rPr>
              <w:rFonts w:asciiTheme="minorHAnsi" w:eastAsiaTheme="minorEastAsia" w:hAnsiTheme="minorHAnsi" w:cstheme="minorBidi"/>
              <w:b w:val="0"/>
              <w:noProof/>
              <w:sz w:val="22"/>
              <w:szCs w:val="22"/>
            </w:rPr>
          </w:pPr>
          <w:hyperlink w:anchor="_Toc501528285" w:history="1">
            <w:r w:rsidR="00F54B08" w:rsidRPr="00B4339B">
              <w:rPr>
                <w:rStyle w:val="Hyperlink"/>
                <w:noProof/>
              </w:rPr>
              <w:t>7.</w:t>
            </w:r>
            <w:r w:rsidR="00F54B08">
              <w:rPr>
                <w:rFonts w:asciiTheme="minorHAnsi" w:eastAsiaTheme="minorEastAsia" w:hAnsiTheme="minorHAnsi" w:cstheme="minorBidi"/>
                <w:b w:val="0"/>
                <w:noProof/>
                <w:sz w:val="22"/>
                <w:szCs w:val="22"/>
              </w:rPr>
              <w:tab/>
            </w:r>
            <w:r w:rsidR="00F54B08" w:rsidRPr="00B4339B">
              <w:rPr>
                <w:rStyle w:val="Hyperlink"/>
                <w:noProof/>
              </w:rPr>
              <w:t>Customer Service and Informational Expenses</w:t>
            </w:r>
            <w:r w:rsidR="00F54B08">
              <w:rPr>
                <w:noProof/>
                <w:webHidden/>
              </w:rPr>
              <w:tab/>
            </w:r>
            <w:r w:rsidR="00F54B08">
              <w:rPr>
                <w:noProof/>
                <w:webHidden/>
              </w:rPr>
              <w:fldChar w:fldCharType="begin"/>
            </w:r>
            <w:r w:rsidR="00F54B08">
              <w:rPr>
                <w:noProof/>
                <w:webHidden/>
              </w:rPr>
              <w:instrText xml:space="preserve"> PAGEREF _Toc501528285 \h </w:instrText>
            </w:r>
            <w:r w:rsidR="00F54B08">
              <w:rPr>
                <w:noProof/>
                <w:webHidden/>
              </w:rPr>
            </w:r>
            <w:r w:rsidR="00F54B08">
              <w:rPr>
                <w:noProof/>
                <w:webHidden/>
              </w:rPr>
              <w:fldChar w:fldCharType="separate"/>
            </w:r>
            <w:r>
              <w:rPr>
                <w:noProof/>
                <w:webHidden/>
              </w:rPr>
              <w:t>32</w:t>
            </w:r>
            <w:r w:rsidR="00F54B08">
              <w:rPr>
                <w:noProof/>
                <w:webHidden/>
              </w:rPr>
              <w:fldChar w:fldCharType="end"/>
            </w:r>
          </w:hyperlink>
        </w:p>
        <w:p w14:paraId="686E6965" w14:textId="77777777" w:rsidR="00F54B08" w:rsidRDefault="00B114E4">
          <w:pPr>
            <w:pStyle w:val="TOC3"/>
            <w:rPr>
              <w:rFonts w:asciiTheme="minorHAnsi" w:eastAsiaTheme="minorEastAsia" w:hAnsiTheme="minorHAnsi" w:cstheme="minorBidi"/>
              <w:b w:val="0"/>
              <w:noProof/>
              <w:sz w:val="22"/>
              <w:szCs w:val="22"/>
            </w:rPr>
          </w:pPr>
          <w:hyperlink w:anchor="_Toc501528286" w:history="1">
            <w:r w:rsidR="00F54B08" w:rsidRPr="00B4339B">
              <w:rPr>
                <w:rStyle w:val="Hyperlink"/>
                <w:noProof/>
              </w:rPr>
              <w:t>8.</w:t>
            </w:r>
            <w:r w:rsidR="00F54B08">
              <w:rPr>
                <w:rFonts w:asciiTheme="minorHAnsi" w:eastAsiaTheme="minorEastAsia" w:hAnsiTheme="minorHAnsi" w:cstheme="minorBidi"/>
                <w:b w:val="0"/>
                <w:noProof/>
                <w:sz w:val="22"/>
                <w:szCs w:val="22"/>
              </w:rPr>
              <w:tab/>
            </w:r>
            <w:r w:rsidR="00F54B08" w:rsidRPr="00B4339B">
              <w:rPr>
                <w:rStyle w:val="Hyperlink"/>
                <w:noProof/>
              </w:rPr>
              <w:t>Sales Expenses</w:t>
            </w:r>
            <w:r w:rsidR="00F54B08">
              <w:rPr>
                <w:noProof/>
                <w:webHidden/>
              </w:rPr>
              <w:tab/>
            </w:r>
            <w:r w:rsidR="00F54B08">
              <w:rPr>
                <w:noProof/>
                <w:webHidden/>
              </w:rPr>
              <w:fldChar w:fldCharType="begin"/>
            </w:r>
            <w:r w:rsidR="00F54B08">
              <w:rPr>
                <w:noProof/>
                <w:webHidden/>
              </w:rPr>
              <w:instrText xml:space="preserve"> PAGEREF _Toc501528286 \h </w:instrText>
            </w:r>
            <w:r w:rsidR="00F54B08">
              <w:rPr>
                <w:noProof/>
                <w:webHidden/>
              </w:rPr>
            </w:r>
            <w:r w:rsidR="00F54B08">
              <w:rPr>
                <w:noProof/>
                <w:webHidden/>
              </w:rPr>
              <w:fldChar w:fldCharType="separate"/>
            </w:r>
            <w:r>
              <w:rPr>
                <w:noProof/>
                <w:webHidden/>
              </w:rPr>
              <w:t>33</w:t>
            </w:r>
            <w:r w:rsidR="00F54B08">
              <w:rPr>
                <w:noProof/>
                <w:webHidden/>
              </w:rPr>
              <w:fldChar w:fldCharType="end"/>
            </w:r>
          </w:hyperlink>
        </w:p>
        <w:p w14:paraId="6ECE34B6" w14:textId="77777777" w:rsidR="00F54B08" w:rsidRDefault="00B114E4">
          <w:pPr>
            <w:pStyle w:val="TOC3"/>
            <w:rPr>
              <w:rFonts w:asciiTheme="minorHAnsi" w:eastAsiaTheme="minorEastAsia" w:hAnsiTheme="minorHAnsi" w:cstheme="minorBidi"/>
              <w:b w:val="0"/>
              <w:noProof/>
              <w:sz w:val="22"/>
              <w:szCs w:val="22"/>
            </w:rPr>
          </w:pPr>
          <w:hyperlink w:anchor="_Toc501528287" w:history="1">
            <w:r w:rsidR="00F54B08" w:rsidRPr="00B4339B">
              <w:rPr>
                <w:rStyle w:val="Hyperlink"/>
                <w:noProof/>
              </w:rPr>
              <w:t>9.</w:t>
            </w:r>
            <w:r w:rsidR="00F54B08">
              <w:rPr>
                <w:rFonts w:asciiTheme="minorHAnsi" w:eastAsiaTheme="minorEastAsia" w:hAnsiTheme="minorHAnsi" w:cstheme="minorBidi"/>
                <w:b w:val="0"/>
                <w:noProof/>
                <w:sz w:val="22"/>
                <w:szCs w:val="22"/>
              </w:rPr>
              <w:tab/>
            </w:r>
            <w:r w:rsidR="00F54B08" w:rsidRPr="00B4339B">
              <w:rPr>
                <w:rStyle w:val="Hyperlink"/>
                <w:noProof/>
              </w:rPr>
              <w:t>Administrative and General Expenses</w:t>
            </w:r>
            <w:r w:rsidR="00F54B08">
              <w:rPr>
                <w:noProof/>
                <w:webHidden/>
              </w:rPr>
              <w:tab/>
            </w:r>
            <w:r w:rsidR="00F54B08">
              <w:rPr>
                <w:noProof/>
                <w:webHidden/>
              </w:rPr>
              <w:fldChar w:fldCharType="begin"/>
            </w:r>
            <w:r w:rsidR="00F54B08">
              <w:rPr>
                <w:noProof/>
                <w:webHidden/>
              </w:rPr>
              <w:instrText xml:space="preserve"> PAGEREF _Toc501528287 \h </w:instrText>
            </w:r>
            <w:r w:rsidR="00F54B08">
              <w:rPr>
                <w:noProof/>
                <w:webHidden/>
              </w:rPr>
            </w:r>
            <w:r w:rsidR="00F54B08">
              <w:rPr>
                <w:noProof/>
                <w:webHidden/>
              </w:rPr>
              <w:fldChar w:fldCharType="separate"/>
            </w:r>
            <w:r>
              <w:rPr>
                <w:noProof/>
                <w:webHidden/>
              </w:rPr>
              <w:t>33</w:t>
            </w:r>
            <w:r w:rsidR="00F54B08">
              <w:rPr>
                <w:noProof/>
                <w:webHidden/>
              </w:rPr>
              <w:fldChar w:fldCharType="end"/>
            </w:r>
          </w:hyperlink>
        </w:p>
        <w:p w14:paraId="77C90EF8" w14:textId="77777777" w:rsidR="00F54B08" w:rsidRDefault="00B114E4">
          <w:pPr>
            <w:pStyle w:val="TOC2"/>
            <w:rPr>
              <w:rFonts w:asciiTheme="minorHAnsi" w:eastAsiaTheme="minorEastAsia" w:hAnsiTheme="minorHAnsi" w:cstheme="minorBidi"/>
              <w:b w:val="0"/>
              <w:smallCaps w:val="0"/>
              <w:noProof/>
              <w:sz w:val="22"/>
              <w:szCs w:val="22"/>
            </w:rPr>
          </w:pPr>
          <w:hyperlink w:anchor="_Toc501528288" w:history="1">
            <w:r w:rsidR="00F54B08" w:rsidRPr="00B4339B">
              <w:rPr>
                <w:rStyle w:val="Hyperlink"/>
                <w:noProof/>
              </w:rPr>
              <w:t>D.</w:t>
            </w:r>
            <w:r w:rsidR="00F54B08">
              <w:rPr>
                <w:rFonts w:asciiTheme="minorHAnsi" w:eastAsiaTheme="minorEastAsia" w:hAnsiTheme="minorHAnsi" w:cstheme="minorBidi"/>
                <w:b w:val="0"/>
                <w:smallCaps w:val="0"/>
                <w:noProof/>
                <w:sz w:val="22"/>
                <w:szCs w:val="22"/>
              </w:rPr>
              <w:tab/>
            </w:r>
            <w:r w:rsidR="00F54B08" w:rsidRPr="00B4339B">
              <w:rPr>
                <w:rStyle w:val="Hyperlink"/>
                <w:noProof/>
              </w:rPr>
              <w:t>Test Year vs. Rate Year Data</w:t>
            </w:r>
            <w:r w:rsidR="00F54B08">
              <w:rPr>
                <w:noProof/>
                <w:webHidden/>
              </w:rPr>
              <w:tab/>
            </w:r>
            <w:r w:rsidR="00F54B08">
              <w:rPr>
                <w:noProof/>
                <w:webHidden/>
              </w:rPr>
              <w:fldChar w:fldCharType="begin"/>
            </w:r>
            <w:r w:rsidR="00F54B08">
              <w:rPr>
                <w:noProof/>
                <w:webHidden/>
              </w:rPr>
              <w:instrText xml:space="preserve"> PAGEREF _Toc501528288 \h </w:instrText>
            </w:r>
            <w:r w:rsidR="00F54B08">
              <w:rPr>
                <w:noProof/>
                <w:webHidden/>
              </w:rPr>
            </w:r>
            <w:r w:rsidR="00F54B08">
              <w:rPr>
                <w:noProof/>
                <w:webHidden/>
              </w:rPr>
              <w:fldChar w:fldCharType="separate"/>
            </w:r>
            <w:r>
              <w:rPr>
                <w:noProof/>
                <w:webHidden/>
              </w:rPr>
              <w:t>36</w:t>
            </w:r>
            <w:r w:rsidR="00F54B08">
              <w:rPr>
                <w:noProof/>
                <w:webHidden/>
              </w:rPr>
              <w:fldChar w:fldCharType="end"/>
            </w:r>
          </w:hyperlink>
        </w:p>
        <w:p w14:paraId="77502CD0" w14:textId="77777777" w:rsidR="00F54B08" w:rsidRDefault="00B114E4">
          <w:pPr>
            <w:pStyle w:val="TOC2"/>
            <w:rPr>
              <w:rFonts w:asciiTheme="minorHAnsi" w:eastAsiaTheme="minorEastAsia" w:hAnsiTheme="minorHAnsi" w:cstheme="minorBidi"/>
              <w:b w:val="0"/>
              <w:smallCaps w:val="0"/>
              <w:noProof/>
              <w:sz w:val="22"/>
              <w:szCs w:val="22"/>
            </w:rPr>
          </w:pPr>
          <w:hyperlink w:anchor="_Toc501528289" w:history="1">
            <w:r w:rsidR="00F54B08" w:rsidRPr="00B4339B">
              <w:rPr>
                <w:rStyle w:val="Hyperlink"/>
                <w:noProof/>
              </w:rPr>
              <w:t>E.</w:t>
            </w:r>
            <w:r w:rsidR="00F54B08">
              <w:rPr>
                <w:rFonts w:asciiTheme="minorHAnsi" w:eastAsiaTheme="minorEastAsia" w:hAnsiTheme="minorHAnsi" w:cstheme="minorBidi"/>
                <w:b w:val="0"/>
                <w:smallCaps w:val="0"/>
                <w:noProof/>
                <w:sz w:val="22"/>
                <w:szCs w:val="22"/>
              </w:rPr>
              <w:tab/>
            </w:r>
            <w:r w:rsidR="00F54B08" w:rsidRPr="00B4339B">
              <w:rPr>
                <w:rStyle w:val="Hyperlink"/>
                <w:noProof/>
              </w:rPr>
              <w:t>MRCC Calculation</w:t>
            </w:r>
            <w:r w:rsidR="00F54B08">
              <w:rPr>
                <w:noProof/>
                <w:webHidden/>
              </w:rPr>
              <w:tab/>
            </w:r>
            <w:r w:rsidR="00F54B08">
              <w:rPr>
                <w:noProof/>
                <w:webHidden/>
              </w:rPr>
              <w:fldChar w:fldCharType="begin"/>
            </w:r>
            <w:r w:rsidR="00F54B08">
              <w:rPr>
                <w:noProof/>
                <w:webHidden/>
              </w:rPr>
              <w:instrText xml:space="preserve"> PAGEREF _Toc501528289 \h </w:instrText>
            </w:r>
            <w:r w:rsidR="00F54B08">
              <w:rPr>
                <w:noProof/>
                <w:webHidden/>
              </w:rPr>
            </w:r>
            <w:r w:rsidR="00F54B08">
              <w:rPr>
                <w:noProof/>
                <w:webHidden/>
              </w:rPr>
              <w:fldChar w:fldCharType="separate"/>
            </w:r>
            <w:r>
              <w:rPr>
                <w:noProof/>
                <w:webHidden/>
              </w:rPr>
              <w:t>37</w:t>
            </w:r>
            <w:r w:rsidR="00F54B08">
              <w:rPr>
                <w:noProof/>
                <w:webHidden/>
              </w:rPr>
              <w:fldChar w:fldCharType="end"/>
            </w:r>
          </w:hyperlink>
        </w:p>
        <w:p w14:paraId="59D416FB" w14:textId="77777777" w:rsidR="00F54B08" w:rsidRDefault="00B114E4">
          <w:pPr>
            <w:pStyle w:val="TOC3"/>
            <w:rPr>
              <w:rFonts w:asciiTheme="minorHAnsi" w:eastAsiaTheme="minorEastAsia" w:hAnsiTheme="minorHAnsi" w:cstheme="minorBidi"/>
              <w:b w:val="0"/>
              <w:noProof/>
              <w:sz w:val="22"/>
              <w:szCs w:val="22"/>
            </w:rPr>
          </w:pPr>
          <w:hyperlink w:anchor="_Toc501528290" w:history="1">
            <w:r w:rsidR="00F54B08" w:rsidRPr="00B4339B">
              <w:rPr>
                <w:rStyle w:val="Hyperlink"/>
                <w:noProof/>
              </w:rPr>
              <w:t>1.</w:t>
            </w:r>
            <w:r w:rsidR="00F54B08">
              <w:rPr>
                <w:rFonts w:asciiTheme="minorHAnsi" w:eastAsiaTheme="minorEastAsia" w:hAnsiTheme="minorHAnsi" w:cstheme="minorBidi"/>
                <w:b w:val="0"/>
                <w:noProof/>
                <w:sz w:val="22"/>
                <w:szCs w:val="22"/>
              </w:rPr>
              <w:tab/>
            </w:r>
            <w:r w:rsidR="00F54B08" w:rsidRPr="00B4339B">
              <w:rPr>
                <w:rStyle w:val="Hyperlink"/>
                <w:noProof/>
              </w:rPr>
              <w:t>List of Includable FERC Accounts</w:t>
            </w:r>
            <w:r w:rsidR="00F54B08">
              <w:rPr>
                <w:noProof/>
                <w:webHidden/>
              </w:rPr>
              <w:tab/>
            </w:r>
            <w:r w:rsidR="00F54B08">
              <w:rPr>
                <w:noProof/>
                <w:webHidden/>
              </w:rPr>
              <w:fldChar w:fldCharType="begin"/>
            </w:r>
            <w:r w:rsidR="00F54B08">
              <w:rPr>
                <w:noProof/>
                <w:webHidden/>
              </w:rPr>
              <w:instrText xml:space="preserve"> PAGEREF _Toc501528290 \h </w:instrText>
            </w:r>
            <w:r w:rsidR="00F54B08">
              <w:rPr>
                <w:noProof/>
                <w:webHidden/>
              </w:rPr>
            </w:r>
            <w:r w:rsidR="00F54B08">
              <w:rPr>
                <w:noProof/>
                <w:webHidden/>
              </w:rPr>
              <w:fldChar w:fldCharType="separate"/>
            </w:r>
            <w:r>
              <w:rPr>
                <w:noProof/>
                <w:webHidden/>
              </w:rPr>
              <w:t>37</w:t>
            </w:r>
            <w:r w:rsidR="00F54B08">
              <w:rPr>
                <w:noProof/>
                <w:webHidden/>
              </w:rPr>
              <w:fldChar w:fldCharType="end"/>
            </w:r>
          </w:hyperlink>
        </w:p>
        <w:p w14:paraId="388278EB" w14:textId="77777777" w:rsidR="00F54B08" w:rsidRDefault="00B114E4">
          <w:pPr>
            <w:pStyle w:val="TOC3"/>
            <w:rPr>
              <w:rFonts w:asciiTheme="minorHAnsi" w:eastAsiaTheme="minorEastAsia" w:hAnsiTheme="minorHAnsi" w:cstheme="minorBidi"/>
              <w:b w:val="0"/>
              <w:noProof/>
              <w:sz w:val="22"/>
              <w:szCs w:val="22"/>
            </w:rPr>
          </w:pPr>
          <w:hyperlink w:anchor="_Toc501528291" w:history="1">
            <w:r w:rsidR="00F54B08" w:rsidRPr="00B4339B">
              <w:rPr>
                <w:rStyle w:val="Hyperlink"/>
                <w:noProof/>
              </w:rPr>
              <w:t>2.</w:t>
            </w:r>
            <w:r w:rsidR="00F54B08">
              <w:rPr>
                <w:rFonts w:asciiTheme="minorHAnsi" w:eastAsiaTheme="minorEastAsia" w:hAnsiTheme="minorHAnsi" w:cstheme="minorBidi"/>
                <w:b w:val="0"/>
                <w:noProof/>
                <w:sz w:val="22"/>
                <w:szCs w:val="22"/>
              </w:rPr>
              <w:tab/>
            </w:r>
            <w:r w:rsidR="00F54B08" w:rsidRPr="00B4339B">
              <w:rPr>
                <w:rStyle w:val="Hyperlink"/>
                <w:noProof/>
              </w:rPr>
              <w:t>Supporting Documentation</w:t>
            </w:r>
            <w:r w:rsidR="00F54B08">
              <w:rPr>
                <w:noProof/>
                <w:webHidden/>
              </w:rPr>
              <w:tab/>
            </w:r>
            <w:r w:rsidR="00F54B08">
              <w:rPr>
                <w:noProof/>
                <w:webHidden/>
              </w:rPr>
              <w:fldChar w:fldCharType="begin"/>
            </w:r>
            <w:r w:rsidR="00F54B08">
              <w:rPr>
                <w:noProof/>
                <w:webHidden/>
              </w:rPr>
              <w:instrText xml:space="preserve"> PAGEREF _Toc501528291 \h </w:instrText>
            </w:r>
            <w:r w:rsidR="00F54B08">
              <w:rPr>
                <w:noProof/>
                <w:webHidden/>
              </w:rPr>
            </w:r>
            <w:r w:rsidR="00F54B08">
              <w:rPr>
                <w:noProof/>
                <w:webHidden/>
              </w:rPr>
              <w:fldChar w:fldCharType="separate"/>
            </w:r>
            <w:r>
              <w:rPr>
                <w:noProof/>
                <w:webHidden/>
              </w:rPr>
              <w:t>39</w:t>
            </w:r>
            <w:r w:rsidR="00F54B08">
              <w:rPr>
                <w:noProof/>
                <w:webHidden/>
              </w:rPr>
              <w:fldChar w:fldCharType="end"/>
            </w:r>
          </w:hyperlink>
        </w:p>
        <w:p w14:paraId="0065B221" w14:textId="77777777" w:rsidR="00F54B08" w:rsidRDefault="00B114E4">
          <w:pPr>
            <w:pStyle w:val="TOC1"/>
            <w:rPr>
              <w:rFonts w:asciiTheme="minorHAnsi" w:eastAsiaTheme="minorEastAsia" w:hAnsiTheme="minorHAnsi" w:cstheme="minorBidi"/>
              <w:b w:val="0"/>
              <w:caps w:val="0"/>
              <w:noProof/>
              <w:sz w:val="22"/>
              <w:szCs w:val="22"/>
            </w:rPr>
          </w:pPr>
          <w:hyperlink w:anchor="_Toc501528292" w:history="1">
            <w:r w:rsidR="00F54B08" w:rsidRPr="00B4339B">
              <w:rPr>
                <w:rStyle w:val="Hyperlink"/>
                <w:noProof/>
              </w:rPr>
              <w:t>IV.</w:t>
            </w:r>
            <w:r w:rsidR="00F54B08">
              <w:rPr>
                <w:rFonts w:asciiTheme="minorHAnsi" w:eastAsiaTheme="minorEastAsia" w:hAnsiTheme="minorHAnsi" w:cstheme="minorBidi"/>
                <w:b w:val="0"/>
                <w:caps w:val="0"/>
                <w:noProof/>
                <w:sz w:val="22"/>
                <w:szCs w:val="22"/>
              </w:rPr>
              <w:tab/>
            </w:r>
            <w:r w:rsidR="00F54B08" w:rsidRPr="00B4339B">
              <w:rPr>
                <w:rStyle w:val="Hyperlink"/>
                <w:noProof/>
              </w:rPr>
              <w:t>FINDINGS OF FACT</w:t>
            </w:r>
            <w:r w:rsidR="00F54B08">
              <w:rPr>
                <w:noProof/>
                <w:webHidden/>
              </w:rPr>
              <w:tab/>
            </w:r>
            <w:r w:rsidR="00F54B08">
              <w:rPr>
                <w:noProof/>
                <w:webHidden/>
              </w:rPr>
              <w:fldChar w:fldCharType="begin"/>
            </w:r>
            <w:r w:rsidR="00F54B08">
              <w:rPr>
                <w:noProof/>
                <w:webHidden/>
              </w:rPr>
              <w:instrText xml:space="preserve"> PAGEREF _Toc501528292 \h </w:instrText>
            </w:r>
            <w:r w:rsidR="00F54B08">
              <w:rPr>
                <w:noProof/>
                <w:webHidden/>
              </w:rPr>
            </w:r>
            <w:r w:rsidR="00F54B08">
              <w:rPr>
                <w:noProof/>
                <w:webHidden/>
              </w:rPr>
              <w:fldChar w:fldCharType="separate"/>
            </w:r>
            <w:r>
              <w:rPr>
                <w:noProof/>
                <w:webHidden/>
              </w:rPr>
              <w:t>39</w:t>
            </w:r>
            <w:r w:rsidR="00F54B08">
              <w:rPr>
                <w:noProof/>
                <w:webHidden/>
              </w:rPr>
              <w:fldChar w:fldCharType="end"/>
            </w:r>
          </w:hyperlink>
        </w:p>
        <w:p w14:paraId="586F5EE6" w14:textId="77777777" w:rsidR="00F54B08" w:rsidRDefault="00B114E4">
          <w:pPr>
            <w:pStyle w:val="TOC1"/>
            <w:rPr>
              <w:rFonts w:asciiTheme="minorHAnsi" w:eastAsiaTheme="minorEastAsia" w:hAnsiTheme="minorHAnsi" w:cstheme="minorBidi"/>
              <w:b w:val="0"/>
              <w:caps w:val="0"/>
              <w:noProof/>
              <w:sz w:val="22"/>
              <w:szCs w:val="22"/>
            </w:rPr>
          </w:pPr>
          <w:hyperlink w:anchor="_Toc501528293" w:history="1">
            <w:r w:rsidR="00F54B08" w:rsidRPr="00B4339B">
              <w:rPr>
                <w:rStyle w:val="Hyperlink"/>
                <w:noProof/>
              </w:rPr>
              <w:t>V.</w:t>
            </w:r>
            <w:r w:rsidR="00F54B08">
              <w:rPr>
                <w:rFonts w:asciiTheme="minorHAnsi" w:eastAsiaTheme="minorEastAsia" w:hAnsiTheme="minorHAnsi" w:cstheme="minorBidi"/>
                <w:b w:val="0"/>
                <w:caps w:val="0"/>
                <w:noProof/>
                <w:sz w:val="22"/>
                <w:szCs w:val="22"/>
              </w:rPr>
              <w:tab/>
            </w:r>
            <w:r w:rsidR="00F54B08" w:rsidRPr="00B4339B">
              <w:rPr>
                <w:rStyle w:val="Hyperlink"/>
                <w:noProof/>
              </w:rPr>
              <w:t>CONCLUSION AND ORDERS</w:t>
            </w:r>
            <w:r w:rsidR="00F54B08">
              <w:rPr>
                <w:noProof/>
                <w:webHidden/>
              </w:rPr>
              <w:tab/>
            </w:r>
            <w:r w:rsidR="00F54B08">
              <w:rPr>
                <w:noProof/>
                <w:webHidden/>
              </w:rPr>
              <w:fldChar w:fldCharType="begin"/>
            </w:r>
            <w:r w:rsidR="00F54B08">
              <w:rPr>
                <w:noProof/>
                <w:webHidden/>
              </w:rPr>
              <w:instrText xml:space="preserve"> PAGEREF _Toc501528293 \h </w:instrText>
            </w:r>
            <w:r w:rsidR="00F54B08">
              <w:rPr>
                <w:noProof/>
                <w:webHidden/>
              </w:rPr>
            </w:r>
            <w:r w:rsidR="00F54B08">
              <w:rPr>
                <w:noProof/>
                <w:webHidden/>
              </w:rPr>
              <w:fldChar w:fldCharType="separate"/>
            </w:r>
            <w:r>
              <w:rPr>
                <w:noProof/>
                <w:webHidden/>
              </w:rPr>
              <w:t>43</w:t>
            </w:r>
            <w:r w:rsidR="00F54B08">
              <w:rPr>
                <w:noProof/>
                <w:webHidden/>
              </w:rPr>
              <w:fldChar w:fldCharType="end"/>
            </w:r>
          </w:hyperlink>
        </w:p>
        <w:p w14:paraId="43987F43" w14:textId="77777777" w:rsidR="00F54B08" w:rsidRDefault="00B114E4">
          <w:pPr>
            <w:pStyle w:val="TOC2"/>
            <w:rPr>
              <w:rFonts w:asciiTheme="minorHAnsi" w:eastAsiaTheme="minorEastAsia" w:hAnsiTheme="minorHAnsi" w:cstheme="minorBidi"/>
              <w:b w:val="0"/>
              <w:smallCaps w:val="0"/>
              <w:noProof/>
              <w:sz w:val="22"/>
              <w:szCs w:val="22"/>
            </w:rPr>
          </w:pPr>
          <w:hyperlink w:anchor="_Toc501528294" w:history="1">
            <w:r w:rsidR="00F54B08" w:rsidRPr="00B4339B">
              <w:rPr>
                <w:rStyle w:val="Hyperlink"/>
                <w:noProof/>
              </w:rPr>
              <w:t>A.</w:t>
            </w:r>
            <w:r w:rsidR="00F54B08">
              <w:rPr>
                <w:rFonts w:asciiTheme="minorHAnsi" w:eastAsiaTheme="minorEastAsia" w:hAnsiTheme="minorHAnsi" w:cstheme="minorBidi"/>
                <w:b w:val="0"/>
                <w:smallCaps w:val="0"/>
                <w:noProof/>
                <w:sz w:val="22"/>
                <w:szCs w:val="22"/>
              </w:rPr>
              <w:tab/>
            </w:r>
            <w:r w:rsidR="00F54B08" w:rsidRPr="00B4339B">
              <w:rPr>
                <w:rStyle w:val="Hyperlink"/>
                <w:noProof/>
              </w:rPr>
              <w:t>Conclusion</w:t>
            </w:r>
            <w:r w:rsidR="00F54B08">
              <w:rPr>
                <w:noProof/>
                <w:webHidden/>
              </w:rPr>
              <w:tab/>
            </w:r>
            <w:r w:rsidR="00F54B08">
              <w:rPr>
                <w:noProof/>
                <w:webHidden/>
              </w:rPr>
              <w:fldChar w:fldCharType="begin"/>
            </w:r>
            <w:r w:rsidR="00F54B08">
              <w:rPr>
                <w:noProof/>
                <w:webHidden/>
              </w:rPr>
              <w:instrText xml:space="preserve"> PAGEREF _Toc501528294 \h </w:instrText>
            </w:r>
            <w:r w:rsidR="00F54B08">
              <w:rPr>
                <w:noProof/>
                <w:webHidden/>
              </w:rPr>
            </w:r>
            <w:r w:rsidR="00F54B08">
              <w:rPr>
                <w:noProof/>
                <w:webHidden/>
              </w:rPr>
              <w:fldChar w:fldCharType="separate"/>
            </w:r>
            <w:r>
              <w:rPr>
                <w:noProof/>
                <w:webHidden/>
              </w:rPr>
              <w:t>43</w:t>
            </w:r>
            <w:r w:rsidR="00F54B08">
              <w:rPr>
                <w:noProof/>
                <w:webHidden/>
              </w:rPr>
              <w:fldChar w:fldCharType="end"/>
            </w:r>
          </w:hyperlink>
        </w:p>
        <w:p w14:paraId="4C57102B" w14:textId="77777777" w:rsidR="00F54B08" w:rsidRDefault="00B114E4">
          <w:pPr>
            <w:pStyle w:val="TOC2"/>
            <w:rPr>
              <w:rFonts w:asciiTheme="minorHAnsi" w:eastAsiaTheme="minorEastAsia" w:hAnsiTheme="minorHAnsi" w:cstheme="minorBidi"/>
              <w:b w:val="0"/>
              <w:smallCaps w:val="0"/>
              <w:noProof/>
              <w:sz w:val="22"/>
              <w:szCs w:val="22"/>
            </w:rPr>
          </w:pPr>
          <w:hyperlink w:anchor="_Toc501528295" w:history="1">
            <w:r w:rsidR="00F54B08" w:rsidRPr="00B4339B">
              <w:rPr>
                <w:rStyle w:val="Hyperlink"/>
                <w:noProof/>
              </w:rPr>
              <w:t>B.</w:t>
            </w:r>
            <w:r w:rsidR="00F54B08">
              <w:rPr>
                <w:rFonts w:asciiTheme="minorHAnsi" w:eastAsiaTheme="minorEastAsia" w:hAnsiTheme="minorHAnsi" w:cstheme="minorBidi"/>
                <w:b w:val="0"/>
                <w:smallCaps w:val="0"/>
                <w:noProof/>
                <w:sz w:val="22"/>
                <w:szCs w:val="22"/>
              </w:rPr>
              <w:tab/>
            </w:r>
            <w:r w:rsidR="00F54B08" w:rsidRPr="00B4339B">
              <w:rPr>
                <w:rStyle w:val="Hyperlink"/>
                <w:noProof/>
              </w:rPr>
              <w:t>Orders</w:t>
            </w:r>
            <w:r w:rsidR="00F54B08">
              <w:rPr>
                <w:noProof/>
                <w:webHidden/>
              </w:rPr>
              <w:tab/>
            </w:r>
            <w:r w:rsidR="00F54B08">
              <w:rPr>
                <w:noProof/>
                <w:webHidden/>
              </w:rPr>
              <w:fldChar w:fldCharType="begin"/>
            </w:r>
            <w:r w:rsidR="00F54B08">
              <w:rPr>
                <w:noProof/>
                <w:webHidden/>
              </w:rPr>
              <w:instrText xml:space="preserve"> PAGEREF _Toc501528295 \h </w:instrText>
            </w:r>
            <w:r w:rsidR="00F54B08">
              <w:rPr>
                <w:noProof/>
                <w:webHidden/>
              </w:rPr>
            </w:r>
            <w:r w:rsidR="00F54B08">
              <w:rPr>
                <w:noProof/>
                <w:webHidden/>
              </w:rPr>
              <w:fldChar w:fldCharType="separate"/>
            </w:r>
            <w:r>
              <w:rPr>
                <w:noProof/>
                <w:webHidden/>
              </w:rPr>
              <w:t>44</w:t>
            </w:r>
            <w:r w:rsidR="00F54B08">
              <w:rPr>
                <w:noProof/>
                <w:webHidden/>
              </w:rPr>
              <w:fldChar w:fldCharType="end"/>
            </w:r>
          </w:hyperlink>
        </w:p>
        <w:p w14:paraId="64C4FFE9" w14:textId="77777777" w:rsidR="001A4E0D" w:rsidRDefault="009F100B" w:rsidP="001A4E0D">
          <w:r>
            <w:rPr>
              <w:b/>
              <w:bCs/>
              <w:noProof/>
            </w:rPr>
            <w:fldChar w:fldCharType="end"/>
          </w:r>
        </w:p>
      </w:sdtContent>
    </w:sdt>
    <w:p w14:paraId="4A332B29" w14:textId="77777777" w:rsidR="00445561" w:rsidRDefault="00445561" w:rsidP="001A4E0D">
      <w:pPr>
        <w:spacing w:line="240" w:lineRule="atLeast"/>
        <w:sectPr w:rsidR="00445561" w:rsidSect="006E3FE0">
          <w:headerReference w:type="default" r:id="rId13"/>
          <w:footerReference w:type="default" r:id="rId14"/>
          <w:footerReference w:type="first" r:id="rId15"/>
          <w:pgSz w:w="12240" w:h="15840" w:code="1"/>
          <w:pgMar w:top="1152" w:right="1440" w:bottom="1152" w:left="1440" w:header="432" w:footer="288" w:gutter="0"/>
          <w:paperSrc w:first="3" w:other="3"/>
          <w:pgNumType w:fmt="lowerRoman" w:start="1"/>
          <w:cols w:space="720"/>
          <w:docGrid w:linePitch="326"/>
        </w:sectPr>
      </w:pPr>
    </w:p>
    <w:p w14:paraId="218FF5E9" w14:textId="42E74D66" w:rsidR="001A4E0D" w:rsidRDefault="001A4E0D" w:rsidP="001A4E0D">
      <w:pPr>
        <w:spacing w:line="240" w:lineRule="atLeast"/>
        <w:jc w:val="center"/>
        <w:rPr>
          <w:b/>
          <w:sz w:val="26"/>
          <w:u w:val="single"/>
        </w:rPr>
      </w:pPr>
      <w:r>
        <w:rPr>
          <w:b/>
          <w:sz w:val="26"/>
          <w:u w:val="single"/>
        </w:rPr>
        <w:lastRenderedPageBreak/>
        <w:t>DECISION</w:t>
      </w:r>
    </w:p>
    <w:p w14:paraId="7C523C0E" w14:textId="77777777" w:rsidR="005756F3" w:rsidRDefault="005756F3" w:rsidP="001A4E0D"/>
    <w:p w14:paraId="0D5438FB" w14:textId="77777777" w:rsidR="002B58CD" w:rsidRDefault="002B58CD" w:rsidP="001A4E0D"/>
    <w:p w14:paraId="79D6EBF4" w14:textId="77777777" w:rsidR="001A4E0D" w:rsidRPr="0011263B" w:rsidRDefault="001A4E0D" w:rsidP="007E4DE4">
      <w:pPr>
        <w:pStyle w:val="Heading1"/>
        <w:numPr>
          <w:ilvl w:val="0"/>
          <w:numId w:val="4"/>
        </w:numPr>
        <w:tabs>
          <w:tab w:val="clear" w:pos="360"/>
        </w:tabs>
      </w:pPr>
      <w:bookmarkStart w:id="15" w:name="_Toc501528246"/>
      <w:r w:rsidRPr="0011263B">
        <w:t>INTRODUCTION</w:t>
      </w:r>
      <w:bookmarkEnd w:id="15"/>
    </w:p>
    <w:p w14:paraId="4526EE0B" w14:textId="77777777" w:rsidR="001A4E0D" w:rsidRDefault="001A4E0D" w:rsidP="001A4E0D"/>
    <w:p w14:paraId="01870653" w14:textId="77777777" w:rsidR="001A4E0D" w:rsidRDefault="001A4E0D" w:rsidP="007E4DE4">
      <w:pPr>
        <w:pStyle w:val="Heading2"/>
        <w:numPr>
          <w:ilvl w:val="1"/>
          <w:numId w:val="4"/>
        </w:numPr>
        <w:ind w:left="0" w:firstLine="0"/>
        <w:jc w:val="both"/>
      </w:pPr>
      <w:bookmarkStart w:id="16" w:name="_Toc501528247"/>
      <w:r w:rsidRPr="0011263B">
        <w:t>Summary</w:t>
      </w:r>
      <w:bookmarkEnd w:id="16"/>
      <w:r w:rsidRPr="0011263B">
        <w:t xml:space="preserve"> </w:t>
      </w:r>
    </w:p>
    <w:p w14:paraId="340A47F7" w14:textId="77777777" w:rsidR="002029D3" w:rsidRPr="002029D3" w:rsidRDefault="002029D3" w:rsidP="002029D3"/>
    <w:p w14:paraId="1B122542" w14:textId="3868046A" w:rsidR="006D5500" w:rsidRDefault="006D5500" w:rsidP="006D5500">
      <w:pPr>
        <w:ind w:firstLine="720"/>
        <w:jc w:val="both"/>
        <w:rPr>
          <w:szCs w:val="24"/>
        </w:rPr>
      </w:pPr>
      <w:r>
        <w:t>In this Decision, issued pursuant to</w:t>
      </w:r>
      <w:r w:rsidRPr="00606696">
        <w:t xml:space="preserve"> §16</w:t>
      </w:r>
      <w:r>
        <w:t>-</w:t>
      </w:r>
      <w:r w:rsidRPr="00606696">
        <w:t>243bb of the General Statutes of Connecticut</w:t>
      </w:r>
      <w:r>
        <w:t>,</w:t>
      </w:r>
      <w:r w:rsidRPr="00606696">
        <w:t xml:space="preserve"> </w:t>
      </w:r>
      <w:r>
        <w:t xml:space="preserve">the Public Utilities Regulatory Authority approves the methodology to be applied to </w:t>
      </w:r>
      <w:r>
        <w:rPr>
          <w:rFonts w:cs="Arial"/>
          <w:bCs/>
          <w:iCs/>
        </w:rPr>
        <w:t xml:space="preserve">determine the maximum customer charge for </w:t>
      </w:r>
      <w:r w:rsidR="005A4B81">
        <w:rPr>
          <w:rFonts w:cs="Arial"/>
          <w:bCs/>
          <w:iCs/>
        </w:rPr>
        <w:t xml:space="preserve">residential non-heating </w:t>
      </w:r>
      <w:r>
        <w:rPr>
          <w:rFonts w:cs="Arial"/>
          <w:bCs/>
          <w:iCs/>
        </w:rPr>
        <w:t xml:space="preserve">electricity customers of </w:t>
      </w:r>
      <w:r w:rsidRPr="00606696">
        <w:rPr>
          <w:rFonts w:cs="Arial"/>
          <w:bCs/>
          <w:iCs/>
        </w:rPr>
        <w:t xml:space="preserve">The United Illuminating Company </w:t>
      </w:r>
      <w:r>
        <w:rPr>
          <w:rFonts w:cs="Arial"/>
          <w:bCs/>
          <w:iCs/>
        </w:rPr>
        <w:t xml:space="preserve">and </w:t>
      </w:r>
      <w:r w:rsidRPr="00A34A75">
        <w:rPr>
          <w:rFonts w:cs="Arial"/>
          <w:bCs/>
          <w:iCs/>
        </w:rPr>
        <w:t>The Connecticut Light and Power Company</w:t>
      </w:r>
      <w:r w:rsidR="00A031F8">
        <w:rPr>
          <w:rFonts w:cs="Arial"/>
          <w:bCs/>
          <w:iCs/>
        </w:rPr>
        <w:t xml:space="preserve"> d/b/a Eversource Energy</w:t>
      </w:r>
      <w:r>
        <w:rPr>
          <w:rFonts w:cs="Arial"/>
          <w:bCs/>
          <w:iCs/>
        </w:rPr>
        <w:t xml:space="preserve">.  </w:t>
      </w:r>
    </w:p>
    <w:p w14:paraId="222C1531" w14:textId="77777777" w:rsidR="006D5500" w:rsidRDefault="006D5500" w:rsidP="006D5500">
      <w:pPr>
        <w:ind w:firstLine="720"/>
        <w:jc w:val="both"/>
        <w:rPr>
          <w:szCs w:val="24"/>
        </w:rPr>
      </w:pPr>
    </w:p>
    <w:p w14:paraId="3F8AB1C6" w14:textId="77777777" w:rsidR="001A4E0D" w:rsidRPr="0011263B" w:rsidRDefault="001A4E0D" w:rsidP="007E4DE4">
      <w:pPr>
        <w:pStyle w:val="Heading2"/>
        <w:numPr>
          <w:ilvl w:val="1"/>
          <w:numId w:val="4"/>
        </w:numPr>
        <w:ind w:left="0" w:firstLine="0"/>
        <w:jc w:val="both"/>
      </w:pPr>
      <w:bookmarkStart w:id="17" w:name="_Toc501528248"/>
      <w:r w:rsidRPr="0011263B">
        <w:t>Background of the Proceeding</w:t>
      </w:r>
      <w:bookmarkEnd w:id="17"/>
    </w:p>
    <w:p w14:paraId="46D2CA27" w14:textId="77777777" w:rsidR="000A0164" w:rsidRDefault="000A0164" w:rsidP="003E1168">
      <w:pPr>
        <w:ind w:firstLine="720"/>
        <w:jc w:val="both"/>
        <w:rPr>
          <w:rFonts w:cs="Arial"/>
          <w:bCs/>
          <w:iCs/>
          <w:lang w:val="en"/>
        </w:rPr>
      </w:pPr>
    </w:p>
    <w:p w14:paraId="1FA2271E" w14:textId="35D35AE0" w:rsidR="005B4C46" w:rsidRPr="00845A78" w:rsidRDefault="001C2FC2" w:rsidP="003E1168">
      <w:pPr>
        <w:ind w:firstLine="720"/>
        <w:jc w:val="both"/>
        <w:rPr>
          <w:rFonts w:cs="Arial"/>
          <w:bCs/>
          <w:szCs w:val="24"/>
        </w:rPr>
      </w:pPr>
      <w:r>
        <w:rPr>
          <w:rFonts w:cs="Arial"/>
          <w:bCs/>
          <w:szCs w:val="24"/>
        </w:rPr>
        <w:t xml:space="preserve">Section </w:t>
      </w:r>
      <w:r w:rsidR="005B4C46" w:rsidRPr="00183413">
        <w:rPr>
          <w:rFonts w:cs="Arial"/>
          <w:bCs/>
          <w:szCs w:val="24"/>
        </w:rPr>
        <w:t>16-243bb</w:t>
      </w:r>
      <w:r>
        <w:rPr>
          <w:rFonts w:cs="Arial"/>
          <w:bCs/>
          <w:szCs w:val="24"/>
        </w:rPr>
        <w:t xml:space="preserve"> of the General Statutes of Connecticut (</w:t>
      </w:r>
      <w:r w:rsidRPr="00183413">
        <w:rPr>
          <w:rFonts w:cs="Arial"/>
          <w:bCs/>
          <w:szCs w:val="24"/>
        </w:rPr>
        <w:t>Conn. Gen. Stat.</w:t>
      </w:r>
      <w:r>
        <w:rPr>
          <w:rFonts w:cs="Arial"/>
          <w:bCs/>
          <w:szCs w:val="24"/>
        </w:rPr>
        <w:t>),</w:t>
      </w:r>
      <w:r w:rsidRPr="00183413">
        <w:rPr>
          <w:rFonts w:cs="Arial"/>
          <w:bCs/>
          <w:szCs w:val="24"/>
        </w:rPr>
        <w:t xml:space="preserve"> </w:t>
      </w:r>
      <w:r w:rsidR="005B4C46" w:rsidRPr="00183413">
        <w:rPr>
          <w:rFonts w:cs="Arial"/>
          <w:bCs/>
          <w:szCs w:val="24"/>
        </w:rPr>
        <w:t>enacted in 2015, require</w:t>
      </w:r>
      <w:r>
        <w:rPr>
          <w:rFonts w:cs="Arial"/>
          <w:bCs/>
          <w:szCs w:val="24"/>
        </w:rPr>
        <w:t>d</w:t>
      </w:r>
      <w:r w:rsidR="005B4C46" w:rsidRPr="00183413">
        <w:rPr>
          <w:rFonts w:cs="Arial"/>
          <w:bCs/>
          <w:szCs w:val="24"/>
        </w:rPr>
        <w:t xml:space="preserve"> the Public Utilities Regulatory Author</w:t>
      </w:r>
      <w:r w:rsidR="00D413AB">
        <w:rPr>
          <w:rFonts w:cs="Arial"/>
          <w:bCs/>
          <w:szCs w:val="24"/>
        </w:rPr>
        <w:t>ity (Authority</w:t>
      </w:r>
      <w:r w:rsidR="002D5101">
        <w:rPr>
          <w:rFonts w:cs="Arial"/>
          <w:bCs/>
          <w:szCs w:val="24"/>
        </w:rPr>
        <w:t xml:space="preserve"> or PURA</w:t>
      </w:r>
      <w:r w:rsidR="00D413AB">
        <w:rPr>
          <w:rFonts w:cs="Arial"/>
          <w:bCs/>
          <w:szCs w:val="24"/>
        </w:rPr>
        <w:t xml:space="preserve">) to adjust each </w:t>
      </w:r>
      <w:r>
        <w:rPr>
          <w:rFonts w:cs="Arial"/>
          <w:bCs/>
          <w:szCs w:val="24"/>
        </w:rPr>
        <w:t xml:space="preserve">electric distribution company’s </w:t>
      </w:r>
      <w:r w:rsidR="00D413AB">
        <w:rPr>
          <w:rFonts w:cs="Arial"/>
          <w:bCs/>
          <w:szCs w:val="24"/>
        </w:rPr>
        <w:t>(E</w:t>
      </w:r>
      <w:r w:rsidR="005B4C46" w:rsidRPr="00183413">
        <w:rPr>
          <w:rFonts w:cs="Arial"/>
          <w:bCs/>
          <w:szCs w:val="24"/>
        </w:rPr>
        <w:t>DC</w:t>
      </w:r>
      <w:r w:rsidR="005A4B81">
        <w:rPr>
          <w:rFonts w:cs="Arial"/>
          <w:bCs/>
          <w:szCs w:val="24"/>
        </w:rPr>
        <w:t>'</w:t>
      </w:r>
      <w:r w:rsidR="005B4C46" w:rsidRPr="00183413">
        <w:rPr>
          <w:rFonts w:cs="Arial"/>
          <w:bCs/>
          <w:szCs w:val="24"/>
        </w:rPr>
        <w:t>s</w:t>
      </w:r>
      <w:r w:rsidR="00D413AB">
        <w:rPr>
          <w:rFonts w:cs="Arial"/>
          <w:bCs/>
          <w:szCs w:val="24"/>
        </w:rPr>
        <w:t>)</w:t>
      </w:r>
      <w:r w:rsidR="005B4C46" w:rsidRPr="00183413">
        <w:rPr>
          <w:rFonts w:cs="Arial"/>
          <w:bCs/>
          <w:szCs w:val="24"/>
        </w:rPr>
        <w:t xml:space="preserve"> residential </w:t>
      </w:r>
      <w:r w:rsidR="008465FD">
        <w:rPr>
          <w:rFonts w:cs="Arial"/>
          <w:bCs/>
          <w:szCs w:val="24"/>
        </w:rPr>
        <w:t xml:space="preserve">non-heating </w:t>
      </w:r>
      <w:r w:rsidR="00D969C1">
        <w:rPr>
          <w:rFonts w:cs="Arial"/>
          <w:bCs/>
          <w:szCs w:val="24"/>
        </w:rPr>
        <w:t>customer</w:t>
      </w:r>
      <w:r w:rsidR="00D969C1" w:rsidRPr="00183413">
        <w:rPr>
          <w:rFonts w:cs="Arial"/>
          <w:bCs/>
          <w:szCs w:val="24"/>
        </w:rPr>
        <w:t xml:space="preserve"> </w:t>
      </w:r>
      <w:r w:rsidR="005B4C46" w:rsidRPr="00183413">
        <w:rPr>
          <w:rFonts w:cs="Arial"/>
          <w:bCs/>
          <w:szCs w:val="24"/>
        </w:rPr>
        <w:t xml:space="preserve">charge to recover only certain costs </w:t>
      </w:r>
      <w:r w:rsidRPr="00183413">
        <w:rPr>
          <w:rFonts w:cs="Arial"/>
          <w:bCs/>
          <w:szCs w:val="24"/>
        </w:rPr>
        <w:t>and operation and maintenance</w:t>
      </w:r>
      <w:r>
        <w:rPr>
          <w:rFonts w:cs="Arial"/>
          <w:bCs/>
          <w:szCs w:val="24"/>
        </w:rPr>
        <w:t xml:space="preserve"> (O&amp;M)</w:t>
      </w:r>
      <w:r w:rsidRPr="00183413">
        <w:rPr>
          <w:rFonts w:cs="Arial"/>
          <w:bCs/>
          <w:szCs w:val="24"/>
        </w:rPr>
        <w:t xml:space="preserve"> expenses </w:t>
      </w:r>
      <w:r w:rsidR="005B4C46" w:rsidRPr="00183413">
        <w:rPr>
          <w:rFonts w:cs="Arial"/>
          <w:bCs/>
          <w:szCs w:val="24"/>
        </w:rPr>
        <w:t>associated wi</w:t>
      </w:r>
      <w:r w:rsidR="00EE2AEA">
        <w:rPr>
          <w:rFonts w:cs="Arial"/>
          <w:bCs/>
          <w:szCs w:val="24"/>
        </w:rPr>
        <w:t xml:space="preserve">th </w:t>
      </w:r>
      <w:r w:rsidR="006E61DC">
        <w:rPr>
          <w:rFonts w:cs="Arial"/>
          <w:bCs/>
          <w:szCs w:val="24"/>
        </w:rPr>
        <w:t xml:space="preserve">four </w:t>
      </w:r>
      <w:r w:rsidR="005B4C46" w:rsidRPr="00183413">
        <w:rPr>
          <w:rFonts w:cs="Arial"/>
          <w:bCs/>
          <w:szCs w:val="24"/>
        </w:rPr>
        <w:t>specified functions</w:t>
      </w:r>
      <w:r w:rsidR="006E61DC">
        <w:rPr>
          <w:rFonts w:cs="Arial"/>
          <w:bCs/>
          <w:szCs w:val="24"/>
        </w:rPr>
        <w:t>:</w:t>
      </w:r>
      <w:r w:rsidR="005B4C46" w:rsidRPr="00183413">
        <w:rPr>
          <w:rFonts w:cs="Arial"/>
          <w:bCs/>
          <w:szCs w:val="24"/>
        </w:rPr>
        <w:t xml:space="preserve"> metering, billing, service </w:t>
      </w:r>
      <w:r w:rsidR="005B4C46" w:rsidRPr="00845A78">
        <w:rPr>
          <w:rFonts w:cs="Arial"/>
          <w:bCs/>
          <w:szCs w:val="24"/>
        </w:rPr>
        <w:t xml:space="preserve">connections and the provision of customer service </w:t>
      </w:r>
      <w:r w:rsidR="007C2DDD" w:rsidRPr="00845A78">
        <w:rPr>
          <w:rFonts w:cs="Arial"/>
          <w:bCs/>
          <w:szCs w:val="24"/>
        </w:rPr>
        <w:t xml:space="preserve">(statutory functions) </w:t>
      </w:r>
      <w:r w:rsidR="005B4C46" w:rsidRPr="00845A78">
        <w:rPr>
          <w:rFonts w:cs="Arial"/>
          <w:bCs/>
          <w:szCs w:val="24"/>
        </w:rPr>
        <w:t xml:space="preserve">for residential customers.  </w:t>
      </w:r>
    </w:p>
    <w:p w14:paraId="2AC3616C" w14:textId="77777777" w:rsidR="003A7BE7" w:rsidRPr="00845A78" w:rsidRDefault="003A7BE7" w:rsidP="003E1168">
      <w:pPr>
        <w:ind w:firstLine="720"/>
        <w:jc w:val="both"/>
        <w:rPr>
          <w:rFonts w:cs="Arial"/>
          <w:bCs/>
          <w:szCs w:val="24"/>
        </w:rPr>
      </w:pPr>
    </w:p>
    <w:p w14:paraId="1B0C972E" w14:textId="2E3DB590" w:rsidR="005A4B81" w:rsidRDefault="00845A78" w:rsidP="00845A78">
      <w:pPr>
        <w:pStyle w:val="CommentText"/>
        <w:tabs>
          <w:tab w:val="left" w:pos="720"/>
        </w:tabs>
        <w:jc w:val="both"/>
        <w:rPr>
          <w:rFonts w:cs="Arial"/>
          <w:bCs/>
          <w:sz w:val="24"/>
          <w:szCs w:val="24"/>
        </w:rPr>
      </w:pPr>
      <w:r>
        <w:rPr>
          <w:rFonts w:cs="Arial"/>
          <w:bCs/>
          <w:sz w:val="24"/>
          <w:szCs w:val="24"/>
        </w:rPr>
        <w:tab/>
      </w:r>
      <w:r w:rsidR="005B4C46" w:rsidRPr="00845A78">
        <w:rPr>
          <w:rFonts w:cs="Arial"/>
          <w:bCs/>
          <w:sz w:val="24"/>
          <w:szCs w:val="24"/>
        </w:rPr>
        <w:t xml:space="preserve">In the Decision </w:t>
      </w:r>
      <w:r w:rsidR="00D236C5" w:rsidRPr="00845A78">
        <w:rPr>
          <w:rFonts w:cs="Arial"/>
          <w:bCs/>
          <w:sz w:val="24"/>
          <w:szCs w:val="24"/>
        </w:rPr>
        <w:t xml:space="preserve">dated December 14, 2016, </w:t>
      </w:r>
      <w:r w:rsidR="005B4C46" w:rsidRPr="00845A78">
        <w:rPr>
          <w:rFonts w:cs="Arial"/>
          <w:bCs/>
          <w:sz w:val="24"/>
          <w:szCs w:val="24"/>
        </w:rPr>
        <w:t xml:space="preserve">in Docket No. 16-06-04, </w:t>
      </w:r>
      <w:r w:rsidR="005B4C46" w:rsidRPr="00845A78">
        <w:rPr>
          <w:rFonts w:cs="Arial"/>
          <w:bCs/>
          <w:sz w:val="24"/>
          <w:szCs w:val="24"/>
          <w:u w:val="single"/>
        </w:rPr>
        <w:t xml:space="preserve">Application of The United Illuminating Company to Increase </w:t>
      </w:r>
      <w:r w:rsidR="00EE2AEA" w:rsidRPr="00845A78">
        <w:rPr>
          <w:rFonts w:cs="Arial"/>
          <w:bCs/>
          <w:sz w:val="24"/>
          <w:szCs w:val="24"/>
          <w:u w:val="single"/>
        </w:rPr>
        <w:t>I</w:t>
      </w:r>
      <w:r w:rsidR="005B4C46" w:rsidRPr="00845A78">
        <w:rPr>
          <w:rFonts w:cs="Arial"/>
          <w:bCs/>
          <w:sz w:val="24"/>
          <w:szCs w:val="24"/>
          <w:u w:val="single"/>
        </w:rPr>
        <w:t>ts Rates and Charges</w:t>
      </w:r>
      <w:r w:rsidR="00D236C5" w:rsidRPr="00845A78">
        <w:rPr>
          <w:rFonts w:cs="Arial"/>
          <w:bCs/>
          <w:sz w:val="24"/>
          <w:szCs w:val="24"/>
        </w:rPr>
        <w:t xml:space="preserve"> (</w:t>
      </w:r>
      <w:r w:rsidR="005F4184" w:rsidRPr="00845A78">
        <w:rPr>
          <w:rFonts w:cs="Arial"/>
          <w:bCs/>
          <w:sz w:val="24"/>
          <w:szCs w:val="24"/>
        </w:rPr>
        <w:t xml:space="preserve">2016 </w:t>
      </w:r>
      <w:r w:rsidR="00D236C5" w:rsidRPr="00845A78">
        <w:rPr>
          <w:rFonts w:cs="Arial"/>
          <w:bCs/>
          <w:sz w:val="24"/>
          <w:szCs w:val="24"/>
        </w:rPr>
        <w:t xml:space="preserve">UI </w:t>
      </w:r>
      <w:r w:rsidR="008F45E4" w:rsidRPr="00845A78">
        <w:rPr>
          <w:rFonts w:cs="Arial"/>
          <w:bCs/>
          <w:sz w:val="24"/>
          <w:szCs w:val="24"/>
        </w:rPr>
        <w:t xml:space="preserve">Rate Case </w:t>
      </w:r>
      <w:r w:rsidR="00D236C5" w:rsidRPr="00845A78">
        <w:rPr>
          <w:rFonts w:cs="Arial"/>
          <w:bCs/>
          <w:sz w:val="24"/>
          <w:szCs w:val="24"/>
        </w:rPr>
        <w:t xml:space="preserve">Decision), </w:t>
      </w:r>
      <w:r w:rsidR="005B4C46" w:rsidRPr="00845A78">
        <w:rPr>
          <w:rFonts w:cs="Arial"/>
          <w:bCs/>
          <w:sz w:val="24"/>
          <w:szCs w:val="24"/>
        </w:rPr>
        <w:t xml:space="preserve">the Authority concluded, subject to reevaluation in the instant proceeding, that the term “directly related” as used in </w:t>
      </w:r>
      <w:r w:rsidR="001C2FC2" w:rsidRPr="00845A78">
        <w:rPr>
          <w:rFonts w:cs="Arial"/>
          <w:bCs/>
          <w:sz w:val="24"/>
          <w:szCs w:val="24"/>
        </w:rPr>
        <w:t xml:space="preserve">Conn. Gen. Stat. </w:t>
      </w:r>
      <w:r w:rsidR="005B4C46" w:rsidRPr="00845A78">
        <w:rPr>
          <w:rFonts w:cs="Arial"/>
          <w:bCs/>
          <w:sz w:val="24"/>
          <w:szCs w:val="24"/>
        </w:rPr>
        <w:t>§16</w:t>
      </w:r>
      <w:r w:rsidR="005B4C46" w:rsidRPr="00845A78">
        <w:rPr>
          <w:rFonts w:cs="Arial"/>
          <w:bCs/>
          <w:sz w:val="24"/>
          <w:szCs w:val="24"/>
        </w:rPr>
        <w:noBreakHyphen/>
        <w:t xml:space="preserve">243bb refers </w:t>
      </w:r>
      <w:r w:rsidRPr="00845A78">
        <w:rPr>
          <w:rFonts w:cs="Arial"/>
          <w:sz w:val="24"/>
          <w:szCs w:val="24"/>
        </w:rPr>
        <w:t xml:space="preserve">only to the fixed costs and O&amp;M expenses directly related to metering, billing, service connections and the provision of customer service.  </w:t>
      </w:r>
      <w:r w:rsidR="005B4C46" w:rsidRPr="00845A78">
        <w:rPr>
          <w:rFonts w:cs="Arial"/>
          <w:bCs/>
          <w:sz w:val="24"/>
          <w:szCs w:val="24"/>
        </w:rPr>
        <w:t xml:space="preserve">The Authority determined that the evidentiary record </w:t>
      </w:r>
      <w:r w:rsidR="005F4184" w:rsidRPr="00845A78">
        <w:rPr>
          <w:rFonts w:cs="Arial"/>
          <w:bCs/>
          <w:sz w:val="24"/>
          <w:szCs w:val="24"/>
        </w:rPr>
        <w:t xml:space="preserve">of Docket No. 16-06-04 </w:t>
      </w:r>
      <w:r w:rsidR="005B4C46" w:rsidRPr="00845A78">
        <w:rPr>
          <w:rFonts w:cs="Arial"/>
          <w:bCs/>
          <w:sz w:val="24"/>
          <w:szCs w:val="24"/>
        </w:rPr>
        <w:t xml:space="preserve">was inadequate to apply this definition and allocate costs at a sub-account level for </w:t>
      </w:r>
      <w:r w:rsidR="005961D0" w:rsidRPr="00845A78">
        <w:rPr>
          <w:rFonts w:cs="Arial"/>
          <w:bCs/>
          <w:sz w:val="24"/>
          <w:szCs w:val="24"/>
        </w:rPr>
        <w:t xml:space="preserve">the </w:t>
      </w:r>
      <w:r w:rsidR="005F4184" w:rsidRPr="00845A78">
        <w:rPr>
          <w:rFonts w:cs="Arial"/>
          <w:bCs/>
          <w:sz w:val="24"/>
          <w:szCs w:val="24"/>
        </w:rPr>
        <w:t xml:space="preserve">2016 </w:t>
      </w:r>
      <w:r w:rsidR="005B4C46" w:rsidRPr="00845A78">
        <w:rPr>
          <w:rFonts w:cs="Arial"/>
          <w:bCs/>
          <w:sz w:val="24"/>
          <w:szCs w:val="24"/>
        </w:rPr>
        <w:t>U</w:t>
      </w:r>
      <w:r w:rsidR="00D236C5" w:rsidRPr="00845A78">
        <w:rPr>
          <w:rFonts w:cs="Arial"/>
          <w:bCs/>
          <w:sz w:val="24"/>
          <w:szCs w:val="24"/>
        </w:rPr>
        <w:t xml:space="preserve">I </w:t>
      </w:r>
      <w:r w:rsidR="008F45E4" w:rsidRPr="00845A78">
        <w:rPr>
          <w:rFonts w:cs="Arial"/>
          <w:bCs/>
          <w:sz w:val="24"/>
          <w:szCs w:val="24"/>
        </w:rPr>
        <w:t xml:space="preserve">Rate Case </w:t>
      </w:r>
      <w:r w:rsidR="00D236C5" w:rsidRPr="00845A78">
        <w:rPr>
          <w:rFonts w:cs="Arial"/>
          <w:bCs/>
          <w:sz w:val="24"/>
          <w:szCs w:val="24"/>
        </w:rPr>
        <w:t>Decision</w:t>
      </w:r>
      <w:r w:rsidR="005F4184" w:rsidRPr="00845A78">
        <w:rPr>
          <w:rFonts w:cs="Arial"/>
          <w:bCs/>
          <w:sz w:val="24"/>
          <w:szCs w:val="24"/>
        </w:rPr>
        <w:t xml:space="preserve">. </w:t>
      </w:r>
      <w:r w:rsidR="00D236C5" w:rsidRPr="00845A78">
        <w:rPr>
          <w:rFonts w:cs="Arial"/>
          <w:bCs/>
          <w:sz w:val="24"/>
          <w:szCs w:val="24"/>
        </w:rPr>
        <w:t xml:space="preserve"> </w:t>
      </w:r>
      <w:r w:rsidR="005F4184" w:rsidRPr="00845A78">
        <w:rPr>
          <w:rFonts w:cs="Arial"/>
          <w:bCs/>
          <w:sz w:val="24"/>
          <w:szCs w:val="24"/>
        </w:rPr>
        <w:t xml:space="preserve">Thus, the Authority </w:t>
      </w:r>
      <w:r w:rsidR="005B4C46" w:rsidRPr="00845A78">
        <w:rPr>
          <w:rFonts w:cs="Arial"/>
          <w:bCs/>
          <w:sz w:val="24"/>
          <w:szCs w:val="24"/>
        </w:rPr>
        <w:t xml:space="preserve">adjusted the maximum residential customer charge (MRCC) for UI to a level that the </w:t>
      </w:r>
      <w:r w:rsidR="005F4184" w:rsidRPr="00845A78">
        <w:rPr>
          <w:rFonts w:cs="Arial"/>
          <w:bCs/>
          <w:sz w:val="24"/>
          <w:szCs w:val="24"/>
        </w:rPr>
        <w:t xml:space="preserve">PURA </w:t>
      </w:r>
      <w:r w:rsidR="00EE2AEA" w:rsidRPr="00845A78">
        <w:rPr>
          <w:rFonts w:cs="Arial"/>
          <w:bCs/>
          <w:sz w:val="24"/>
          <w:szCs w:val="24"/>
        </w:rPr>
        <w:t xml:space="preserve">determined </w:t>
      </w:r>
      <w:r w:rsidR="005B4C46" w:rsidRPr="00845A78">
        <w:rPr>
          <w:rFonts w:cs="Arial"/>
          <w:bCs/>
          <w:sz w:val="24"/>
          <w:szCs w:val="24"/>
        </w:rPr>
        <w:t>would ensure b</w:t>
      </w:r>
      <w:r w:rsidR="00A13AC7" w:rsidRPr="00845A78">
        <w:rPr>
          <w:rFonts w:cs="Arial"/>
          <w:bCs/>
          <w:sz w:val="24"/>
          <w:szCs w:val="24"/>
        </w:rPr>
        <w:t xml:space="preserve">asic compliance with </w:t>
      </w:r>
      <w:r w:rsidR="00F970A6">
        <w:rPr>
          <w:rFonts w:cs="Arial"/>
          <w:bCs/>
          <w:sz w:val="24"/>
          <w:szCs w:val="24"/>
        </w:rPr>
        <w:t xml:space="preserve">Conn. Gen Stat. </w:t>
      </w:r>
      <w:r w:rsidR="006E61DC" w:rsidRPr="00845A78">
        <w:rPr>
          <w:rFonts w:cs="Arial"/>
          <w:bCs/>
          <w:sz w:val="24"/>
          <w:szCs w:val="24"/>
        </w:rPr>
        <w:t>§16</w:t>
      </w:r>
      <w:r w:rsidR="006E61DC" w:rsidRPr="00845A78">
        <w:rPr>
          <w:rFonts w:cs="Arial"/>
          <w:bCs/>
          <w:sz w:val="24"/>
          <w:szCs w:val="24"/>
        </w:rPr>
        <w:noBreakHyphen/>
        <w:t>243bb</w:t>
      </w:r>
      <w:r w:rsidR="00A13AC7" w:rsidRPr="00845A78">
        <w:rPr>
          <w:rFonts w:cs="Arial"/>
          <w:bCs/>
          <w:sz w:val="24"/>
          <w:szCs w:val="24"/>
        </w:rPr>
        <w:t>.</w:t>
      </w:r>
      <w:r w:rsidR="00990F33" w:rsidRPr="00845A78">
        <w:rPr>
          <w:rFonts w:cs="Arial"/>
          <w:bCs/>
          <w:sz w:val="24"/>
          <w:szCs w:val="24"/>
        </w:rPr>
        <w:t xml:space="preserve">  2016 UI Rate Case Decision, p. 96.</w:t>
      </w:r>
      <w:r w:rsidR="006E61DC" w:rsidRPr="00845A78">
        <w:rPr>
          <w:rFonts w:cs="Arial"/>
          <w:bCs/>
          <w:sz w:val="24"/>
          <w:szCs w:val="24"/>
        </w:rPr>
        <w:t xml:space="preserve">  </w:t>
      </w:r>
    </w:p>
    <w:p w14:paraId="0C0B7F82" w14:textId="77777777" w:rsidR="005A4B81" w:rsidRDefault="005A4B81" w:rsidP="00845A78">
      <w:pPr>
        <w:pStyle w:val="CommentText"/>
        <w:tabs>
          <w:tab w:val="left" w:pos="720"/>
        </w:tabs>
        <w:jc w:val="both"/>
        <w:rPr>
          <w:rFonts w:cs="Arial"/>
          <w:bCs/>
          <w:sz w:val="24"/>
          <w:szCs w:val="24"/>
        </w:rPr>
      </w:pPr>
    </w:p>
    <w:p w14:paraId="48963E75" w14:textId="060468F0" w:rsidR="00845A78" w:rsidRPr="00845A78" w:rsidRDefault="005A4B81" w:rsidP="00845A78">
      <w:pPr>
        <w:pStyle w:val="CommentText"/>
        <w:tabs>
          <w:tab w:val="left" w:pos="720"/>
        </w:tabs>
        <w:jc w:val="both"/>
        <w:rPr>
          <w:sz w:val="24"/>
          <w:szCs w:val="24"/>
        </w:rPr>
      </w:pPr>
      <w:r>
        <w:rPr>
          <w:rFonts w:cs="Arial"/>
          <w:bCs/>
          <w:sz w:val="24"/>
          <w:szCs w:val="24"/>
        </w:rPr>
        <w:tab/>
      </w:r>
      <w:r w:rsidR="006E61DC" w:rsidRPr="00845A78">
        <w:rPr>
          <w:rFonts w:cs="Arial"/>
          <w:bCs/>
          <w:sz w:val="24"/>
          <w:szCs w:val="24"/>
        </w:rPr>
        <w:t>Subsequently, t</w:t>
      </w:r>
      <w:r w:rsidR="005B4C46" w:rsidRPr="00845A78">
        <w:rPr>
          <w:rFonts w:cs="Arial"/>
          <w:bCs/>
          <w:sz w:val="24"/>
          <w:szCs w:val="24"/>
        </w:rPr>
        <w:t>he Authority established this docket to</w:t>
      </w:r>
      <w:r w:rsidR="00EE2AEA" w:rsidRPr="00845A78">
        <w:rPr>
          <w:rFonts w:cs="Arial"/>
          <w:bCs/>
          <w:sz w:val="24"/>
          <w:szCs w:val="24"/>
        </w:rPr>
        <w:t xml:space="preserve">: </w:t>
      </w:r>
      <w:r w:rsidR="005B4C46" w:rsidRPr="00845A78">
        <w:rPr>
          <w:rFonts w:cs="Arial"/>
          <w:bCs/>
          <w:sz w:val="24"/>
          <w:szCs w:val="24"/>
        </w:rPr>
        <w:t xml:space="preserve">(1) establish an evidentiary record to allow the </w:t>
      </w:r>
      <w:r w:rsidR="005F4184" w:rsidRPr="00845A78">
        <w:rPr>
          <w:rFonts w:cs="Arial"/>
          <w:bCs/>
          <w:sz w:val="24"/>
          <w:szCs w:val="24"/>
        </w:rPr>
        <w:t xml:space="preserve">PURA </w:t>
      </w:r>
      <w:r w:rsidR="005B4C46" w:rsidRPr="00845A78">
        <w:rPr>
          <w:rFonts w:cs="Arial"/>
          <w:bCs/>
          <w:sz w:val="24"/>
          <w:szCs w:val="24"/>
        </w:rPr>
        <w:t xml:space="preserve">to make determinations regarding what fixed costs and </w:t>
      </w:r>
      <w:r w:rsidR="00281E12" w:rsidRPr="00845A78">
        <w:rPr>
          <w:rFonts w:cs="Arial"/>
          <w:bCs/>
          <w:sz w:val="24"/>
          <w:szCs w:val="24"/>
        </w:rPr>
        <w:t>O&amp;M</w:t>
      </w:r>
      <w:r w:rsidR="005B4C46" w:rsidRPr="00845A78">
        <w:rPr>
          <w:rFonts w:cs="Arial"/>
          <w:bCs/>
          <w:sz w:val="24"/>
          <w:szCs w:val="24"/>
        </w:rPr>
        <w:t xml:space="preserve"> expenses </w:t>
      </w:r>
      <w:r w:rsidR="00A34A75" w:rsidRPr="00845A78">
        <w:rPr>
          <w:rFonts w:cs="Arial"/>
          <w:bCs/>
          <w:sz w:val="24"/>
          <w:szCs w:val="24"/>
        </w:rPr>
        <w:t xml:space="preserve">are </w:t>
      </w:r>
      <w:r w:rsidR="005B4C46" w:rsidRPr="00845A78">
        <w:rPr>
          <w:rFonts w:cs="Arial"/>
          <w:bCs/>
          <w:sz w:val="24"/>
          <w:szCs w:val="24"/>
        </w:rPr>
        <w:t xml:space="preserve">directly related to </w:t>
      </w:r>
      <w:r w:rsidR="007C2DDD" w:rsidRPr="00845A78">
        <w:rPr>
          <w:rFonts w:cs="Arial"/>
          <w:bCs/>
          <w:sz w:val="24"/>
          <w:szCs w:val="24"/>
        </w:rPr>
        <w:t>the statutory fu</w:t>
      </w:r>
      <w:r w:rsidR="00EE2AEA" w:rsidRPr="00845A78">
        <w:rPr>
          <w:rFonts w:cs="Arial"/>
          <w:bCs/>
          <w:sz w:val="24"/>
          <w:szCs w:val="24"/>
        </w:rPr>
        <w:t>n</w:t>
      </w:r>
      <w:r w:rsidR="007C2DDD" w:rsidRPr="00845A78">
        <w:rPr>
          <w:rFonts w:cs="Arial"/>
          <w:bCs/>
          <w:sz w:val="24"/>
          <w:szCs w:val="24"/>
        </w:rPr>
        <w:t xml:space="preserve">ctions </w:t>
      </w:r>
      <w:r w:rsidR="005B4C46" w:rsidRPr="00845A78">
        <w:rPr>
          <w:rFonts w:cs="Arial"/>
          <w:bCs/>
          <w:sz w:val="24"/>
          <w:szCs w:val="24"/>
        </w:rPr>
        <w:t xml:space="preserve">for </w:t>
      </w:r>
      <w:r w:rsidR="00DE1101" w:rsidRPr="00845A78">
        <w:rPr>
          <w:rFonts w:cs="Arial"/>
          <w:bCs/>
          <w:sz w:val="24"/>
          <w:szCs w:val="24"/>
        </w:rPr>
        <w:t xml:space="preserve">the provision of service to </w:t>
      </w:r>
      <w:r w:rsidR="005B4C46" w:rsidRPr="00845A78">
        <w:rPr>
          <w:rFonts w:cs="Arial"/>
          <w:bCs/>
          <w:sz w:val="24"/>
          <w:szCs w:val="24"/>
        </w:rPr>
        <w:t xml:space="preserve">residential </w:t>
      </w:r>
      <w:r w:rsidR="00DE1101" w:rsidRPr="00845A78">
        <w:rPr>
          <w:rFonts w:cs="Arial"/>
          <w:bCs/>
          <w:sz w:val="24"/>
          <w:szCs w:val="24"/>
        </w:rPr>
        <w:t xml:space="preserve">non-heating </w:t>
      </w:r>
      <w:r w:rsidR="005B4C46" w:rsidRPr="00845A78">
        <w:rPr>
          <w:rFonts w:cs="Arial"/>
          <w:bCs/>
          <w:sz w:val="24"/>
          <w:szCs w:val="24"/>
        </w:rPr>
        <w:t xml:space="preserve">customers and (2) afford </w:t>
      </w:r>
      <w:r w:rsidR="005F4184" w:rsidRPr="00845A78">
        <w:rPr>
          <w:rFonts w:cs="Arial"/>
          <w:bCs/>
          <w:sz w:val="24"/>
          <w:szCs w:val="24"/>
        </w:rPr>
        <w:t>the</w:t>
      </w:r>
      <w:r w:rsidR="005B4C46" w:rsidRPr="00845A78">
        <w:rPr>
          <w:rFonts w:cs="Arial"/>
          <w:bCs/>
          <w:sz w:val="24"/>
          <w:szCs w:val="24"/>
        </w:rPr>
        <w:t xml:space="preserve"> EDCs and other interested parties the opportunity to participate in an investigation of a </w:t>
      </w:r>
      <w:r w:rsidR="00DE1101" w:rsidRPr="00845A78">
        <w:rPr>
          <w:rFonts w:cs="Arial"/>
          <w:bCs/>
          <w:sz w:val="24"/>
          <w:szCs w:val="24"/>
        </w:rPr>
        <w:t>methodology</w:t>
      </w:r>
      <w:r w:rsidR="005B4C46" w:rsidRPr="00845A78">
        <w:rPr>
          <w:rFonts w:cs="Arial"/>
          <w:bCs/>
          <w:sz w:val="24"/>
          <w:szCs w:val="24"/>
        </w:rPr>
        <w:t xml:space="preserve"> that </w:t>
      </w:r>
      <w:r w:rsidR="00A34A75" w:rsidRPr="00845A78">
        <w:rPr>
          <w:rFonts w:cs="Arial"/>
          <w:bCs/>
          <w:sz w:val="24"/>
          <w:szCs w:val="24"/>
        </w:rPr>
        <w:t>will be applied to</w:t>
      </w:r>
      <w:r w:rsidR="005B4C46" w:rsidRPr="00845A78">
        <w:rPr>
          <w:rFonts w:cs="Arial"/>
          <w:bCs/>
          <w:sz w:val="24"/>
          <w:szCs w:val="24"/>
        </w:rPr>
        <w:t xml:space="preserve"> their respective </w:t>
      </w:r>
      <w:r w:rsidR="00577E02" w:rsidRPr="00845A78">
        <w:rPr>
          <w:rFonts w:cs="Arial"/>
          <w:bCs/>
          <w:sz w:val="24"/>
          <w:szCs w:val="24"/>
        </w:rPr>
        <w:t>MRCC</w:t>
      </w:r>
      <w:r w:rsidR="00D413AB" w:rsidRPr="00845A78">
        <w:rPr>
          <w:rFonts w:cs="Arial"/>
          <w:bCs/>
          <w:sz w:val="24"/>
          <w:szCs w:val="24"/>
        </w:rPr>
        <w:t xml:space="preserve"> calculation for </w:t>
      </w:r>
      <w:r w:rsidR="00F970A6">
        <w:rPr>
          <w:rFonts w:cs="Arial"/>
          <w:bCs/>
          <w:sz w:val="24"/>
          <w:szCs w:val="24"/>
        </w:rPr>
        <w:t xml:space="preserve">developing </w:t>
      </w:r>
      <w:r w:rsidR="007C2DDD" w:rsidRPr="00845A78">
        <w:rPr>
          <w:rFonts w:cs="Arial"/>
          <w:bCs/>
          <w:sz w:val="24"/>
          <w:szCs w:val="24"/>
        </w:rPr>
        <w:t>r</w:t>
      </w:r>
      <w:r w:rsidR="00D413AB" w:rsidRPr="00845A78">
        <w:rPr>
          <w:rFonts w:cs="Arial"/>
          <w:bCs/>
          <w:sz w:val="24"/>
          <w:szCs w:val="24"/>
        </w:rPr>
        <w:t xml:space="preserve">esidential </w:t>
      </w:r>
      <w:r w:rsidR="007C2DDD" w:rsidRPr="00845A78">
        <w:rPr>
          <w:rFonts w:cs="Arial"/>
          <w:bCs/>
          <w:sz w:val="24"/>
          <w:szCs w:val="24"/>
        </w:rPr>
        <w:t>n</w:t>
      </w:r>
      <w:r w:rsidR="00D413AB" w:rsidRPr="00845A78">
        <w:rPr>
          <w:rFonts w:cs="Arial"/>
          <w:bCs/>
          <w:sz w:val="24"/>
          <w:szCs w:val="24"/>
        </w:rPr>
        <w:t>on-</w:t>
      </w:r>
      <w:r w:rsidR="007C2DDD" w:rsidRPr="00845A78">
        <w:rPr>
          <w:rFonts w:cs="Arial"/>
          <w:bCs/>
          <w:sz w:val="24"/>
          <w:szCs w:val="24"/>
        </w:rPr>
        <w:t>h</w:t>
      </w:r>
      <w:r w:rsidR="00D413AB" w:rsidRPr="00845A78">
        <w:rPr>
          <w:rFonts w:cs="Arial"/>
          <w:bCs/>
          <w:sz w:val="24"/>
          <w:szCs w:val="24"/>
        </w:rPr>
        <w:t>eating customer</w:t>
      </w:r>
      <w:r w:rsidR="00F970A6">
        <w:rPr>
          <w:rFonts w:cs="Arial"/>
          <w:bCs/>
          <w:sz w:val="24"/>
          <w:szCs w:val="24"/>
        </w:rPr>
        <w:t xml:space="preserve"> charge</w:t>
      </w:r>
      <w:r w:rsidR="00D413AB" w:rsidRPr="00845A78">
        <w:rPr>
          <w:rFonts w:cs="Arial"/>
          <w:bCs/>
          <w:sz w:val="24"/>
          <w:szCs w:val="24"/>
        </w:rPr>
        <w:t>s</w:t>
      </w:r>
      <w:r w:rsidR="005B4C46" w:rsidRPr="00845A78">
        <w:rPr>
          <w:rFonts w:cs="Arial"/>
          <w:bCs/>
          <w:sz w:val="24"/>
          <w:szCs w:val="24"/>
        </w:rPr>
        <w:t>.</w:t>
      </w:r>
      <w:r w:rsidR="00845A78" w:rsidRPr="00845A78">
        <w:rPr>
          <w:rFonts w:cs="Arial"/>
          <w:bCs/>
          <w:sz w:val="24"/>
          <w:szCs w:val="24"/>
        </w:rPr>
        <w:t xml:space="preserve">  </w:t>
      </w:r>
      <w:r w:rsidR="00845A78" w:rsidRPr="00845A78">
        <w:rPr>
          <w:rFonts w:cs="Arial"/>
          <w:sz w:val="24"/>
          <w:szCs w:val="24"/>
        </w:rPr>
        <w:t xml:space="preserve">The investigation will address the legal interpretation of the requirements of </w:t>
      </w:r>
      <w:r w:rsidR="00845A78">
        <w:rPr>
          <w:rFonts w:cs="Arial"/>
          <w:sz w:val="24"/>
          <w:szCs w:val="24"/>
        </w:rPr>
        <w:t xml:space="preserve">Conn. Gen. Stat. </w:t>
      </w:r>
      <w:r w:rsidR="00845A78" w:rsidRPr="00845A78">
        <w:rPr>
          <w:rFonts w:cs="Arial"/>
          <w:sz w:val="24"/>
          <w:szCs w:val="24"/>
        </w:rPr>
        <w:t xml:space="preserve">§16-243bb, and </w:t>
      </w:r>
      <w:r w:rsidR="00845A78">
        <w:rPr>
          <w:rFonts w:cs="Arial"/>
          <w:sz w:val="24"/>
          <w:szCs w:val="24"/>
        </w:rPr>
        <w:t xml:space="preserve">the </w:t>
      </w:r>
      <w:r w:rsidR="00845A78" w:rsidRPr="00845A78">
        <w:rPr>
          <w:rFonts w:cs="Arial"/>
          <w:sz w:val="24"/>
          <w:szCs w:val="24"/>
        </w:rPr>
        <w:t>review of evidence to apply such requirements at the sub-account level.</w:t>
      </w:r>
    </w:p>
    <w:p w14:paraId="5275D435" w14:textId="38F7A574" w:rsidR="00F970A6" w:rsidRPr="00347BF6" w:rsidRDefault="00F970A6">
      <w:pPr>
        <w:rPr>
          <w:smallCaps/>
        </w:rPr>
      </w:pPr>
    </w:p>
    <w:p w14:paraId="09A3C3A6" w14:textId="6D683994" w:rsidR="001A4E0D" w:rsidRPr="0011263B" w:rsidRDefault="001A4E0D" w:rsidP="007E4DE4">
      <w:pPr>
        <w:pStyle w:val="Heading2"/>
        <w:numPr>
          <w:ilvl w:val="1"/>
          <w:numId w:val="4"/>
        </w:numPr>
        <w:ind w:left="90" w:hanging="90"/>
        <w:jc w:val="both"/>
      </w:pPr>
      <w:bookmarkStart w:id="18" w:name="_Toc501528249"/>
      <w:r w:rsidRPr="0011263B">
        <w:t>Conduct of the Proceeding</w:t>
      </w:r>
      <w:bookmarkEnd w:id="18"/>
    </w:p>
    <w:p w14:paraId="6A95629C" w14:textId="77777777" w:rsidR="001A4E0D" w:rsidRDefault="001A4E0D" w:rsidP="003E1168">
      <w:pPr>
        <w:jc w:val="both"/>
      </w:pPr>
    </w:p>
    <w:p w14:paraId="7FF4FA6C" w14:textId="6D2EDE4D" w:rsidR="00E0502D" w:rsidRPr="00E0502D" w:rsidRDefault="00E0502D" w:rsidP="003E1168">
      <w:pPr>
        <w:pStyle w:val="NoSpacing"/>
        <w:ind w:firstLine="720"/>
        <w:jc w:val="both"/>
        <w:rPr>
          <w:rFonts w:ascii="Arial" w:hAnsi="Arial" w:cs="Arial"/>
          <w:sz w:val="24"/>
          <w:szCs w:val="24"/>
        </w:rPr>
      </w:pPr>
      <w:r w:rsidRPr="00E0502D">
        <w:rPr>
          <w:rFonts w:ascii="Arial" w:hAnsi="Arial" w:cs="Arial"/>
          <w:color w:val="000000"/>
          <w:sz w:val="24"/>
          <w:szCs w:val="24"/>
        </w:rPr>
        <w:t xml:space="preserve">By Notice of Request for Written Comments dated April 3, 2017, </w:t>
      </w:r>
      <w:r w:rsidRPr="00E0502D">
        <w:rPr>
          <w:rFonts w:ascii="Arial" w:hAnsi="Arial" w:cs="Arial"/>
          <w:sz w:val="24"/>
          <w:szCs w:val="24"/>
        </w:rPr>
        <w:t>the Authority request</w:t>
      </w:r>
      <w:r>
        <w:rPr>
          <w:rFonts w:ascii="Arial" w:hAnsi="Arial" w:cs="Arial"/>
          <w:sz w:val="24"/>
          <w:szCs w:val="24"/>
        </w:rPr>
        <w:t>ed</w:t>
      </w:r>
      <w:r w:rsidRPr="00E0502D">
        <w:rPr>
          <w:rFonts w:ascii="Arial" w:hAnsi="Arial" w:cs="Arial"/>
          <w:sz w:val="24"/>
          <w:szCs w:val="24"/>
        </w:rPr>
        <w:t xml:space="preserve"> separate written comments from </w:t>
      </w:r>
      <w:r w:rsidR="005961D0" w:rsidRPr="005961D0">
        <w:rPr>
          <w:rFonts w:ascii="Arial" w:hAnsi="Arial" w:cs="Arial"/>
          <w:bCs/>
          <w:sz w:val="24"/>
          <w:szCs w:val="24"/>
        </w:rPr>
        <w:t>UI</w:t>
      </w:r>
      <w:r w:rsidR="005961D0" w:rsidRPr="00183413">
        <w:rPr>
          <w:rFonts w:cs="Arial"/>
          <w:bCs/>
          <w:szCs w:val="24"/>
        </w:rPr>
        <w:t xml:space="preserve"> </w:t>
      </w:r>
      <w:r w:rsidRPr="00E0502D">
        <w:rPr>
          <w:rFonts w:ascii="Arial" w:hAnsi="Arial" w:cs="Arial"/>
          <w:sz w:val="24"/>
          <w:szCs w:val="24"/>
        </w:rPr>
        <w:t xml:space="preserve">and </w:t>
      </w:r>
      <w:r w:rsidR="00A34A75">
        <w:rPr>
          <w:rFonts w:ascii="Arial" w:hAnsi="Arial" w:cs="Arial"/>
          <w:sz w:val="24"/>
          <w:szCs w:val="24"/>
        </w:rPr>
        <w:t xml:space="preserve">The Connecticut Light and Power </w:t>
      </w:r>
      <w:r w:rsidR="00A34A75">
        <w:rPr>
          <w:rFonts w:ascii="Arial" w:hAnsi="Arial" w:cs="Arial"/>
          <w:sz w:val="24"/>
          <w:szCs w:val="24"/>
        </w:rPr>
        <w:lastRenderedPageBreak/>
        <w:t>Company (</w:t>
      </w:r>
      <w:r w:rsidR="005961D0">
        <w:rPr>
          <w:rFonts w:ascii="Arial" w:hAnsi="Arial" w:cs="Arial"/>
          <w:sz w:val="24"/>
          <w:szCs w:val="24"/>
        </w:rPr>
        <w:t>CL&amp;P</w:t>
      </w:r>
      <w:r w:rsidR="00845A78">
        <w:rPr>
          <w:rFonts w:ascii="Arial" w:hAnsi="Arial" w:cs="Arial"/>
          <w:sz w:val="24"/>
          <w:szCs w:val="24"/>
        </w:rPr>
        <w:t>;</w:t>
      </w:r>
      <w:r w:rsidR="00B33FB9">
        <w:rPr>
          <w:rFonts w:ascii="Arial" w:hAnsi="Arial" w:cs="Arial"/>
          <w:sz w:val="24"/>
          <w:szCs w:val="24"/>
        </w:rPr>
        <w:t xml:space="preserve"> </w:t>
      </w:r>
      <w:r w:rsidR="00DE1101">
        <w:rPr>
          <w:rFonts w:ascii="Arial" w:hAnsi="Arial" w:cs="Arial"/>
          <w:sz w:val="24"/>
          <w:szCs w:val="24"/>
        </w:rPr>
        <w:t>together</w:t>
      </w:r>
      <w:r w:rsidR="00292CE8">
        <w:rPr>
          <w:rFonts w:ascii="Arial" w:hAnsi="Arial" w:cs="Arial"/>
          <w:sz w:val="24"/>
          <w:szCs w:val="24"/>
        </w:rPr>
        <w:t>,</w:t>
      </w:r>
      <w:r w:rsidR="005961D0">
        <w:rPr>
          <w:rFonts w:ascii="Arial" w:hAnsi="Arial" w:cs="Arial"/>
          <w:sz w:val="24"/>
          <w:szCs w:val="24"/>
        </w:rPr>
        <w:t xml:space="preserve"> Companies</w:t>
      </w:r>
      <w:r w:rsidR="00D236C5">
        <w:rPr>
          <w:rFonts w:ascii="Arial" w:hAnsi="Arial" w:cs="Arial"/>
          <w:sz w:val="24"/>
          <w:szCs w:val="24"/>
        </w:rPr>
        <w:t>)</w:t>
      </w:r>
      <w:r w:rsidRPr="00E0502D">
        <w:rPr>
          <w:rFonts w:ascii="Arial" w:hAnsi="Arial" w:cs="Arial"/>
          <w:sz w:val="24"/>
          <w:szCs w:val="24"/>
        </w:rPr>
        <w:t xml:space="preserve"> </w:t>
      </w:r>
      <w:r>
        <w:rPr>
          <w:rFonts w:ascii="Arial" w:hAnsi="Arial" w:cs="Arial"/>
          <w:sz w:val="24"/>
          <w:szCs w:val="24"/>
        </w:rPr>
        <w:t>and o</w:t>
      </w:r>
      <w:r w:rsidRPr="00E0502D">
        <w:rPr>
          <w:rFonts w:ascii="Arial" w:hAnsi="Arial" w:cs="Arial"/>
          <w:sz w:val="24"/>
          <w:szCs w:val="24"/>
        </w:rPr>
        <w:t>ther partici</w:t>
      </w:r>
      <w:r>
        <w:rPr>
          <w:rFonts w:ascii="Arial" w:hAnsi="Arial" w:cs="Arial"/>
          <w:sz w:val="24"/>
          <w:szCs w:val="24"/>
        </w:rPr>
        <w:t xml:space="preserve">pants </w:t>
      </w:r>
      <w:r w:rsidR="002545E9">
        <w:rPr>
          <w:rFonts w:ascii="Arial" w:hAnsi="Arial" w:cs="Arial"/>
          <w:sz w:val="24"/>
          <w:szCs w:val="24"/>
        </w:rPr>
        <w:t xml:space="preserve">concerning </w:t>
      </w:r>
      <w:r>
        <w:rPr>
          <w:rFonts w:ascii="Arial" w:hAnsi="Arial" w:cs="Arial"/>
          <w:sz w:val="24"/>
          <w:szCs w:val="24"/>
        </w:rPr>
        <w:t>includable rate base costs</w:t>
      </w:r>
      <w:r w:rsidR="005F4184">
        <w:rPr>
          <w:rFonts w:ascii="Arial" w:hAnsi="Arial" w:cs="Arial"/>
          <w:sz w:val="24"/>
          <w:szCs w:val="24"/>
        </w:rPr>
        <w:t xml:space="preserve"> that should be considered by the PURA</w:t>
      </w:r>
      <w:r>
        <w:rPr>
          <w:rFonts w:ascii="Arial" w:hAnsi="Arial" w:cs="Arial"/>
          <w:sz w:val="24"/>
          <w:szCs w:val="24"/>
        </w:rPr>
        <w:t xml:space="preserve">, </w:t>
      </w:r>
      <w:r w:rsidR="00DE1101">
        <w:rPr>
          <w:rFonts w:ascii="Arial" w:hAnsi="Arial" w:cs="Arial"/>
          <w:sz w:val="24"/>
          <w:szCs w:val="24"/>
        </w:rPr>
        <w:t xml:space="preserve">O&amp;M </w:t>
      </w:r>
      <w:r>
        <w:rPr>
          <w:rFonts w:ascii="Arial" w:hAnsi="Arial" w:cs="Arial"/>
          <w:sz w:val="24"/>
          <w:szCs w:val="24"/>
        </w:rPr>
        <w:t>expenses,</w:t>
      </w:r>
      <w:r w:rsidR="002545E9">
        <w:rPr>
          <w:rFonts w:ascii="Arial" w:hAnsi="Arial" w:cs="Arial"/>
          <w:sz w:val="24"/>
          <w:szCs w:val="24"/>
        </w:rPr>
        <w:t xml:space="preserve"> how </w:t>
      </w:r>
      <w:r w:rsidR="0002578E">
        <w:rPr>
          <w:rFonts w:ascii="Arial" w:hAnsi="Arial" w:cs="Arial"/>
          <w:sz w:val="24"/>
          <w:szCs w:val="24"/>
        </w:rPr>
        <w:t>historical</w:t>
      </w:r>
      <w:r w:rsidR="002545E9">
        <w:rPr>
          <w:rFonts w:ascii="Arial" w:hAnsi="Arial" w:cs="Arial"/>
          <w:sz w:val="24"/>
          <w:szCs w:val="24"/>
        </w:rPr>
        <w:t xml:space="preserve"> test year data should be updated to reflect a proposed rate year and the </w:t>
      </w:r>
      <w:r w:rsidR="0002578E">
        <w:rPr>
          <w:rFonts w:ascii="Arial" w:hAnsi="Arial" w:cs="Arial"/>
          <w:sz w:val="24"/>
          <w:szCs w:val="24"/>
        </w:rPr>
        <w:t>comprehensive</w:t>
      </w:r>
      <w:r w:rsidR="002545E9">
        <w:rPr>
          <w:rFonts w:ascii="Arial" w:hAnsi="Arial" w:cs="Arial"/>
          <w:sz w:val="24"/>
          <w:szCs w:val="24"/>
        </w:rPr>
        <w:t xml:space="preserve"> business activities that support </w:t>
      </w:r>
      <w:r w:rsidR="00DE1101">
        <w:rPr>
          <w:rFonts w:ascii="Arial" w:hAnsi="Arial" w:cs="Arial"/>
          <w:sz w:val="24"/>
          <w:szCs w:val="24"/>
        </w:rPr>
        <w:t>the statutory functions</w:t>
      </w:r>
      <w:r w:rsidR="002545E9">
        <w:rPr>
          <w:rFonts w:ascii="Arial" w:hAnsi="Arial" w:cs="Arial"/>
          <w:sz w:val="24"/>
          <w:szCs w:val="24"/>
        </w:rPr>
        <w:t>.</w:t>
      </w:r>
      <w:r w:rsidR="003F6BF8">
        <w:rPr>
          <w:rFonts w:ascii="Arial" w:hAnsi="Arial" w:cs="Arial"/>
          <w:sz w:val="24"/>
          <w:szCs w:val="24"/>
        </w:rPr>
        <w:t xml:space="preserve"> </w:t>
      </w:r>
    </w:p>
    <w:p w14:paraId="7437F5D2" w14:textId="77777777" w:rsidR="00821B05" w:rsidRDefault="00821B05" w:rsidP="003E1168">
      <w:pPr>
        <w:ind w:left="90" w:firstLine="630"/>
        <w:jc w:val="both"/>
        <w:rPr>
          <w:color w:val="000000"/>
        </w:rPr>
      </w:pPr>
    </w:p>
    <w:p w14:paraId="21DE6B68" w14:textId="14B19B90" w:rsidR="001A4E0D" w:rsidRDefault="00A83117" w:rsidP="003E1168">
      <w:pPr>
        <w:ind w:left="90" w:firstLine="630"/>
        <w:jc w:val="both"/>
      </w:pPr>
      <w:r>
        <w:rPr>
          <w:color w:val="000000"/>
        </w:rPr>
        <w:t xml:space="preserve">By Notice of Rescheduled Hearing dated </w:t>
      </w:r>
      <w:r w:rsidR="00821B05">
        <w:rPr>
          <w:color w:val="000000"/>
        </w:rPr>
        <w:t>May 8</w:t>
      </w:r>
      <w:r>
        <w:rPr>
          <w:color w:val="000000"/>
        </w:rPr>
        <w:t xml:space="preserve">, 2017, pursuant to </w:t>
      </w:r>
      <w:r w:rsidR="00DE1101">
        <w:rPr>
          <w:color w:val="000000"/>
        </w:rPr>
        <w:t xml:space="preserve">Conn. Gen. Stat. </w:t>
      </w:r>
      <w:r w:rsidRPr="00F52DCD">
        <w:rPr>
          <w:rFonts w:cs="Arial"/>
          <w:szCs w:val="24"/>
        </w:rPr>
        <w:t>§16-243bb</w:t>
      </w:r>
      <w:r w:rsidR="00821B05">
        <w:rPr>
          <w:color w:val="000000"/>
        </w:rPr>
        <w:t xml:space="preserve"> and on its own motion</w:t>
      </w:r>
      <w:r>
        <w:rPr>
          <w:color w:val="000000"/>
        </w:rPr>
        <w:t xml:space="preserve">, </w:t>
      </w:r>
      <w:r>
        <w:t xml:space="preserve">the Authority </w:t>
      </w:r>
      <w:r w:rsidR="00821B05">
        <w:rPr>
          <w:color w:val="000000"/>
        </w:rPr>
        <w:t xml:space="preserve">held </w:t>
      </w:r>
      <w:r>
        <w:rPr>
          <w:color w:val="000000"/>
        </w:rPr>
        <w:t xml:space="preserve">public hearings on </w:t>
      </w:r>
      <w:r w:rsidR="00821B05">
        <w:rPr>
          <w:rFonts w:eastAsia="Calibri"/>
          <w:szCs w:val="24"/>
        </w:rPr>
        <w:t xml:space="preserve">August 16, </w:t>
      </w:r>
      <w:r w:rsidR="00786C23">
        <w:rPr>
          <w:rFonts w:eastAsia="Calibri"/>
          <w:szCs w:val="24"/>
        </w:rPr>
        <w:t>1</w:t>
      </w:r>
      <w:r w:rsidR="00821B05">
        <w:rPr>
          <w:rFonts w:eastAsia="Calibri"/>
          <w:szCs w:val="24"/>
        </w:rPr>
        <w:t xml:space="preserve">7, </w:t>
      </w:r>
      <w:r w:rsidR="00786C23">
        <w:rPr>
          <w:rFonts w:eastAsia="Calibri"/>
          <w:szCs w:val="24"/>
        </w:rPr>
        <w:t>and 18</w:t>
      </w:r>
      <w:r w:rsidR="00DE1101">
        <w:rPr>
          <w:rFonts w:eastAsia="Calibri"/>
          <w:szCs w:val="24"/>
        </w:rPr>
        <w:t>, 2017</w:t>
      </w:r>
      <w:r w:rsidR="00786C23">
        <w:rPr>
          <w:rFonts w:eastAsia="Calibri"/>
          <w:szCs w:val="24"/>
        </w:rPr>
        <w:t xml:space="preserve"> </w:t>
      </w:r>
      <w:r w:rsidRPr="008B48C1">
        <w:t xml:space="preserve">at its </w:t>
      </w:r>
      <w:r w:rsidR="00786C23" w:rsidRPr="008B48C1">
        <w:t>offices</w:t>
      </w:r>
      <w:r w:rsidR="00786C23">
        <w:t xml:space="preserve"> located at </w:t>
      </w:r>
      <w:r w:rsidRPr="008B48C1">
        <w:t>Ten Franklin Square, New Britain, C</w:t>
      </w:r>
      <w:r w:rsidR="001C2FC2">
        <w:t>T</w:t>
      </w:r>
      <w:r>
        <w:t>.</w:t>
      </w:r>
      <w:r w:rsidR="000B72F9">
        <w:t xml:space="preserve">  A </w:t>
      </w:r>
      <w:r w:rsidR="00A34A75">
        <w:t>L</w:t>
      </w:r>
      <w:r w:rsidR="000B72F9">
        <w:t>ate</w:t>
      </w:r>
      <w:r w:rsidR="0020191F">
        <w:t xml:space="preserve"> </w:t>
      </w:r>
      <w:r w:rsidR="00A34A75">
        <w:t>F</w:t>
      </w:r>
      <w:r w:rsidR="000B72F9">
        <w:t xml:space="preserve">iled </w:t>
      </w:r>
      <w:r w:rsidR="00A34A75">
        <w:t xml:space="preserve">Exhibit </w:t>
      </w:r>
      <w:r w:rsidR="000B72F9">
        <w:t>hearing was he</w:t>
      </w:r>
      <w:r w:rsidR="00963464">
        <w:t xml:space="preserve">ld on </w:t>
      </w:r>
      <w:r w:rsidR="00876BEB">
        <w:t>September 11, 2017</w:t>
      </w:r>
      <w:r w:rsidR="00990F33">
        <w:t xml:space="preserve"> and </w:t>
      </w:r>
      <w:r w:rsidR="00A34A75">
        <w:t xml:space="preserve">the evidentiary record was </w:t>
      </w:r>
      <w:r w:rsidR="00990F33">
        <w:t xml:space="preserve">closed at </w:t>
      </w:r>
      <w:r w:rsidR="00A34A75">
        <w:t>the end of that hearing</w:t>
      </w:r>
      <w:r w:rsidR="00DE1101">
        <w:t>.</w:t>
      </w:r>
    </w:p>
    <w:p w14:paraId="6CCB40D5" w14:textId="77777777" w:rsidR="00821B05" w:rsidRDefault="00821B05" w:rsidP="003E1168">
      <w:pPr>
        <w:ind w:left="90" w:firstLine="630"/>
        <w:jc w:val="both"/>
      </w:pPr>
    </w:p>
    <w:p w14:paraId="4C83133B" w14:textId="23784192" w:rsidR="00D3045E" w:rsidRDefault="00D3045E" w:rsidP="003E1168">
      <w:pPr>
        <w:spacing w:line="240" w:lineRule="atLeast"/>
        <w:ind w:firstLine="720"/>
        <w:jc w:val="both"/>
      </w:pPr>
      <w:r>
        <w:t xml:space="preserve">The Authority issued its Proposed Final Decision in this matter on </w:t>
      </w:r>
      <w:r w:rsidR="0081323C">
        <w:t xml:space="preserve">December </w:t>
      </w:r>
      <w:r w:rsidR="00996BFE">
        <w:t>6</w:t>
      </w:r>
      <w:r>
        <w:t>, 201</w:t>
      </w:r>
      <w:r w:rsidR="0081323C">
        <w:t>7</w:t>
      </w:r>
      <w:r>
        <w:t>.  All parties and intervenors were granted an opportunity to file Written Exceptions to the draft Decision and to present Oral Arguments.</w:t>
      </w:r>
    </w:p>
    <w:p w14:paraId="5B858EFB" w14:textId="77777777" w:rsidR="001A4E0D" w:rsidRDefault="001A4E0D" w:rsidP="003E1168">
      <w:pPr>
        <w:jc w:val="both"/>
      </w:pPr>
    </w:p>
    <w:p w14:paraId="2DCB1724" w14:textId="0215A708" w:rsidR="001A4E0D" w:rsidRPr="0011263B" w:rsidRDefault="001A4E0D" w:rsidP="007E4DE4">
      <w:pPr>
        <w:pStyle w:val="Heading2"/>
        <w:numPr>
          <w:ilvl w:val="1"/>
          <w:numId w:val="4"/>
        </w:numPr>
        <w:ind w:left="0" w:firstLine="0"/>
        <w:jc w:val="both"/>
      </w:pPr>
      <w:bookmarkStart w:id="19" w:name="_Toc501528250"/>
      <w:r w:rsidRPr="0011263B">
        <w:t>Parties and Intervenors</w:t>
      </w:r>
      <w:bookmarkEnd w:id="19"/>
    </w:p>
    <w:p w14:paraId="63437F64" w14:textId="77777777" w:rsidR="001A4E0D" w:rsidRDefault="001A4E0D" w:rsidP="003E1168">
      <w:pPr>
        <w:jc w:val="both"/>
      </w:pPr>
    </w:p>
    <w:p w14:paraId="2F7B0BD3" w14:textId="26702C80" w:rsidR="001A4E0D" w:rsidRDefault="00041599" w:rsidP="003E1168">
      <w:pPr>
        <w:spacing w:line="240" w:lineRule="atLeast"/>
        <w:jc w:val="both"/>
      </w:pPr>
      <w:r>
        <w:rPr>
          <w:rFonts w:cs="Arial"/>
          <w:color w:val="FF0000"/>
          <w:szCs w:val="24"/>
        </w:rPr>
        <w:tab/>
      </w:r>
      <w:r w:rsidR="001A4E0D">
        <w:t xml:space="preserve">The Authority recognized the following as </w:t>
      </w:r>
      <w:r w:rsidR="00123427">
        <w:t xml:space="preserve">Parties </w:t>
      </w:r>
      <w:r w:rsidR="001A4E0D">
        <w:t xml:space="preserve">to this proceeding: </w:t>
      </w:r>
      <w:r w:rsidR="00D236C5">
        <w:t xml:space="preserve">The Connecticut Light &amp; Power </w:t>
      </w:r>
      <w:r w:rsidR="003C5DCD">
        <w:t>Company</w:t>
      </w:r>
      <w:r w:rsidR="0047342F">
        <w:t xml:space="preserve"> d/b/a Eversource</w:t>
      </w:r>
      <w:r w:rsidR="00A031F8">
        <w:t xml:space="preserve"> Energy</w:t>
      </w:r>
      <w:r w:rsidR="0047342F">
        <w:t>,</w:t>
      </w:r>
      <w:r w:rsidR="003C5DCD">
        <w:t xml:space="preserve"> 107 Selden Street, Berlin</w:t>
      </w:r>
      <w:r w:rsidR="00DE1101">
        <w:t>,</w:t>
      </w:r>
      <w:r w:rsidR="003C5DCD">
        <w:t xml:space="preserve"> CT 06037</w:t>
      </w:r>
      <w:r w:rsidR="003C5DCD" w:rsidRPr="007A4E63">
        <w:t>;</w:t>
      </w:r>
      <w:r w:rsidR="001A4E0D">
        <w:t xml:space="preserve"> </w:t>
      </w:r>
      <w:r w:rsidR="003C5DCD" w:rsidRPr="003C5DCD">
        <w:rPr>
          <w:rFonts w:cs="Arial"/>
          <w:szCs w:val="24"/>
        </w:rPr>
        <w:t>The United Illuminating Company, P.O. Box 1564</w:t>
      </w:r>
      <w:r w:rsidR="003C5DCD">
        <w:rPr>
          <w:rFonts w:cs="Arial"/>
          <w:szCs w:val="24"/>
        </w:rPr>
        <w:t xml:space="preserve"> </w:t>
      </w:r>
      <w:r w:rsidR="003C5DCD" w:rsidRPr="003C5DCD">
        <w:rPr>
          <w:rFonts w:cs="Arial"/>
          <w:szCs w:val="24"/>
        </w:rPr>
        <w:t>New Haven, CT 06506</w:t>
      </w:r>
      <w:r w:rsidR="003C5DCD">
        <w:t xml:space="preserve">; </w:t>
      </w:r>
      <w:r w:rsidR="001A4E0D">
        <w:t>Office of Consumer Counsel</w:t>
      </w:r>
      <w:r w:rsidR="005961D0">
        <w:t xml:space="preserve"> (OCC</w:t>
      </w:r>
      <w:r w:rsidR="00937001">
        <w:t>),</w:t>
      </w:r>
      <w:r w:rsidR="001A4E0D">
        <w:t xml:space="preserve"> Ten Franklin Square, New Britain, CT 06051;</w:t>
      </w:r>
      <w:r w:rsidR="003C5DCD" w:rsidRPr="003C5DCD">
        <w:rPr>
          <w:rFonts w:cs="Arial"/>
          <w:szCs w:val="24"/>
        </w:rPr>
        <w:t xml:space="preserve"> </w:t>
      </w:r>
      <w:r w:rsidR="001A4E0D">
        <w:t xml:space="preserve">and the Commissioner of the </w:t>
      </w:r>
      <w:r w:rsidR="001A4E0D" w:rsidRPr="003F4F81">
        <w:t>Department of Energy and Environmental Protectio</w:t>
      </w:r>
      <w:r w:rsidR="001A4E0D">
        <w:t xml:space="preserve">n, 79 Elm Street, Hartford, CT </w:t>
      </w:r>
      <w:r w:rsidR="001A4E0D" w:rsidRPr="003F4F81">
        <w:t>06106</w:t>
      </w:r>
      <w:r w:rsidR="001A4E0D">
        <w:t xml:space="preserve">.  The Authority granted </w:t>
      </w:r>
      <w:r w:rsidR="00123427">
        <w:t xml:space="preserve">Intervenor </w:t>
      </w:r>
      <w:r w:rsidR="001A4E0D">
        <w:t xml:space="preserve">status to </w:t>
      </w:r>
      <w:r w:rsidR="003C5DCD">
        <w:t>Acadia Center Inc.</w:t>
      </w:r>
    </w:p>
    <w:p w14:paraId="0FF5D111" w14:textId="120C8451" w:rsidR="00194B56" w:rsidRDefault="00194B56">
      <w:pPr>
        <w:rPr>
          <w:rStyle w:val="catchln"/>
          <w:bCs w:val="0"/>
          <w:caps/>
          <w:color w:val="auto"/>
        </w:rPr>
      </w:pPr>
    </w:p>
    <w:p w14:paraId="67E8ED69" w14:textId="2DB19033" w:rsidR="00B83309" w:rsidRPr="000D3BD6" w:rsidRDefault="005D3D6B" w:rsidP="003E1168">
      <w:pPr>
        <w:pStyle w:val="Heading1"/>
        <w:jc w:val="both"/>
      </w:pPr>
      <w:bookmarkStart w:id="20" w:name="_Toc501528251"/>
      <w:r>
        <w:rPr>
          <w:rStyle w:val="catchln"/>
          <w:b/>
          <w:bCs w:val="0"/>
          <w:color w:val="auto"/>
        </w:rPr>
        <w:t xml:space="preserve">Authority analysis of </w:t>
      </w:r>
      <w:r w:rsidR="00C95429">
        <w:rPr>
          <w:rStyle w:val="catchln"/>
          <w:b/>
          <w:bCs w:val="0"/>
          <w:color w:val="auto"/>
        </w:rPr>
        <w:t>Statutory Requirements</w:t>
      </w:r>
      <w:bookmarkEnd w:id="20"/>
    </w:p>
    <w:p w14:paraId="6DE8B3ED" w14:textId="77777777" w:rsidR="005756F3" w:rsidRDefault="005756F3" w:rsidP="003E1168">
      <w:pPr>
        <w:pStyle w:val="NormalWeb"/>
        <w:spacing w:before="0"/>
        <w:ind w:firstLine="720"/>
        <w:jc w:val="both"/>
        <w:rPr>
          <w:rFonts w:ascii="Arial" w:hAnsi="Arial" w:cs="Arial"/>
        </w:rPr>
      </w:pPr>
    </w:p>
    <w:p w14:paraId="66C9A2DE" w14:textId="0AB7D7CF" w:rsidR="00517D4C" w:rsidRDefault="00517D4C" w:rsidP="00517D4C">
      <w:pPr>
        <w:pStyle w:val="NormalWeb"/>
        <w:spacing w:before="0"/>
        <w:ind w:firstLine="720"/>
        <w:jc w:val="both"/>
        <w:rPr>
          <w:rFonts w:ascii="Arial" w:hAnsi="Arial" w:cs="Arial"/>
        </w:rPr>
      </w:pPr>
      <w:r>
        <w:rPr>
          <w:rFonts w:ascii="Arial" w:hAnsi="Arial" w:cs="Arial"/>
        </w:rPr>
        <w:t>Th</w:t>
      </w:r>
      <w:r w:rsidRPr="00387975">
        <w:rPr>
          <w:rFonts w:ascii="Arial" w:hAnsi="Arial" w:cs="Arial"/>
        </w:rPr>
        <w:t>is docket</w:t>
      </w:r>
      <w:r>
        <w:rPr>
          <w:rFonts w:ascii="Arial" w:hAnsi="Arial" w:cs="Arial"/>
        </w:rPr>
        <w:t xml:space="preserve"> was</w:t>
      </w:r>
      <w:r w:rsidRPr="00387975">
        <w:rPr>
          <w:rFonts w:ascii="Arial" w:hAnsi="Arial" w:cs="Arial"/>
        </w:rPr>
        <w:t xml:space="preserve"> established to investigate a generic </w:t>
      </w:r>
      <w:r w:rsidR="00D04404">
        <w:rPr>
          <w:rFonts w:ascii="Arial" w:hAnsi="Arial" w:cs="Arial"/>
        </w:rPr>
        <w:t>formula</w:t>
      </w:r>
      <w:r w:rsidRPr="00387975">
        <w:rPr>
          <w:rFonts w:ascii="Arial" w:hAnsi="Arial" w:cs="Arial"/>
        </w:rPr>
        <w:t xml:space="preserve"> </w:t>
      </w:r>
      <w:r w:rsidR="00D04404">
        <w:rPr>
          <w:rFonts w:ascii="Arial" w:hAnsi="Arial" w:cs="Arial"/>
        </w:rPr>
        <w:t xml:space="preserve">or methodology </w:t>
      </w:r>
      <w:r w:rsidRPr="00387975">
        <w:rPr>
          <w:rFonts w:ascii="Arial" w:hAnsi="Arial" w:cs="Arial"/>
        </w:rPr>
        <w:t xml:space="preserve">to be used to establish </w:t>
      </w:r>
      <w:r w:rsidR="00150EA4">
        <w:rPr>
          <w:rFonts w:ascii="Arial" w:hAnsi="Arial" w:cs="Arial"/>
        </w:rPr>
        <w:t xml:space="preserve">a </w:t>
      </w:r>
      <w:r w:rsidRPr="00387975">
        <w:rPr>
          <w:rFonts w:ascii="Arial" w:hAnsi="Arial" w:cs="Arial"/>
        </w:rPr>
        <w:t>MRCC</w:t>
      </w:r>
      <w:r w:rsidR="00150EA4">
        <w:rPr>
          <w:rFonts w:ascii="Arial" w:hAnsi="Arial" w:cs="Arial"/>
        </w:rPr>
        <w:t xml:space="preserve"> calculation</w:t>
      </w:r>
      <w:r w:rsidRPr="00387975">
        <w:rPr>
          <w:rFonts w:ascii="Arial" w:hAnsi="Arial" w:cs="Arial"/>
        </w:rPr>
        <w:t xml:space="preserve"> in accor</w:t>
      </w:r>
      <w:r w:rsidR="00D04404">
        <w:rPr>
          <w:rFonts w:ascii="Arial" w:hAnsi="Arial" w:cs="Arial"/>
        </w:rPr>
        <w:t>dance with Conn. Gen. Stat. §16</w:t>
      </w:r>
      <w:r w:rsidR="00D04404">
        <w:rPr>
          <w:rFonts w:ascii="Arial" w:hAnsi="Arial" w:cs="Arial"/>
        </w:rPr>
        <w:noBreakHyphen/>
      </w:r>
      <w:r w:rsidRPr="00387975">
        <w:rPr>
          <w:rFonts w:ascii="Arial" w:hAnsi="Arial" w:cs="Arial"/>
        </w:rPr>
        <w:t>243bb</w:t>
      </w:r>
      <w:r>
        <w:rPr>
          <w:rFonts w:ascii="Arial" w:hAnsi="Arial" w:cs="Arial"/>
        </w:rPr>
        <w:t xml:space="preserve">.  </w:t>
      </w:r>
      <w:r w:rsidR="00150EA4">
        <w:rPr>
          <w:rFonts w:ascii="Arial" w:hAnsi="Arial" w:cs="Arial"/>
        </w:rPr>
        <w:t>T</w:t>
      </w:r>
      <w:r w:rsidRPr="00387975">
        <w:rPr>
          <w:rFonts w:ascii="Arial" w:hAnsi="Arial" w:cs="Arial"/>
        </w:rPr>
        <w:t xml:space="preserve">he Authority must first consider the scope of its authority to establish such a </w:t>
      </w:r>
      <w:r w:rsidR="00150EA4">
        <w:rPr>
          <w:rFonts w:ascii="Arial" w:hAnsi="Arial" w:cs="Arial"/>
        </w:rPr>
        <w:t>methodology</w:t>
      </w:r>
      <w:r w:rsidRPr="00387975">
        <w:rPr>
          <w:rFonts w:ascii="Arial" w:hAnsi="Arial" w:cs="Arial"/>
        </w:rPr>
        <w:t xml:space="preserve"> that conforms to the requirements of</w:t>
      </w:r>
      <w:r>
        <w:rPr>
          <w:rFonts w:ascii="Arial" w:hAnsi="Arial" w:cs="Arial"/>
        </w:rPr>
        <w:t>:</w:t>
      </w:r>
    </w:p>
    <w:p w14:paraId="068F7971" w14:textId="77777777" w:rsidR="00517D4C" w:rsidRDefault="00517D4C" w:rsidP="00517D4C">
      <w:pPr>
        <w:pStyle w:val="NormalWeb"/>
        <w:spacing w:before="0"/>
        <w:ind w:firstLine="720"/>
        <w:jc w:val="both"/>
        <w:rPr>
          <w:rFonts w:ascii="Arial" w:hAnsi="Arial" w:cs="Arial"/>
        </w:rPr>
      </w:pPr>
    </w:p>
    <w:p w14:paraId="5286FF80" w14:textId="1631DF31" w:rsidR="00517D4C" w:rsidRDefault="00517D4C" w:rsidP="00517D4C">
      <w:pPr>
        <w:pStyle w:val="NormalWeb"/>
        <w:spacing w:before="0"/>
        <w:ind w:left="720" w:firstLine="0"/>
        <w:jc w:val="both"/>
        <w:rPr>
          <w:rFonts w:ascii="Arial" w:hAnsi="Arial" w:cs="Arial"/>
        </w:rPr>
      </w:pPr>
      <w:r w:rsidRPr="00517D4C">
        <w:rPr>
          <w:rStyle w:val="catchln"/>
          <w:rFonts w:ascii="Arial" w:hAnsi="Arial" w:cs="Arial"/>
          <w:b w:val="0"/>
          <w:color w:val="auto"/>
        </w:rPr>
        <w:t>Conn. Gen</w:t>
      </w:r>
      <w:r w:rsidR="000B3217">
        <w:rPr>
          <w:rStyle w:val="catchln"/>
          <w:rFonts w:ascii="Arial" w:hAnsi="Arial" w:cs="Arial"/>
          <w:b w:val="0"/>
          <w:color w:val="auto"/>
        </w:rPr>
        <w:t>.</w:t>
      </w:r>
      <w:r w:rsidRPr="00517D4C">
        <w:rPr>
          <w:rStyle w:val="catchln"/>
          <w:rFonts w:ascii="Arial" w:hAnsi="Arial" w:cs="Arial"/>
          <w:b w:val="0"/>
          <w:color w:val="auto"/>
        </w:rPr>
        <w:t xml:space="preserve"> Stat. </w:t>
      </w:r>
      <w:r w:rsidRPr="00387975">
        <w:rPr>
          <w:rFonts w:ascii="Arial" w:hAnsi="Arial" w:cs="Arial"/>
        </w:rPr>
        <w:t>§</w:t>
      </w:r>
      <w:r w:rsidRPr="00517D4C">
        <w:rPr>
          <w:rStyle w:val="catchln"/>
          <w:rFonts w:ascii="Arial" w:hAnsi="Arial" w:cs="Arial"/>
          <w:b w:val="0"/>
          <w:color w:val="auto"/>
        </w:rPr>
        <w:t xml:space="preserve">16-243bb. </w:t>
      </w:r>
      <w:r w:rsidR="00FF31F4">
        <w:rPr>
          <w:rStyle w:val="catchln"/>
          <w:rFonts w:ascii="Arial" w:hAnsi="Arial" w:cs="Arial"/>
          <w:b w:val="0"/>
          <w:color w:val="auto"/>
        </w:rPr>
        <w:t xml:space="preserve"> </w:t>
      </w:r>
      <w:r w:rsidRPr="00517D4C">
        <w:rPr>
          <w:rStyle w:val="catchln"/>
          <w:rFonts w:ascii="Arial" w:hAnsi="Arial" w:cs="Arial"/>
          <w:b w:val="0"/>
          <w:color w:val="auto"/>
        </w:rPr>
        <w:t>Adjustment of electric distribution company residential fixed charge.</w:t>
      </w:r>
      <w:r w:rsidRPr="00517D4C">
        <w:rPr>
          <w:rFonts w:ascii="Arial" w:hAnsi="Arial" w:cs="Arial"/>
          <w:b/>
        </w:rPr>
        <w:t xml:space="preserve"> </w:t>
      </w:r>
      <w:r w:rsidRPr="00517D4C">
        <w:rPr>
          <w:rFonts w:ascii="Arial" w:hAnsi="Arial" w:cs="Arial"/>
        </w:rPr>
        <w:t>(a) As used in this section:</w:t>
      </w:r>
    </w:p>
    <w:p w14:paraId="50863826" w14:textId="77777777" w:rsidR="00517D4C" w:rsidRPr="00517D4C" w:rsidRDefault="00517D4C" w:rsidP="00517D4C">
      <w:pPr>
        <w:pStyle w:val="NormalWeb"/>
        <w:spacing w:before="0"/>
        <w:ind w:left="720" w:firstLine="0"/>
        <w:jc w:val="both"/>
        <w:rPr>
          <w:rFonts w:ascii="Arial" w:hAnsi="Arial" w:cs="Arial"/>
        </w:rPr>
      </w:pPr>
    </w:p>
    <w:p w14:paraId="2004B130" w14:textId="77777777" w:rsidR="00517D4C" w:rsidRPr="00F60545" w:rsidRDefault="00517D4C" w:rsidP="00517D4C">
      <w:pPr>
        <w:pStyle w:val="NormalWeb"/>
        <w:tabs>
          <w:tab w:val="left" w:pos="1080"/>
        </w:tabs>
        <w:spacing w:before="0" w:after="120"/>
        <w:ind w:left="1080" w:hanging="360"/>
        <w:jc w:val="both"/>
        <w:rPr>
          <w:rFonts w:ascii="Arial" w:hAnsi="Arial" w:cs="Arial"/>
          <w:color w:val="000000"/>
        </w:rPr>
      </w:pPr>
      <w:r w:rsidRPr="00F60545">
        <w:rPr>
          <w:rFonts w:ascii="Arial" w:hAnsi="Arial" w:cs="Arial"/>
          <w:color w:val="000000"/>
        </w:rPr>
        <w:t>(1)</w:t>
      </w:r>
      <w:r>
        <w:rPr>
          <w:rFonts w:ascii="Arial" w:hAnsi="Arial" w:cs="Arial"/>
          <w:color w:val="000000"/>
        </w:rPr>
        <w:tab/>
      </w:r>
      <w:r w:rsidRPr="00F60545">
        <w:rPr>
          <w:rFonts w:ascii="Arial" w:hAnsi="Arial" w:cs="Arial"/>
          <w:color w:val="000000"/>
        </w:rPr>
        <w:t>“Residential fixed charge” means any fixed fee charged to residential electric customers, including, but not limited to, (A) a fixed charge for distribution basic service, (B) a distribution customer service charge, (C) a customer charge, or (D) a basic service fee which is separate and distinct from any distribution charge per kilowatt-hour.</w:t>
      </w:r>
    </w:p>
    <w:p w14:paraId="6F0E3030" w14:textId="77777777" w:rsidR="00517D4C" w:rsidRPr="00F60545" w:rsidRDefault="00517D4C" w:rsidP="00517D4C">
      <w:pPr>
        <w:pStyle w:val="NormalWeb"/>
        <w:tabs>
          <w:tab w:val="left" w:pos="1080"/>
        </w:tabs>
        <w:spacing w:before="0" w:after="120"/>
        <w:ind w:left="1080" w:hanging="360"/>
        <w:jc w:val="both"/>
        <w:rPr>
          <w:rFonts w:ascii="Arial" w:hAnsi="Arial" w:cs="Arial"/>
          <w:color w:val="000000"/>
        </w:rPr>
      </w:pPr>
      <w:r w:rsidRPr="00F60545">
        <w:rPr>
          <w:rFonts w:ascii="Arial" w:hAnsi="Arial" w:cs="Arial"/>
          <w:color w:val="000000"/>
        </w:rPr>
        <w:t>(2)</w:t>
      </w:r>
      <w:r>
        <w:rPr>
          <w:rFonts w:ascii="Arial" w:hAnsi="Arial" w:cs="Arial"/>
          <w:color w:val="000000"/>
        </w:rPr>
        <w:tab/>
      </w:r>
      <w:r w:rsidRPr="00F60545">
        <w:rPr>
          <w:rFonts w:ascii="Arial" w:hAnsi="Arial" w:cs="Arial"/>
          <w:color w:val="000000"/>
        </w:rPr>
        <w:t>“Electric distribution company” has the same meaning as provided in section 16-1.</w:t>
      </w:r>
    </w:p>
    <w:p w14:paraId="0E5B92A8" w14:textId="77777777" w:rsidR="00517D4C" w:rsidRPr="00F60545" w:rsidRDefault="00517D4C" w:rsidP="00517D4C">
      <w:pPr>
        <w:pStyle w:val="NormalWeb"/>
        <w:tabs>
          <w:tab w:val="left" w:pos="1080"/>
        </w:tabs>
        <w:spacing w:before="0" w:after="120"/>
        <w:ind w:left="1080" w:hanging="360"/>
        <w:jc w:val="both"/>
        <w:rPr>
          <w:rFonts w:ascii="Arial" w:hAnsi="Arial" w:cs="Arial"/>
          <w:color w:val="000000"/>
        </w:rPr>
      </w:pPr>
      <w:r w:rsidRPr="00F60545">
        <w:rPr>
          <w:rFonts w:ascii="Arial" w:hAnsi="Arial" w:cs="Arial"/>
          <w:color w:val="000000"/>
        </w:rPr>
        <w:t>(b)</w:t>
      </w:r>
      <w:r>
        <w:rPr>
          <w:rFonts w:ascii="Arial" w:hAnsi="Arial" w:cs="Arial"/>
          <w:color w:val="000000"/>
        </w:rPr>
        <w:tab/>
      </w:r>
      <w:r w:rsidRPr="00F60545">
        <w:rPr>
          <w:rFonts w:ascii="Arial" w:hAnsi="Arial" w:cs="Arial"/>
          <w:color w:val="000000"/>
        </w:rPr>
        <w:t>The Public Utilities Regulatory Authority shall adjust each electric distribution company's residential fixed charge upon such company's filing with the authority an amendment of rate schedules pursuant to section 16-19 to recover only the fixed costs and operation and maintenance expenses directly related to metering, billing, service connections and the provision of customer service.</w:t>
      </w:r>
    </w:p>
    <w:p w14:paraId="6A15FC30" w14:textId="77777777" w:rsidR="00517D4C" w:rsidRPr="00F60545" w:rsidRDefault="00517D4C" w:rsidP="00517D4C">
      <w:pPr>
        <w:pStyle w:val="NormalWeb"/>
        <w:tabs>
          <w:tab w:val="left" w:pos="1080"/>
        </w:tabs>
        <w:spacing w:before="0" w:after="120"/>
        <w:ind w:left="1080" w:hanging="360"/>
        <w:jc w:val="both"/>
        <w:rPr>
          <w:rFonts w:ascii="Arial" w:hAnsi="Arial" w:cs="Arial"/>
          <w:color w:val="000000"/>
        </w:rPr>
      </w:pPr>
      <w:r w:rsidRPr="00F60545">
        <w:rPr>
          <w:rFonts w:ascii="Arial" w:hAnsi="Arial" w:cs="Arial"/>
          <w:color w:val="000000"/>
        </w:rPr>
        <w:lastRenderedPageBreak/>
        <w:t>(c)</w:t>
      </w:r>
      <w:r>
        <w:rPr>
          <w:rFonts w:ascii="Arial" w:hAnsi="Arial" w:cs="Arial"/>
          <w:color w:val="000000"/>
        </w:rPr>
        <w:tab/>
      </w:r>
      <w:r w:rsidRPr="00F60545">
        <w:rPr>
          <w:rFonts w:ascii="Arial" w:hAnsi="Arial" w:cs="Arial"/>
          <w:color w:val="000000"/>
        </w:rPr>
        <w:t>The provisions in subsection (b) of this section shall not permit or enable the authority to cause a cost shift to other rate classes.</w:t>
      </w:r>
    </w:p>
    <w:p w14:paraId="6878B060" w14:textId="77777777" w:rsidR="00517D4C" w:rsidRPr="00F60545" w:rsidRDefault="00517D4C" w:rsidP="00517D4C">
      <w:pPr>
        <w:pStyle w:val="NormalWeb"/>
        <w:tabs>
          <w:tab w:val="left" w:pos="1080"/>
        </w:tabs>
        <w:ind w:left="1080" w:hanging="360"/>
        <w:jc w:val="both"/>
        <w:rPr>
          <w:rFonts w:ascii="Arial" w:hAnsi="Arial" w:cs="Arial"/>
          <w:color w:val="000000"/>
        </w:rPr>
      </w:pPr>
      <w:r w:rsidRPr="00F60545">
        <w:rPr>
          <w:rFonts w:ascii="Arial" w:hAnsi="Arial" w:cs="Arial"/>
          <w:color w:val="000000"/>
        </w:rPr>
        <w:t>(d)</w:t>
      </w:r>
      <w:r>
        <w:rPr>
          <w:rFonts w:ascii="Arial" w:hAnsi="Arial" w:cs="Arial"/>
          <w:color w:val="000000"/>
        </w:rPr>
        <w:tab/>
      </w:r>
      <w:r w:rsidRPr="00F60545">
        <w:rPr>
          <w:rFonts w:ascii="Arial" w:hAnsi="Arial" w:cs="Arial"/>
          <w:color w:val="000000"/>
        </w:rPr>
        <w:t>This section shall not apply to electric customers that subscribe to a residential electric heating service rate class.</w:t>
      </w:r>
    </w:p>
    <w:p w14:paraId="79134523" w14:textId="77777777" w:rsidR="00517D4C" w:rsidRDefault="00517D4C" w:rsidP="00517D4C"/>
    <w:p w14:paraId="46DC0FEE" w14:textId="7868F13E" w:rsidR="00517D4C" w:rsidRPr="00387975" w:rsidRDefault="00517D4C" w:rsidP="00517D4C">
      <w:pPr>
        <w:ind w:firstLine="720"/>
        <w:jc w:val="both"/>
        <w:rPr>
          <w:rFonts w:cs="Arial"/>
          <w:szCs w:val="24"/>
        </w:rPr>
      </w:pPr>
      <w:r w:rsidRPr="00387975">
        <w:rPr>
          <w:rFonts w:cs="Arial"/>
          <w:szCs w:val="24"/>
        </w:rPr>
        <w:t xml:space="preserve">The </w:t>
      </w:r>
      <w:r>
        <w:rPr>
          <w:rFonts w:cs="Arial"/>
          <w:szCs w:val="24"/>
        </w:rPr>
        <w:t>Authority</w:t>
      </w:r>
      <w:r w:rsidRPr="00387975">
        <w:rPr>
          <w:rFonts w:cs="Arial"/>
          <w:szCs w:val="24"/>
        </w:rPr>
        <w:t xml:space="preserve"> has broad powers, under Conn. Gen. Stat. §§16-19 and 16</w:t>
      </w:r>
      <w:r w:rsidRPr="00387975">
        <w:rPr>
          <w:rFonts w:cs="Arial"/>
          <w:szCs w:val="24"/>
        </w:rPr>
        <w:noBreakHyphen/>
        <w:t>19e, to determine and prescribe just and reasonable rates for EDCs.</w:t>
      </w:r>
      <w:r w:rsidRPr="00517D4C">
        <w:rPr>
          <w:rStyle w:val="FootnoteReference"/>
          <w:rFonts w:cs="Arial"/>
          <w:sz w:val="18"/>
          <w:szCs w:val="18"/>
        </w:rPr>
        <w:footnoteReference w:id="1"/>
      </w:r>
      <w:r w:rsidRPr="00387975">
        <w:rPr>
          <w:rFonts w:cs="Arial"/>
          <w:szCs w:val="24"/>
        </w:rPr>
        <w:t xml:space="preserve">  In interpreting the extent of the PURA’s authority under Conn. Gen. Stat. §16-19, </w:t>
      </w:r>
      <w:r w:rsidRPr="00387975">
        <w:rPr>
          <w:rFonts w:cs="Arial"/>
          <w:color w:val="000000"/>
          <w:szCs w:val="24"/>
        </w:rPr>
        <w:t xml:space="preserve">the </w:t>
      </w:r>
      <w:r w:rsidRPr="00387975">
        <w:rPr>
          <w:rFonts w:cs="Arial"/>
          <w:szCs w:val="24"/>
        </w:rPr>
        <w:t>Connecticut Supreme Court has observed that that section “evinces a legislative intent to rely on the [PURA] to regulate and supervise public utilities and to establish rates that are not unreasonable,” which, coupled with the legislature’s choice to not impose upon the PURA “any specific formula or policy to use in setting rates,” supports the conclusion that Conn. Gen. Stat. §16-19 “is sufficiently flexible to permit the [PURA] to create necessary policies, including rate equalization, to guide its rate-making decisions.”</w:t>
      </w:r>
      <w:r w:rsidRPr="00387975" w:rsidDel="008207ED">
        <w:rPr>
          <w:rFonts w:cs="Arial"/>
          <w:szCs w:val="24"/>
        </w:rPr>
        <w:t xml:space="preserve"> </w:t>
      </w:r>
      <w:r w:rsidRPr="00387975">
        <w:rPr>
          <w:rFonts w:cs="Arial"/>
          <w:szCs w:val="24"/>
        </w:rPr>
        <w:t>Greenwich v. Department of Public Utility Control, 219 Conn. 121, 126 (1991) (“Greenwich”).</w:t>
      </w:r>
      <w:r w:rsidRPr="00517D4C">
        <w:rPr>
          <w:rStyle w:val="FootnoteReference"/>
          <w:rFonts w:cs="Arial"/>
          <w:sz w:val="18"/>
          <w:szCs w:val="18"/>
        </w:rPr>
        <w:footnoteReference w:id="2"/>
      </w:r>
    </w:p>
    <w:p w14:paraId="035BF116" w14:textId="77777777" w:rsidR="00517D4C" w:rsidRPr="00387975" w:rsidRDefault="00517D4C" w:rsidP="00517D4C">
      <w:pPr>
        <w:pStyle w:val="NormalWeb"/>
        <w:spacing w:before="0"/>
        <w:ind w:firstLine="720"/>
        <w:jc w:val="both"/>
        <w:rPr>
          <w:rFonts w:ascii="Arial" w:hAnsi="Arial" w:cs="Arial"/>
        </w:rPr>
      </w:pPr>
    </w:p>
    <w:p w14:paraId="793C8160" w14:textId="02648D3B" w:rsidR="00517D4C" w:rsidRPr="00387975" w:rsidRDefault="00F970A6" w:rsidP="00517D4C">
      <w:pPr>
        <w:pStyle w:val="NormalWeb"/>
        <w:spacing w:before="0"/>
        <w:ind w:firstLine="720"/>
        <w:jc w:val="both"/>
        <w:rPr>
          <w:rFonts w:ascii="Arial" w:hAnsi="Arial" w:cs="Arial"/>
        </w:rPr>
      </w:pPr>
      <w:r>
        <w:rPr>
          <w:rFonts w:ascii="Arial" w:hAnsi="Arial" w:cs="Arial"/>
        </w:rPr>
        <w:t>Conn. Gen Stat. §</w:t>
      </w:r>
      <w:r w:rsidR="00517D4C" w:rsidRPr="00387975">
        <w:rPr>
          <w:rFonts w:ascii="Arial" w:hAnsi="Arial" w:cs="Arial"/>
        </w:rPr>
        <w:t>16-243bb was enacted in 2015, following the Authori</w:t>
      </w:r>
      <w:r w:rsidR="00517D4C">
        <w:rPr>
          <w:rFonts w:ascii="Arial" w:hAnsi="Arial" w:cs="Arial"/>
        </w:rPr>
        <w:t xml:space="preserve">ty’s proceeding in Docket No. 14-05-06, </w:t>
      </w:r>
      <w:r w:rsidR="00517D4C" w:rsidRPr="00DB05B2">
        <w:rPr>
          <w:rFonts w:ascii="Arial" w:hAnsi="Arial" w:cs="Arial"/>
          <w:u w:val="single"/>
        </w:rPr>
        <w:t>Application of The Connecticut Light and Power Company to Amend Rate Schedules</w:t>
      </w:r>
      <w:r w:rsidR="00517D4C">
        <w:rPr>
          <w:rFonts w:ascii="Arial" w:hAnsi="Arial" w:cs="Arial"/>
        </w:rPr>
        <w:t xml:space="preserve">, </w:t>
      </w:r>
      <w:r w:rsidR="00517D4C" w:rsidRPr="00387975">
        <w:rPr>
          <w:rFonts w:ascii="Arial" w:hAnsi="Arial" w:cs="Arial"/>
        </w:rPr>
        <w:t xml:space="preserve">in which </w:t>
      </w:r>
      <w:r w:rsidR="00517D4C">
        <w:rPr>
          <w:rFonts w:ascii="Arial" w:hAnsi="Arial" w:cs="Arial"/>
        </w:rPr>
        <w:t xml:space="preserve">the proposed increase to </w:t>
      </w:r>
      <w:r w:rsidR="00517D4C" w:rsidRPr="00387975">
        <w:rPr>
          <w:rFonts w:ascii="Arial" w:hAnsi="Arial" w:cs="Arial"/>
        </w:rPr>
        <w:t xml:space="preserve">the fixed charge for residential customers was a prominent issue.  The General Assembly considered several options for limiting the residential </w:t>
      </w:r>
      <w:r w:rsidR="00517D4C" w:rsidRPr="00DB05B2">
        <w:rPr>
          <w:rFonts w:ascii="Arial" w:hAnsi="Arial" w:cs="Arial"/>
        </w:rPr>
        <w:t>non-heating</w:t>
      </w:r>
      <w:r w:rsidR="00517D4C" w:rsidRPr="00387975">
        <w:rPr>
          <w:rFonts w:cs="Arial"/>
        </w:rPr>
        <w:t xml:space="preserve"> </w:t>
      </w:r>
      <w:r w:rsidR="00517D4C">
        <w:rPr>
          <w:rFonts w:ascii="Arial" w:hAnsi="Arial" w:cs="Arial"/>
        </w:rPr>
        <w:t>customer</w:t>
      </w:r>
      <w:r w:rsidR="00517D4C" w:rsidRPr="00387975">
        <w:rPr>
          <w:rFonts w:ascii="Arial" w:hAnsi="Arial" w:cs="Arial"/>
        </w:rPr>
        <w:t xml:space="preserve"> charge in the 2015 legislative session, including legislation that would have directed the </w:t>
      </w:r>
      <w:r w:rsidR="00A945DB">
        <w:rPr>
          <w:rFonts w:ascii="Arial" w:hAnsi="Arial" w:cs="Arial"/>
        </w:rPr>
        <w:t>Authority</w:t>
      </w:r>
      <w:r w:rsidR="00517D4C" w:rsidRPr="00387975">
        <w:rPr>
          <w:rFonts w:ascii="Arial" w:hAnsi="Arial" w:cs="Arial"/>
        </w:rPr>
        <w:t xml:space="preserve"> to adjust each EDC’s residential </w:t>
      </w:r>
      <w:r w:rsidR="00517D4C" w:rsidRPr="00E96F6F">
        <w:rPr>
          <w:rFonts w:ascii="Arial" w:hAnsi="Arial" w:cs="Arial"/>
        </w:rPr>
        <w:t>non-heating</w:t>
      </w:r>
      <w:r w:rsidR="00517D4C" w:rsidRPr="00387975">
        <w:rPr>
          <w:rFonts w:cs="Arial"/>
        </w:rPr>
        <w:t xml:space="preserve"> </w:t>
      </w:r>
      <w:r w:rsidR="00517D4C">
        <w:rPr>
          <w:rFonts w:ascii="Arial" w:hAnsi="Arial" w:cs="Arial"/>
        </w:rPr>
        <w:t>customer</w:t>
      </w:r>
      <w:r w:rsidR="00517D4C" w:rsidRPr="00387975">
        <w:rPr>
          <w:rFonts w:ascii="Arial" w:hAnsi="Arial" w:cs="Arial"/>
        </w:rPr>
        <w:t xml:space="preserve"> charge to an amount not to exceed ten dollars per billing cycle.</w:t>
      </w:r>
      <w:r w:rsidR="00517D4C" w:rsidRPr="00E1092F">
        <w:rPr>
          <w:rStyle w:val="FootnoteReference"/>
          <w:rFonts w:cs="Arial"/>
          <w:sz w:val="20"/>
          <w:szCs w:val="20"/>
        </w:rPr>
        <w:footnoteReference w:id="3"/>
      </w:r>
      <w:r w:rsidR="00517D4C" w:rsidRPr="00E1092F">
        <w:rPr>
          <w:rFonts w:ascii="Arial" w:hAnsi="Arial" w:cs="Arial"/>
          <w:sz w:val="20"/>
        </w:rPr>
        <w:t xml:space="preserve"> </w:t>
      </w:r>
      <w:r w:rsidR="00517D4C" w:rsidRPr="00387975">
        <w:rPr>
          <w:rFonts w:ascii="Arial" w:hAnsi="Arial" w:cs="Arial"/>
        </w:rPr>
        <w:t xml:space="preserve"> Ultimately, the legislation that achieved passage </w:t>
      </w:r>
      <w:r w:rsidR="00517D4C" w:rsidRPr="00387975">
        <w:rPr>
          <w:rFonts w:ascii="Arial" w:hAnsi="Arial" w:cs="Arial"/>
        </w:rPr>
        <w:lastRenderedPageBreak/>
        <w:t xml:space="preserve">and was signed into law did not prescribe a maximum </w:t>
      </w:r>
      <w:r w:rsidR="00D969C1">
        <w:rPr>
          <w:rFonts w:ascii="Arial" w:hAnsi="Arial" w:cs="Arial"/>
        </w:rPr>
        <w:t xml:space="preserve">dollar </w:t>
      </w:r>
      <w:r w:rsidR="00517D4C" w:rsidRPr="00387975">
        <w:rPr>
          <w:rFonts w:ascii="Arial" w:hAnsi="Arial" w:cs="Arial"/>
        </w:rPr>
        <w:t>value for the residential</w:t>
      </w:r>
      <w:r w:rsidR="00517D4C" w:rsidRPr="00E6755A">
        <w:rPr>
          <w:rFonts w:ascii="Arial" w:hAnsi="Arial" w:cs="Arial"/>
        </w:rPr>
        <w:t xml:space="preserve"> </w:t>
      </w:r>
      <w:r w:rsidR="00517D4C" w:rsidRPr="00E96F6F">
        <w:rPr>
          <w:rFonts w:ascii="Arial" w:hAnsi="Arial" w:cs="Arial"/>
        </w:rPr>
        <w:t>non-heating</w:t>
      </w:r>
      <w:r w:rsidR="00517D4C" w:rsidRPr="00387975">
        <w:rPr>
          <w:rFonts w:ascii="Arial" w:hAnsi="Arial" w:cs="Arial"/>
        </w:rPr>
        <w:t xml:space="preserve"> </w:t>
      </w:r>
      <w:r w:rsidR="00517D4C">
        <w:rPr>
          <w:rFonts w:ascii="Arial" w:hAnsi="Arial" w:cs="Arial"/>
        </w:rPr>
        <w:t>customer</w:t>
      </w:r>
      <w:r w:rsidR="00517D4C" w:rsidRPr="00387975">
        <w:rPr>
          <w:rFonts w:ascii="Arial" w:hAnsi="Arial" w:cs="Arial"/>
        </w:rPr>
        <w:t xml:space="preserve"> charge.  Rather, it limited the EDCs’ cost recovery </w:t>
      </w:r>
      <w:r w:rsidR="00D969C1">
        <w:rPr>
          <w:rFonts w:ascii="Arial" w:hAnsi="Arial" w:cs="Arial"/>
        </w:rPr>
        <w:t xml:space="preserve">categorically </w:t>
      </w:r>
      <w:r w:rsidR="00517D4C" w:rsidRPr="00387975">
        <w:rPr>
          <w:rFonts w:ascii="Arial" w:hAnsi="Arial" w:cs="Arial"/>
        </w:rPr>
        <w:t>to “fixed costs and operation and maintenance expenses” that are “directly related” to the four specified functions.  Conn. Gen. Stat. §16-243bb(b).</w:t>
      </w:r>
      <w:r w:rsidR="003F6BF8">
        <w:rPr>
          <w:rFonts w:ascii="Arial" w:hAnsi="Arial" w:cs="Arial"/>
        </w:rPr>
        <w:t xml:space="preserve">     </w:t>
      </w:r>
    </w:p>
    <w:p w14:paraId="213C3C68" w14:textId="77777777" w:rsidR="00517D4C" w:rsidRPr="00387975" w:rsidRDefault="00517D4C" w:rsidP="00517D4C">
      <w:pPr>
        <w:pStyle w:val="NormalWeb"/>
        <w:spacing w:before="0"/>
        <w:ind w:firstLine="720"/>
        <w:jc w:val="both"/>
        <w:rPr>
          <w:rFonts w:ascii="Arial" w:hAnsi="Arial" w:cs="Arial"/>
        </w:rPr>
      </w:pPr>
    </w:p>
    <w:p w14:paraId="1EE6376D" w14:textId="2A81B7AC" w:rsidR="00517D4C" w:rsidRPr="00387975" w:rsidRDefault="00F970A6" w:rsidP="00517D4C">
      <w:pPr>
        <w:ind w:firstLine="720"/>
        <w:jc w:val="both"/>
        <w:rPr>
          <w:rFonts w:cs="Arial"/>
          <w:szCs w:val="24"/>
        </w:rPr>
      </w:pPr>
      <w:r>
        <w:rPr>
          <w:rFonts w:cs="Arial"/>
        </w:rPr>
        <w:t>Conn. Gen Stat. §</w:t>
      </w:r>
      <w:r w:rsidR="00517D4C" w:rsidRPr="00387975">
        <w:rPr>
          <w:rFonts w:cs="Arial"/>
          <w:szCs w:val="24"/>
        </w:rPr>
        <w:t xml:space="preserve">16-243bb does not define the four functions, nor does it spell out what degree of relationship renders a </w:t>
      </w:r>
      <w:r w:rsidR="00517D4C">
        <w:rPr>
          <w:rFonts w:cs="Arial"/>
          <w:szCs w:val="24"/>
        </w:rPr>
        <w:t xml:space="preserve">fixed </w:t>
      </w:r>
      <w:r w:rsidR="00517D4C" w:rsidRPr="00387975">
        <w:rPr>
          <w:rFonts w:cs="Arial"/>
          <w:szCs w:val="24"/>
        </w:rPr>
        <w:t xml:space="preserve">cost or </w:t>
      </w:r>
      <w:r w:rsidR="00C56EDF">
        <w:rPr>
          <w:rFonts w:cs="Arial"/>
        </w:rPr>
        <w:t>O&amp;M</w:t>
      </w:r>
      <w:r w:rsidR="00517D4C" w:rsidRPr="00387975">
        <w:rPr>
          <w:rFonts w:cs="Arial"/>
        </w:rPr>
        <w:t xml:space="preserve"> </w:t>
      </w:r>
      <w:r w:rsidR="00517D4C" w:rsidRPr="00387975">
        <w:rPr>
          <w:rFonts w:cs="Arial"/>
          <w:szCs w:val="24"/>
        </w:rPr>
        <w:t xml:space="preserve">expense “directly related” to the allowed functions.  </w:t>
      </w:r>
      <w:r w:rsidR="00D969C1">
        <w:rPr>
          <w:rFonts w:cs="Arial"/>
          <w:szCs w:val="24"/>
        </w:rPr>
        <w:t>T</w:t>
      </w:r>
      <w:r w:rsidR="00517D4C" w:rsidRPr="00387975">
        <w:rPr>
          <w:rFonts w:cs="Arial"/>
          <w:szCs w:val="24"/>
        </w:rPr>
        <w:t xml:space="preserve">he task of defining the functions and the scope of “directly related,” and adjusting the </w:t>
      </w:r>
      <w:r w:rsidR="00517D4C">
        <w:rPr>
          <w:rFonts w:cs="Arial"/>
          <w:szCs w:val="24"/>
        </w:rPr>
        <w:t>residential</w:t>
      </w:r>
      <w:r w:rsidR="00517D4C" w:rsidRPr="00E6755A">
        <w:rPr>
          <w:rFonts w:cs="Arial"/>
          <w:szCs w:val="24"/>
        </w:rPr>
        <w:t xml:space="preserve"> </w:t>
      </w:r>
      <w:r w:rsidR="00517D4C" w:rsidRPr="00E96F6F">
        <w:rPr>
          <w:rFonts w:cs="Arial"/>
          <w:szCs w:val="24"/>
        </w:rPr>
        <w:t>non-heating</w:t>
      </w:r>
      <w:r w:rsidR="00517D4C">
        <w:rPr>
          <w:rFonts w:cs="Arial"/>
          <w:szCs w:val="24"/>
        </w:rPr>
        <w:t xml:space="preserve"> </w:t>
      </w:r>
      <w:r w:rsidR="00517D4C" w:rsidRPr="00387975">
        <w:rPr>
          <w:rFonts w:cs="Arial"/>
          <w:szCs w:val="24"/>
        </w:rPr>
        <w:t xml:space="preserve">customer charge to conform, necessarily and appropriately falls to the Authority, in accordance with the rules of statutory interpretation, and the </w:t>
      </w:r>
      <w:r w:rsidR="00D969C1">
        <w:rPr>
          <w:rFonts w:cs="Arial"/>
          <w:szCs w:val="24"/>
        </w:rPr>
        <w:t xml:space="preserve">scope of </w:t>
      </w:r>
      <w:r w:rsidR="00517D4C" w:rsidRPr="00387975">
        <w:rPr>
          <w:rFonts w:cs="Arial"/>
          <w:szCs w:val="24"/>
        </w:rPr>
        <w:t>PURA’s ratemaking authority under Conn. Gen. Stat. §§16-19 and 16-19e.</w:t>
      </w:r>
    </w:p>
    <w:p w14:paraId="00E91BAE" w14:textId="77777777" w:rsidR="00517D4C" w:rsidRPr="00387975" w:rsidRDefault="00517D4C" w:rsidP="00517D4C">
      <w:pPr>
        <w:ind w:firstLine="720"/>
        <w:jc w:val="both"/>
        <w:rPr>
          <w:rFonts w:cs="Arial"/>
          <w:szCs w:val="24"/>
        </w:rPr>
      </w:pPr>
    </w:p>
    <w:p w14:paraId="09D795D7" w14:textId="602E5853" w:rsidR="00517D4C" w:rsidRPr="00387975" w:rsidRDefault="00517D4C" w:rsidP="00517D4C">
      <w:pPr>
        <w:ind w:firstLine="720"/>
        <w:jc w:val="both"/>
        <w:rPr>
          <w:rFonts w:cs="Arial"/>
          <w:szCs w:val="24"/>
        </w:rPr>
      </w:pPr>
      <w:r w:rsidRPr="00387975">
        <w:rPr>
          <w:rFonts w:cs="Arial"/>
          <w:szCs w:val="24"/>
        </w:rPr>
        <w:t xml:space="preserve">In construing the plain meaning of Conn. Gen. Stat. </w:t>
      </w:r>
      <w:r w:rsidR="008F3C84" w:rsidRPr="00387975">
        <w:rPr>
          <w:rFonts w:cs="Arial"/>
          <w:szCs w:val="24"/>
        </w:rPr>
        <w:t>§</w:t>
      </w:r>
      <w:r w:rsidRPr="00387975">
        <w:rPr>
          <w:rFonts w:cs="Arial"/>
          <w:szCs w:val="24"/>
        </w:rPr>
        <w:t>§16-243bb</w:t>
      </w:r>
      <w:r w:rsidR="008F3C84">
        <w:rPr>
          <w:rFonts w:cs="Arial"/>
          <w:szCs w:val="24"/>
        </w:rPr>
        <w:t xml:space="preserve"> and</w:t>
      </w:r>
      <w:r w:rsidRPr="00387975">
        <w:rPr>
          <w:rFonts w:cs="Arial"/>
          <w:szCs w:val="24"/>
        </w:rPr>
        <w:t xml:space="preserve"> §1–2z directs the Authority to first consider the text of the statute itself and its relationship to other statutes.  If, after examining such text and considering such relationship, the meaning of such text is plain and unambiguous and does not yield absurd or unworkable results, extra</w:t>
      </w:r>
      <w:r w:rsidR="00FF629D">
        <w:rPr>
          <w:rFonts w:cs="Arial"/>
          <w:szCs w:val="24"/>
        </w:rPr>
        <w:t xml:space="preserve"> </w:t>
      </w:r>
      <w:r w:rsidRPr="00387975">
        <w:rPr>
          <w:rFonts w:cs="Arial"/>
          <w:szCs w:val="24"/>
        </w:rPr>
        <w:t>textual evidence of the meaning of the statute shall not be considered.  AvalonBay Communities, Inc. v. Zoning Com</w:t>
      </w:r>
      <w:r w:rsidR="00FF629D">
        <w:rPr>
          <w:rFonts w:cs="Arial"/>
          <w:szCs w:val="24"/>
        </w:rPr>
        <w:t>mission</w:t>
      </w:r>
      <w:r w:rsidRPr="00387975">
        <w:rPr>
          <w:rFonts w:cs="Arial"/>
          <w:szCs w:val="24"/>
        </w:rPr>
        <w:t xml:space="preserve"> of Town of Stratford, 280 Conn. 405 (2006).  The Authority finds that meaning of the text of Conn. Gen. Stat. §16-243bb, is plain and unambiguous and does not yield absurd or unworkable results.  Based on the Authority’s review of the plain and unambiguous text of Conn. Gen. Stat. §16-243bb and its relationship with Conn. Gen. Stat. §§16-19 and 16-19e, the Authority makes the following legal conclusions regarding the plain meaning of Conn. Gen. Stat. §16-243bb.  </w:t>
      </w:r>
    </w:p>
    <w:p w14:paraId="2E9C125A" w14:textId="77777777" w:rsidR="00517D4C" w:rsidRPr="00387975" w:rsidRDefault="00517D4C" w:rsidP="00517D4C">
      <w:pPr>
        <w:ind w:firstLine="720"/>
        <w:jc w:val="both"/>
        <w:rPr>
          <w:rFonts w:cs="Arial"/>
          <w:szCs w:val="24"/>
        </w:rPr>
      </w:pPr>
    </w:p>
    <w:p w14:paraId="3478E358" w14:textId="3808DF50" w:rsidR="00517D4C" w:rsidRPr="00387975" w:rsidRDefault="00517D4C" w:rsidP="00517D4C">
      <w:pPr>
        <w:ind w:firstLine="720"/>
        <w:jc w:val="both"/>
        <w:rPr>
          <w:rFonts w:cs="Arial"/>
          <w:szCs w:val="24"/>
        </w:rPr>
      </w:pPr>
      <w:r w:rsidRPr="00387975">
        <w:rPr>
          <w:rFonts w:cs="Arial"/>
          <w:szCs w:val="24"/>
        </w:rPr>
        <w:t xml:space="preserve">First, the plain language of Conn. Gen. Stat. §16-243bb establishes a cap or limit on the </w:t>
      </w:r>
      <w:r w:rsidR="00B91328">
        <w:rPr>
          <w:rFonts w:cs="Arial"/>
          <w:szCs w:val="24"/>
        </w:rPr>
        <w:t>Companies</w:t>
      </w:r>
      <w:r w:rsidRPr="00387975">
        <w:rPr>
          <w:rFonts w:cs="Arial"/>
          <w:szCs w:val="24"/>
        </w:rPr>
        <w:t>’ residential non-heating customer charge, by authorizing the EDCs “to recover only” certain costs and expenses associated with four listed functions.  In so doing, the statute places an important constraint on the residential non-heating customer charge</w:t>
      </w:r>
      <w:r>
        <w:rPr>
          <w:rFonts w:cs="Arial"/>
          <w:szCs w:val="24"/>
        </w:rPr>
        <w:t>: it</w:t>
      </w:r>
      <w:r w:rsidRPr="00387975">
        <w:rPr>
          <w:rFonts w:cs="Arial"/>
          <w:szCs w:val="24"/>
        </w:rPr>
        <w:t xml:space="preserve"> </w:t>
      </w:r>
      <w:r w:rsidR="00D969C1" w:rsidRPr="00387975">
        <w:rPr>
          <w:rFonts w:cs="Arial"/>
          <w:szCs w:val="24"/>
        </w:rPr>
        <w:t>prohibit</w:t>
      </w:r>
      <w:r w:rsidR="00D969C1">
        <w:rPr>
          <w:rFonts w:cs="Arial"/>
          <w:szCs w:val="24"/>
        </w:rPr>
        <w:t>s</w:t>
      </w:r>
      <w:r w:rsidR="00D969C1" w:rsidRPr="00387975">
        <w:rPr>
          <w:rFonts w:cs="Arial"/>
          <w:szCs w:val="24"/>
        </w:rPr>
        <w:t xml:space="preserve"> </w:t>
      </w:r>
      <w:r w:rsidRPr="00387975">
        <w:rPr>
          <w:rFonts w:cs="Arial"/>
          <w:szCs w:val="24"/>
        </w:rPr>
        <w:t xml:space="preserve">the collection of costs </w:t>
      </w:r>
      <w:r w:rsidR="00D969C1">
        <w:rPr>
          <w:rFonts w:cs="Arial"/>
          <w:szCs w:val="24"/>
        </w:rPr>
        <w:t xml:space="preserve">through that charge </w:t>
      </w:r>
      <w:r w:rsidRPr="00387975">
        <w:rPr>
          <w:rFonts w:cs="Arial"/>
          <w:szCs w:val="24"/>
        </w:rPr>
        <w:t>associated with functions other than those listed; it prohibits the collection of costs that are not “directly related” to the four specified functions; and it prohibits the collection of costs—other than fixed costs and operation and maintenance expenses—that may otherwise be directly related to the four specified f</w:t>
      </w:r>
      <w:r w:rsidR="00DD39AE">
        <w:rPr>
          <w:rFonts w:cs="Arial"/>
          <w:szCs w:val="24"/>
        </w:rPr>
        <w:t xml:space="preserve">unctions.  As such, </w:t>
      </w:r>
      <w:r w:rsidR="00F970A6">
        <w:rPr>
          <w:rFonts w:cs="Arial"/>
        </w:rPr>
        <w:t>Conn. Gen Stat. §</w:t>
      </w:r>
      <w:r w:rsidR="00DD39AE">
        <w:rPr>
          <w:rFonts w:cs="Arial"/>
          <w:szCs w:val="24"/>
        </w:rPr>
        <w:t>16</w:t>
      </w:r>
      <w:r w:rsidR="00DD39AE">
        <w:rPr>
          <w:rFonts w:cs="Arial"/>
          <w:szCs w:val="24"/>
        </w:rPr>
        <w:noBreakHyphen/>
      </w:r>
      <w:r w:rsidRPr="00387975">
        <w:rPr>
          <w:rFonts w:cs="Arial"/>
          <w:szCs w:val="24"/>
        </w:rPr>
        <w:t xml:space="preserve">243bb establishes a </w:t>
      </w:r>
      <w:r w:rsidRPr="00DD39AE">
        <w:rPr>
          <w:rFonts w:cs="Arial"/>
          <w:szCs w:val="24"/>
        </w:rPr>
        <w:t>maximum categorical limit</w:t>
      </w:r>
      <w:r w:rsidRPr="00387975">
        <w:rPr>
          <w:rFonts w:cs="Arial"/>
          <w:i/>
          <w:szCs w:val="24"/>
        </w:rPr>
        <w:t xml:space="preserve"> </w:t>
      </w:r>
      <w:r w:rsidRPr="00387975">
        <w:rPr>
          <w:rFonts w:cs="Arial"/>
          <w:szCs w:val="24"/>
        </w:rPr>
        <w:t>on any approvable residential non-heating customer</w:t>
      </w:r>
      <w:r>
        <w:rPr>
          <w:rFonts w:cs="Arial"/>
          <w:szCs w:val="24"/>
        </w:rPr>
        <w:t xml:space="preserve"> charge</w:t>
      </w:r>
      <w:r w:rsidRPr="00387975">
        <w:rPr>
          <w:rFonts w:cs="Arial"/>
          <w:szCs w:val="24"/>
        </w:rPr>
        <w:t xml:space="preserve">, which the </w:t>
      </w:r>
      <w:r w:rsidR="00A945DB">
        <w:rPr>
          <w:rFonts w:cs="Arial"/>
          <w:szCs w:val="24"/>
        </w:rPr>
        <w:t>Authority</w:t>
      </w:r>
      <w:r w:rsidRPr="00387975">
        <w:rPr>
          <w:rFonts w:cs="Arial"/>
          <w:szCs w:val="24"/>
        </w:rPr>
        <w:t xml:space="preserve"> seeks to define in this </w:t>
      </w:r>
      <w:r w:rsidR="00F970A6">
        <w:rPr>
          <w:rFonts w:cs="Arial"/>
          <w:szCs w:val="24"/>
        </w:rPr>
        <w:t>D</w:t>
      </w:r>
      <w:r w:rsidRPr="00387975">
        <w:rPr>
          <w:rFonts w:cs="Arial"/>
          <w:szCs w:val="24"/>
        </w:rPr>
        <w:t xml:space="preserve">ecision </w:t>
      </w:r>
      <w:r w:rsidR="008F3C84">
        <w:rPr>
          <w:rFonts w:cs="Arial"/>
          <w:szCs w:val="24"/>
        </w:rPr>
        <w:t xml:space="preserve">to develop </w:t>
      </w:r>
      <w:r w:rsidRPr="00387975">
        <w:rPr>
          <w:rFonts w:cs="Arial"/>
          <w:szCs w:val="24"/>
        </w:rPr>
        <w:t>the M</w:t>
      </w:r>
      <w:r w:rsidR="00F970A6">
        <w:rPr>
          <w:rFonts w:cs="Arial"/>
          <w:szCs w:val="24"/>
        </w:rPr>
        <w:t>RCC calculation</w:t>
      </w:r>
      <w:r w:rsidRPr="00387975">
        <w:rPr>
          <w:rFonts w:cs="Arial"/>
          <w:szCs w:val="24"/>
        </w:rPr>
        <w:t>.</w:t>
      </w:r>
    </w:p>
    <w:p w14:paraId="1CB68498" w14:textId="77777777" w:rsidR="00517D4C" w:rsidRPr="00387975" w:rsidRDefault="00517D4C" w:rsidP="00517D4C">
      <w:pPr>
        <w:ind w:firstLine="720"/>
        <w:jc w:val="both"/>
        <w:rPr>
          <w:rFonts w:cs="Arial"/>
          <w:szCs w:val="24"/>
        </w:rPr>
      </w:pPr>
    </w:p>
    <w:p w14:paraId="21098058" w14:textId="431431DD" w:rsidR="00517D4C" w:rsidRPr="00387975" w:rsidRDefault="00517D4C" w:rsidP="00517D4C">
      <w:pPr>
        <w:ind w:firstLine="720"/>
        <w:jc w:val="both"/>
        <w:rPr>
          <w:rFonts w:cs="Arial"/>
          <w:szCs w:val="24"/>
        </w:rPr>
      </w:pPr>
      <w:r w:rsidRPr="00387975">
        <w:rPr>
          <w:rFonts w:cs="Arial"/>
          <w:szCs w:val="24"/>
        </w:rPr>
        <w:t xml:space="preserve">Second, the express language of Conn. Gen. Stat. §16-243bb does not </w:t>
      </w:r>
      <w:r w:rsidR="00D969C1">
        <w:rPr>
          <w:rFonts w:cs="Arial"/>
          <w:szCs w:val="24"/>
        </w:rPr>
        <w:t>establish</w:t>
      </w:r>
      <w:r w:rsidRPr="00387975">
        <w:rPr>
          <w:rFonts w:cs="Arial"/>
          <w:szCs w:val="24"/>
        </w:rPr>
        <w:t xml:space="preserve"> </w:t>
      </w:r>
      <w:r>
        <w:rPr>
          <w:rFonts w:cs="Arial"/>
          <w:szCs w:val="24"/>
        </w:rPr>
        <w:t xml:space="preserve">the </w:t>
      </w:r>
      <w:r w:rsidRPr="00387975">
        <w:rPr>
          <w:rFonts w:cs="Arial"/>
          <w:szCs w:val="24"/>
        </w:rPr>
        <w:t xml:space="preserve">residential non-heating customer charge </w:t>
      </w:r>
      <w:r w:rsidR="00D969C1">
        <w:rPr>
          <w:rFonts w:cs="Arial"/>
          <w:szCs w:val="24"/>
        </w:rPr>
        <w:t>a</w:t>
      </w:r>
      <w:r>
        <w:rPr>
          <w:rFonts w:cs="Arial"/>
          <w:szCs w:val="24"/>
        </w:rPr>
        <w:t>s</w:t>
      </w:r>
      <w:r w:rsidRPr="00387975">
        <w:rPr>
          <w:rFonts w:cs="Arial"/>
          <w:szCs w:val="24"/>
        </w:rPr>
        <w:t xml:space="preserve"> the exclusive charge or mechanism by which EDCs must recover all of the fixed costs and O&amp;M expenses directly related to the statutory functions.  In other words, any costs which the EDCs do not recover through a residential non-heating customer charge may be collected through </w:t>
      </w:r>
      <w:r>
        <w:rPr>
          <w:rFonts w:cs="Arial"/>
          <w:szCs w:val="24"/>
        </w:rPr>
        <w:t xml:space="preserve">a </w:t>
      </w:r>
      <w:r w:rsidRPr="00387975">
        <w:rPr>
          <w:rFonts w:cs="Arial"/>
          <w:szCs w:val="24"/>
        </w:rPr>
        <w:t>volumetric</w:t>
      </w:r>
      <w:r>
        <w:rPr>
          <w:rFonts w:cs="Arial"/>
          <w:szCs w:val="24"/>
        </w:rPr>
        <w:t xml:space="preserve"> distribution delivery </w:t>
      </w:r>
      <w:r w:rsidRPr="00387975">
        <w:rPr>
          <w:rFonts w:cs="Arial"/>
          <w:szCs w:val="24"/>
        </w:rPr>
        <w:t>charge.  See, Decision dated January 22, 2014</w:t>
      </w:r>
      <w:r w:rsidR="003F6BF8">
        <w:rPr>
          <w:rFonts w:cs="Arial"/>
          <w:szCs w:val="24"/>
        </w:rPr>
        <w:t>,</w:t>
      </w:r>
      <w:r w:rsidRPr="00387975">
        <w:rPr>
          <w:rFonts w:cs="Arial"/>
          <w:szCs w:val="24"/>
        </w:rPr>
        <w:t xml:space="preserve"> in Docket No. 13-06-08, </w:t>
      </w:r>
      <w:r w:rsidRPr="00387975">
        <w:rPr>
          <w:rFonts w:cs="Arial"/>
          <w:szCs w:val="24"/>
          <w:u w:val="single"/>
        </w:rPr>
        <w:t>Application of Connecticut Natural Gas Corporation to Increase Its Rates and Charges</w:t>
      </w:r>
      <w:r w:rsidRPr="00387975">
        <w:rPr>
          <w:rFonts w:cs="Arial"/>
          <w:szCs w:val="24"/>
        </w:rPr>
        <w:t xml:space="preserve">, page 140, </w:t>
      </w:r>
      <w:r w:rsidRPr="00DB05B2">
        <w:rPr>
          <w:rFonts w:cs="Arial"/>
          <w:szCs w:val="24"/>
          <w:u w:val="single"/>
        </w:rPr>
        <w:t>Section II.M.3</w:t>
      </w:r>
      <w:r w:rsidR="00F54B08">
        <w:rPr>
          <w:rFonts w:cs="Arial"/>
          <w:szCs w:val="24"/>
          <w:u w:val="single"/>
        </w:rPr>
        <w:t>.</w:t>
      </w:r>
      <w:r w:rsidRPr="00387975">
        <w:rPr>
          <w:rFonts w:cs="Arial"/>
          <w:szCs w:val="24"/>
        </w:rPr>
        <w:t xml:space="preserve"> and page 4, where the Connecticut Natural Gas Corporation proposed to raise the monthly residential customer charge from $14.00 to $16.50 and set the Delivery Charge at $0.7950 per ccf to collect the </w:t>
      </w:r>
      <w:r w:rsidRPr="00387975">
        <w:rPr>
          <w:rFonts w:cs="Arial"/>
          <w:szCs w:val="24"/>
        </w:rPr>
        <w:lastRenderedPageBreak/>
        <w:t>remaining customer related c</w:t>
      </w:r>
      <w:r w:rsidR="00707DDC">
        <w:rPr>
          <w:rFonts w:cs="Arial"/>
          <w:szCs w:val="24"/>
        </w:rPr>
        <w:t>osts</w:t>
      </w:r>
      <w:r w:rsidRPr="00387975">
        <w:rPr>
          <w:rFonts w:cs="Arial"/>
          <w:szCs w:val="24"/>
        </w:rPr>
        <w:t xml:space="preserve"> not recovered through the monthly residential customer charge. </w:t>
      </w:r>
    </w:p>
    <w:p w14:paraId="048D65E2" w14:textId="77777777" w:rsidR="00517D4C" w:rsidRPr="00387975" w:rsidRDefault="00517D4C" w:rsidP="00517D4C">
      <w:pPr>
        <w:ind w:firstLine="720"/>
        <w:jc w:val="both"/>
        <w:rPr>
          <w:rFonts w:cs="Arial"/>
          <w:szCs w:val="24"/>
        </w:rPr>
      </w:pPr>
    </w:p>
    <w:p w14:paraId="3F8A49E2" w14:textId="7E562967" w:rsidR="00517D4C" w:rsidRPr="00387975" w:rsidRDefault="00517D4C" w:rsidP="00517D4C">
      <w:pPr>
        <w:ind w:firstLine="720"/>
        <w:jc w:val="both"/>
        <w:rPr>
          <w:rFonts w:cs="Arial"/>
          <w:szCs w:val="24"/>
        </w:rPr>
      </w:pPr>
      <w:r w:rsidRPr="00387975">
        <w:rPr>
          <w:rFonts w:cs="Arial"/>
          <w:szCs w:val="24"/>
        </w:rPr>
        <w:t>Finally, the express language of Conn. Gen. Stat. §16-243bb narrows—but does not eliminate—the PURA’s general ratemaking authority and its discretion, pursuant to Conn. Gen. Stat. §§16-19 and 16-19e, to set just an</w:t>
      </w:r>
      <w:r w:rsidR="00A945DB">
        <w:rPr>
          <w:rFonts w:cs="Arial"/>
          <w:szCs w:val="24"/>
        </w:rPr>
        <w:t xml:space="preserve">d reasonable rates.  </w:t>
      </w:r>
      <w:r w:rsidR="008F3C84">
        <w:rPr>
          <w:rFonts w:cs="Arial"/>
          <w:szCs w:val="24"/>
        </w:rPr>
        <w:t>Conn. Gen Stat. §</w:t>
      </w:r>
      <w:r w:rsidR="00A945DB">
        <w:rPr>
          <w:rFonts w:cs="Arial"/>
          <w:szCs w:val="24"/>
        </w:rPr>
        <w:t>16</w:t>
      </w:r>
      <w:r w:rsidR="00A945DB">
        <w:rPr>
          <w:rFonts w:cs="Arial"/>
          <w:szCs w:val="24"/>
        </w:rPr>
        <w:noBreakHyphen/>
      </w:r>
      <w:r w:rsidRPr="00387975">
        <w:rPr>
          <w:rFonts w:cs="Arial"/>
          <w:szCs w:val="24"/>
        </w:rPr>
        <w:t xml:space="preserve">243bb clearly limits the Authority’s exercise of ratemaking discretion by prohibiting the PURA from approving a residential non-heating customer charge </w:t>
      </w:r>
      <w:r w:rsidRPr="00387975">
        <w:rPr>
          <w:rFonts w:cs="Arial"/>
          <w:i/>
          <w:szCs w:val="24"/>
        </w:rPr>
        <w:t>in excess</w:t>
      </w:r>
      <w:r w:rsidRPr="00387975">
        <w:rPr>
          <w:rFonts w:cs="Arial"/>
          <w:szCs w:val="24"/>
        </w:rPr>
        <w:t xml:space="preserve"> of the MRCC</w:t>
      </w:r>
      <w:r w:rsidR="008F3C84">
        <w:rPr>
          <w:rFonts w:cs="Arial"/>
          <w:szCs w:val="24"/>
        </w:rPr>
        <w:t xml:space="preserve"> calculation</w:t>
      </w:r>
      <w:r w:rsidRPr="00387975">
        <w:rPr>
          <w:rFonts w:cs="Arial"/>
          <w:szCs w:val="24"/>
        </w:rPr>
        <w:t xml:space="preserve">.  However, </w:t>
      </w:r>
      <w:r w:rsidR="00D969C1">
        <w:rPr>
          <w:rFonts w:cs="Arial"/>
          <w:szCs w:val="24"/>
        </w:rPr>
        <w:t xml:space="preserve">the Authority observes that </w:t>
      </w:r>
      <w:r w:rsidRPr="00387975">
        <w:rPr>
          <w:rFonts w:cs="Arial"/>
          <w:szCs w:val="24"/>
        </w:rPr>
        <w:t xml:space="preserve">Conn. Gen. Stat. §16-243bb does not eliminate or limit the Authority’s broad discretion to approve or adjust a residential non-heating customer charge to a level that </w:t>
      </w:r>
      <w:r w:rsidRPr="00E1092F">
        <w:rPr>
          <w:rFonts w:cs="Arial"/>
          <w:i/>
          <w:szCs w:val="24"/>
        </w:rPr>
        <w:t xml:space="preserve">is </w:t>
      </w:r>
      <w:r w:rsidRPr="00E1092F">
        <w:rPr>
          <w:rFonts w:cs="Arial"/>
          <w:szCs w:val="24"/>
        </w:rPr>
        <w:t>less</w:t>
      </w:r>
      <w:r w:rsidRPr="001B7B98">
        <w:rPr>
          <w:rFonts w:cs="Arial"/>
          <w:szCs w:val="24"/>
        </w:rPr>
        <w:t xml:space="preserve"> </w:t>
      </w:r>
      <w:r w:rsidRPr="00387975">
        <w:rPr>
          <w:rFonts w:cs="Arial"/>
          <w:szCs w:val="24"/>
        </w:rPr>
        <w:t xml:space="preserve">than the MRCC </w:t>
      </w:r>
      <w:r w:rsidR="00D969C1">
        <w:rPr>
          <w:rFonts w:cs="Arial"/>
          <w:szCs w:val="24"/>
        </w:rPr>
        <w:t xml:space="preserve">calculated pursuant to </w:t>
      </w:r>
      <w:r w:rsidRPr="00387975">
        <w:rPr>
          <w:rFonts w:cs="Arial"/>
          <w:szCs w:val="24"/>
        </w:rPr>
        <w:t xml:space="preserve">the </w:t>
      </w:r>
      <w:r w:rsidR="00D969C1">
        <w:rPr>
          <w:rFonts w:cs="Arial"/>
          <w:szCs w:val="24"/>
        </w:rPr>
        <w:t xml:space="preserve">methodology in the </w:t>
      </w:r>
      <w:r w:rsidRPr="00387975">
        <w:rPr>
          <w:rFonts w:cs="Arial"/>
          <w:szCs w:val="24"/>
        </w:rPr>
        <w:t xml:space="preserve">instant Decision, if the standards set forth in Conn. Gen. Stat. §§16-19 and 16-19e so warrant.  In many past Decisions, the Authority has articulated various policy and economic considerations for setting residential non-heating customer charges at an amount less than both 1) the full residential non-heating customer charge amount requested by the EDC; and/or 2) the fully allocated cost amount calculated by the EDC and identified in the </w:t>
      </w:r>
      <w:r w:rsidR="008F3C84">
        <w:rPr>
          <w:rFonts w:cs="Arial"/>
          <w:szCs w:val="24"/>
        </w:rPr>
        <w:t>cost of service study (</w:t>
      </w:r>
      <w:r w:rsidRPr="00387975">
        <w:rPr>
          <w:rFonts w:cs="Arial"/>
          <w:szCs w:val="24"/>
        </w:rPr>
        <w:t>COSS</w:t>
      </w:r>
      <w:r w:rsidR="008F3C84">
        <w:rPr>
          <w:rFonts w:cs="Arial"/>
          <w:szCs w:val="24"/>
        </w:rPr>
        <w:t>)</w:t>
      </w:r>
      <w:r w:rsidRPr="00387975">
        <w:rPr>
          <w:rFonts w:cs="Arial"/>
          <w:szCs w:val="24"/>
        </w:rPr>
        <w:t xml:space="preserve"> submitted by the EDC with its rate proposal.</w:t>
      </w:r>
      <w:r w:rsidRPr="00387975">
        <w:rPr>
          <w:rFonts w:cs="Arial"/>
          <w:szCs w:val="24"/>
          <w:vertAlign w:val="superscript"/>
        </w:rPr>
        <w:footnoteReference w:id="4"/>
      </w:r>
      <w:r w:rsidRPr="00387975">
        <w:rPr>
          <w:rFonts w:cs="Arial"/>
          <w:szCs w:val="24"/>
        </w:rPr>
        <w:t xml:space="preserve">  With the enactment of Conn. Gen. Stat. §16-243bb, the Authority may continue to approve residential non-heating customer charges that are less than the MRCC </w:t>
      </w:r>
      <w:r w:rsidR="008F3C84">
        <w:rPr>
          <w:rFonts w:cs="Arial"/>
          <w:szCs w:val="24"/>
        </w:rPr>
        <w:t xml:space="preserve">calculation </w:t>
      </w:r>
      <w:r w:rsidRPr="00387975">
        <w:rPr>
          <w:rFonts w:cs="Arial"/>
          <w:szCs w:val="24"/>
        </w:rPr>
        <w:t>based on policy considerations, economic conditions, or other facts and circumstances existing at the time a rate case Decision is rendered</w:t>
      </w:r>
      <w:r w:rsidR="00D969C1">
        <w:rPr>
          <w:rFonts w:cs="Arial"/>
          <w:szCs w:val="24"/>
        </w:rPr>
        <w:t xml:space="preserve">, </w:t>
      </w:r>
      <w:r w:rsidR="00AF2734">
        <w:rPr>
          <w:rFonts w:cs="Arial"/>
          <w:szCs w:val="24"/>
        </w:rPr>
        <w:t>consistent with the standards set forth in</w:t>
      </w:r>
      <w:r w:rsidR="00D969C1">
        <w:rPr>
          <w:rFonts w:cs="Arial"/>
          <w:szCs w:val="24"/>
        </w:rPr>
        <w:t xml:space="preserve"> </w:t>
      </w:r>
      <w:r w:rsidR="00D969C1" w:rsidRPr="00387975">
        <w:rPr>
          <w:rFonts w:cs="Arial"/>
          <w:szCs w:val="24"/>
        </w:rPr>
        <w:t>Conn. Gen. Stat. §§16-19 and 16-19e</w:t>
      </w:r>
      <w:r w:rsidRPr="00387975">
        <w:rPr>
          <w:rFonts w:cs="Arial"/>
          <w:szCs w:val="24"/>
        </w:rPr>
        <w:t xml:space="preserve">.  </w:t>
      </w:r>
    </w:p>
    <w:p w14:paraId="37413CD4" w14:textId="77777777" w:rsidR="00517D4C" w:rsidRPr="00387975" w:rsidRDefault="00517D4C" w:rsidP="00517D4C">
      <w:pPr>
        <w:ind w:firstLine="720"/>
        <w:jc w:val="both"/>
        <w:rPr>
          <w:rFonts w:cs="Arial"/>
          <w:szCs w:val="24"/>
        </w:rPr>
      </w:pPr>
    </w:p>
    <w:p w14:paraId="5CC76B61" w14:textId="0AEA6EFF" w:rsidR="00517D4C" w:rsidRPr="00387975" w:rsidRDefault="00517D4C" w:rsidP="00517D4C">
      <w:pPr>
        <w:ind w:firstLine="720"/>
        <w:jc w:val="both"/>
        <w:rPr>
          <w:rFonts w:cs="Arial"/>
          <w:szCs w:val="24"/>
        </w:rPr>
      </w:pPr>
      <w:r w:rsidRPr="00387975">
        <w:rPr>
          <w:rFonts w:cs="Arial"/>
          <w:szCs w:val="24"/>
        </w:rPr>
        <w:t xml:space="preserve">As noted above, the plain language of Conn. Gen. Stat. §16-243bb does not provide specific definitions or criteria to be applied to determine whether a particular </w:t>
      </w:r>
      <w:r w:rsidR="00150EA4">
        <w:rPr>
          <w:rFonts w:cs="Arial"/>
          <w:szCs w:val="24"/>
        </w:rPr>
        <w:t>fi</w:t>
      </w:r>
      <w:r>
        <w:rPr>
          <w:rFonts w:cs="Arial"/>
          <w:szCs w:val="24"/>
        </w:rPr>
        <w:t xml:space="preserve">xed </w:t>
      </w:r>
      <w:r w:rsidRPr="00387975">
        <w:rPr>
          <w:rFonts w:cs="Arial"/>
          <w:szCs w:val="24"/>
        </w:rPr>
        <w:t xml:space="preserve">cost or </w:t>
      </w:r>
      <w:r>
        <w:rPr>
          <w:rFonts w:cs="Arial"/>
          <w:szCs w:val="24"/>
        </w:rPr>
        <w:t xml:space="preserve">O&amp;M </w:t>
      </w:r>
      <w:r w:rsidRPr="00387975">
        <w:rPr>
          <w:rFonts w:cs="Arial"/>
          <w:szCs w:val="24"/>
        </w:rPr>
        <w:t>expense is “directly related” to the statutory functions or a method or formula for calculating the MRCC.  Moreover, Conn. Gen. Stat. §16-243bb lists</w:t>
      </w:r>
      <w:r>
        <w:rPr>
          <w:rFonts w:cs="Arial"/>
          <w:szCs w:val="24"/>
        </w:rPr>
        <w:t>,</w:t>
      </w:r>
      <w:r w:rsidRPr="00387975">
        <w:rPr>
          <w:rFonts w:cs="Arial"/>
          <w:szCs w:val="24"/>
        </w:rPr>
        <w:t xml:space="preserve"> but does not define</w:t>
      </w:r>
      <w:r>
        <w:rPr>
          <w:rFonts w:cs="Arial"/>
          <w:szCs w:val="24"/>
        </w:rPr>
        <w:t>,</w:t>
      </w:r>
      <w:r w:rsidRPr="00387975">
        <w:rPr>
          <w:rFonts w:cs="Arial"/>
          <w:szCs w:val="24"/>
        </w:rPr>
        <w:t xml:space="preserve"> the four categories of </w:t>
      </w:r>
      <w:r>
        <w:rPr>
          <w:rFonts w:cs="Arial"/>
          <w:szCs w:val="24"/>
        </w:rPr>
        <w:t xml:space="preserve">fixed </w:t>
      </w:r>
      <w:r w:rsidRPr="00387975">
        <w:rPr>
          <w:rFonts w:cs="Arial"/>
          <w:szCs w:val="24"/>
        </w:rPr>
        <w:t xml:space="preserve">costs and </w:t>
      </w:r>
      <w:r>
        <w:rPr>
          <w:rFonts w:cs="Arial"/>
          <w:szCs w:val="24"/>
        </w:rPr>
        <w:t xml:space="preserve">O&amp;M </w:t>
      </w:r>
      <w:r w:rsidRPr="00387975">
        <w:rPr>
          <w:rFonts w:cs="Arial"/>
          <w:szCs w:val="24"/>
        </w:rPr>
        <w:t xml:space="preserve">expenses of the statutory functions that may be recovered through the residential non-heating customer charge.  To ensure that the Authority’s review of </w:t>
      </w:r>
      <w:r>
        <w:rPr>
          <w:rFonts w:cs="Arial"/>
          <w:szCs w:val="24"/>
        </w:rPr>
        <w:t xml:space="preserve">an </w:t>
      </w:r>
      <w:r w:rsidRPr="00387975">
        <w:rPr>
          <w:rFonts w:cs="Arial"/>
          <w:szCs w:val="24"/>
        </w:rPr>
        <w:t>EDC</w:t>
      </w:r>
      <w:r w:rsidR="008F3C84">
        <w:rPr>
          <w:rFonts w:cs="Arial"/>
          <w:szCs w:val="24"/>
        </w:rPr>
        <w:t>’</w:t>
      </w:r>
      <w:r>
        <w:rPr>
          <w:rFonts w:cs="Arial"/>
          <w:szCs w:val="24"/>
        </w:rPr>
        <w:t>s proposed</w:t>
      </w:r>
      <w:r w:rsidRPr="00387975">
        <w:rPr>
          <w:rFonts w:cs="Arial"/>
          <w:szCs w:val="24"/>
        </w:rPr>
        <w:t xml:space="preserve"> residential non-heating customer </w:t>
      </w:r>
      <w:r w:rsidR="00707DDC">
        <w:rPr>
          <w:rFonts w:cs="Arial"/>
          <w:szCs w:val="24"/>
        </w:rPr>
        <w:t>charge</w:t>
      </w:r>
      <w:r w:rsidR="008F3C84">
        <w:rPr>
          <w:rFonts w:cs="Arial"/>
          <w:szCs w:val="24"/>
        </w:rPr>
        <w:t>s</w:t>
      </w:r>
      <w:r w:rsidR="00707DDC">
        <w:rPr>
          <w:rFonts w:cs="Arial"/>
          <w:szCs w:val="24"/>
        </w:rPr>
        <w:t xml:space="preserve"> </w:t>
      </w:r>
      <w:r w:rsidRPr="00387975">
        <w:rPr>
          <w:rFonts w:cs="Arial"/>
          <w:szCs w:val="24"/>
        </w:rPr>
        <w:t xml:space="preserve">remains within the limits of Conn. Gen. Stat. §16-243bb, the Authority </w:t>
      </w:r>
      <w:r w:rsidRPr="00387975">
        <w:rPr>
          <w:rFonts w:cs="Arial"/>
          <w:szCs w:val="24"/>
        </w:rPr>
        <w:lastRenderedPageBreak/>
        <w:t>establishes in th</w:t>
      </w:r>
      <w:r w:rsidR="008F3C84">
        <w:rPr>
          <w:rFonts w:cs="Arial"/>
          <w:szCs w:val="24"/>
        </w:rPr>
        <w:t>e instant</w:t>
      </w:r>
      <w:r w:rsidRPr="00387975">
        <w:rPr>
          <w:rFonts w:cs="Arial"/>
          <w:szCs w:val="24"/>
        </w:rPr>
        <w:t xml:space="preserve"> </w:t>
      </w:r>
      <w:r w:rsidR="008F3C84">
        <w:rPr>
          <w:rFonts w:cs="Arial"/>
          <w:szCs w:val="24"/>
        </w:rPr>
        <w:t>D</w:t>
      </w:r>
      <w:r w:rsidRPr="00387975">
        <w:rPr>
          <w:rFonts w:cs="Arial"/>
          <w:szCs w:val="24"/>
        </w:rPr>
        <w:t>ecision</w:t>
      </w:r>
      <w:r w:rsidR="008F3C84">
        <w:rPr>
          <w:rFonts w:cs="Arial"/>
          <w:szCs w:val="24"/>
        </w:rPr>
        <w:t>’s</w:t>
      </w:r>
      <w:r w:rsidRPr="00387975">
        <w:rPr>
          <w:rFonts w:cs="Arial"/>
          <w:szCs w:val="24"/>
        </w:rPr>
        <w:t xml:space="preserve"> criteria for determining, and a methodology for calculating, the MRCC.  In Section III.B.</w:t>
      </w:r>
      <w:r w:rsidR="00150B0E">
        <w:rPr>
          <w:rFonts w:cs="Arial"/>
          <w:szCs w:val="24"/>
        </w:rPr>
        <w:t>3</w:t>
      </w:r>
      <w:r w:rsidRPr="00387975">
        <w:rPr>
          <w:rFonts w:cs="Arial"/>
          <w:szCs w:val="24"/>
        </w:rPr>
        <w:t xml:space="preserve">. </w:t>
      </w:r>
      <w:r w:rsidR="00F1451A" w:rsidRPr="00F54B08">
        <w:rPr>
          <w:rFonts w:cs="Arial"/>
          <w:szCs w:val="24"/>
          <w:u w:val="single"/>
        </w:rPr>
        <w:t>Discussion on</w:t>
      </w:r>
      <w:r w:rsidR="00F1451A">
        <w:rPr>
          <w:rFonts w:cs="Arial"/>
          <w:szCs w:val="24"/>
        </w:rPr>
        <w:t xml:space="preserve"> </w:t>
      </w:r>
      <w:r w:rsidRPr="00387975">
        <w:rPr>
          <w:rFonts w:cs="Arial"/>
          <w:szCs w:val="24"/>
          <w:u w:val="single"/>
        </w:rPr>
        <w:t>COSS / Cost Allocation / Direct Assignment</w:t>
      </w:r>
      <w:r w:rsidRPr="00387975">
        <w:rPr>
          <w:rFonts w:cs="Arial"/>
          <w:szCs w:val="24"/>
        </w:rPr>
        <w:t xml:space="preserve">, the Authority establishes criteria for determining which </w:t>
      </w:r>
      <w:r>
        <w:rPr>
          <w:rFonts w:cs="Arial"/>
          <w:szCs w:val="24"/>
        </w:rPr>
        <w:t xml:space="preserve">fixed </w:t>
      </w:r>
      <w:r w:rsidRPr="00387975">
        <w:rPr>
          <w:rFonts w:cs="Arial"/>
          <w:szCs w:val="24"/>
        </w:rPr>
        <w:t>costs and</w:t>
      </w:r>
      <w:r>
        <w:rPr>
          <w:rFonts w:cs="Arial"/>
          <w:szCs w:val="24"/>
        </w:rPr>
        <w:t xml:space="preserve"> O&amp;M</w:t>
      </w:r>
      <w:r w:rsidRPr="00387975">
        <w:rPr>
          <w:rFonts w:cs="Arial"/>
          <w:szCs w:val="24"/>
        </w:rPr>
        <w:t xml:space="preserve"> expenses are “directly related” to the statut</w:t>
      </w:r>
      <w:r w:rsidR="005A507C">
        <w:rPr>
          <w:rFonts w:cs="Arial"/>
          <w:szCs w:val="24"/>
        </w:rPr>
        <w:t>ory functions.  In Section III.C</w:t>
      </w:r>
      <w:r w:rsidRPr="00387975">
        <w:rPr>
          <w:rFonts w:cs="Arial"/>
          <w:szCs w:val="24"/>
        </w:rPr>
        <w:t xml:space="preserve">. </w:t>
      </w:r>
      <w:r w:rsidRPr="00387975">
        <w:rPr>
          <w:rFonts w:cs="Arial"/>
          <w:szCs w:val="24"/>
          <w:u w:val="single"/>
        </w:rPr>
        <w:t>FERC Accounts</w:t>
      </w:r>
      <w:r w:rsidRPr="00387975">
        <w:rPr>
          <w:rFonts w:cs="Arial"/>
          <w:szCs w:val="24"/>
        </w:rPr>
        <w:t>, the Authority applies the criteria outlined in Section III.B.</w:t>
      </w:r>
      <w:r w:rsidR="00150B0E">
        <w:rPr>
          <w:rFonts w:cs="Arial"/>
          <w:szCs w:val="24"/>
        </w:rPr>
        <w:t>3</w:t>
      </w:r>
      <w:r w:rsidRPr="00387975">
        <w:rPr>
          <w:rFonts w:cs="Arial"/>
          <w:szCs w:val="24"/>
        </w:rPr>
        <w:t>.</w:t>
      </w:r>
      <w:r w:rsidR="00150B0E">
        <w:rPr>
          <w:rFonts w:cs="Arial"/>
          <w:szCs w:val="24"/>
        </w:rPr>
        <w:t xml:space="preserve"> </w:t>
      </w:r>
      <w:r w:rsidR="00150B0E" w:rsidRPr="00F54B08">
        <w:rPr>
          <w:rFonts w:cs="Arial"/>
          <w:szCs w:val="24"/>
          <w:u w:val="single"/>
        </w:rPr>
        <w:t>Discussion on</w:t>
      </w:r>
      <w:r w:rsidR="00150B0E">
        <w:rPr>
          <w:rFonts w:cs="Arial"/>
          <w:szCs w:val="24"/>
        </w:rPr>
        <w:t xml:space="preserve"> </w:t>
      </w:r>
      <w:r w:rsidR="00150B0E" w:rsidRPr="00387975">
        <w:rPr>
          <w:rFonts w:cs="Arial"/>
          <w:szCs w:val="24"/>
          <w:u w:val="single"/>
        </w:rPr>
        <w:t>COSS / Cost Allocation / Direct Assignment</w:t>
      </w:r>
      <w:r w:rsidRPr="00387975">
        <w:rPr>
          <w:rFonts w:cs="Arial"/>
          <w:szCs w:val="24"/>
        </w:rPr>
        <w:t xml:space="preserve"> </w:t>
      </w:r>
      <w:r w:rsidR="000B3217">
        <w:rPr>
          <w:rFonts w:cs="Arial"/>
          <w:szCs w:val="24"/>
        </w:rPr>
        <w:t xml:space="preserve">cited above </w:t>
      </w:r>
      <w:r w:rsidRPr="00387975">
        <w:rPr>
          <w:rFonts w:cs="Arial"/>
          <w:szCs w:val="24"/>
        </w:rPr>
        <w:t xml:space="preserve">to distinguish the specific costs and expenses that are includable and not includable in a </w:t>
      </w:r>
      <w:r w:rsidR="00E97B03">
        <w:rPr>
          <w:rFonts w:cs="Arial"/>
          <w:szCs w:val="24"/>
        </w:rPr>
        <w:t>MRCC calculation</w:t>
      </w:r>
      <w:r w:rsidRPr="00387975">
        <w:rPr>
          <w:rFonts w:cs="Arial"/>
          <w:szCs w:val="24"/>
        </w:rPr>
        <w:t xml:space="preserve"> pursuant to Conn. Gen. Stat. §16-243bb.  In Section III.</w:t>
      </w:r>
      <w:r w:rsidR="005A507C">
        <w:rPr>
          <w:rFonts w:cs="Arial"/>
          <w:szCs w:val="24"/>
        </w:rPr>
        <w:t>E</w:t>
      </w:r>
      <w:r w:rsidRPr="00387975">
        <w:rPr>
          <w:rFonts w:cs="Arial"/>
          <w:szCs w:val="24"/>
        </w:rPr>
        <w:t xml:space="preserve">. </w:t>
      </w:r>
      <w:r w:rsidRPr="00387975">
        <w:rPr>
          <w:rFonts w:cs="Arial"/>
          <w:szCs w:val="24"/>
          <w:u w:val="single"/>
        </w:rPr>
        <w:t>MRCC Calculation</w:t>
      </w:r>
      <w:r w:rsidRPr="00387975">
        <w:rPr>
          <w:rFonts w:cs="Arial"/>
          <w:szCs w:val="24"/>
        </w:rPr>
        <w:t>, the Authority sets forth the specific method</w:t>
      </w:r>
      <w:r>
        <w:rPr>
          <w:rFonts w:cs="Arial"/>
          <w:szCs w:val="24"/>
        </w:rPr>
        <w:t>ology</w:t>
      </w:r>
      <w:r w:rsidRPr="00387975">
        <w:rPr>
          <w:rFonts w:cs="Arial"/>
          <w:szCs w:val="24"/>
        </w:rPr>
        <w:t xml:space="preserve"> the EDCs shall use for calculating the MRCC.  </w:t>
      </w:r>
    </w:p>
    <w:p w14:paraId="696F4453" w14:textId="77777777" w:rsidR="00517D4C" w:rsidRPr="00387975" w:rsidRDefault="00517D4C" w:rsidP="00517D4C">
      <w:pPr>
        <w:ind w:firstLine="720"/>
        <w:jc w:val="both"/>
        <w:rPr>
          <w:rFonts w:cs="Arial"/>
          <w:szCs w:val="24"/>
        </w:rPr>
      </w:pPr>
    </w:p>
    <w:p w14:paraId="27536620" w14:textId="2C83B4EA" w:rsidR="00D22320" w:rsidRDefault="00517D4C" w:rsidP="00D22320">
      <w:pPr>
        <w:ind w:firstLine="720"/>
        <w:jc w:val="both"/>
        <w:rPr>
          <w:rFonts w:cs="Arial"/>
          <w:szCs w:val="24"/>
        </w:rPr>
      </w:pPr>
      <w:r w:rsidRPr="00387975">
        <w:rPr>
          <w:rFonts w:cs="Arial"/>
          <w:szCs w:val="24"/>
        </w:rPr>
        <w:t xml:space="preserve">For future rate cases, each EDC is directed to follow the instructions set forth in the instant Decision and submit </w:t>
      </w:r>
      <w:r>
        <w:rPr>
          <w:rFonts w:cs="Arial"/>
          <w:szCs w:val="24"/>
        </w:rPr>
        <w:t>a conforming</w:t>
      </w:r>
      <w:r w:rsidRPr="00387975">
        <w:rPr>
          <w:rFonts w:cs="Arial"/>
          <w:szCs w:val="24"/>
        </w:rPr>
        <w:t xml:space="preserve"> MRCC calculation and proposed residential non-heating customer charge.  The Authority will review the EDC’s proposal, approve its MRCC calculation, and determine the appropriate amount for the residential non</w:t>
      </w:r>
      <w:r w:rsidRPr="00387975">
        <w:rPr>
          <w:rFonts w:cs="Arial"/>
          <w:szCs w:val="24"/>
        </w:rPr>
        <w:noBreakHyphen/>
        <w:t xml:space="preserve">heating customer charge.  In performing this review, Conn. Gen. Stat. §16-243bb prohibits the Authority from setting </w:t>
      </w:r>
      <w:r>
        <w:rPr>
          <w:rFonts w:cs="Arial"/>
          <w:szCs w:val="24"/>
        </w:rPr>
        <w:t>a</w:t>
      </w:r>
      <w:r w:rsidRPr="00387975">
        <w:rPr>
          <w:rFonts w:cs="Arial"/>
          <w:szCs w:val="24"/>
        </w:rPr>
        <w:t xml:space="preserve"> residential non-heating customer charge above the MRCC </w:t>
      </w:r>
      <w:r>
        <w:rPr>
          <w:rFonts w:cs="Arial"/>
          <w:szCs w:val="24"/>
        </w:rPr>
        <w:t>level</w:t>
      </w:r>
      <w:r w:rsidRPr="00387975">
        <w:rPr>
          <w:rFonts w:cs="Arial"/>
          <w:szCs w:val="24"/>
        </w:rPr>
        <w:t xml:space="preserve">.  The Authority only </w:t>
      </w:r>
      <w:r w:rsidR="00E97B03" w:rsidRPr="00387975">
        <w:rPr>
          <w:rFonts w:cs="Arial"/>
          <w:szCs w:val="24"/>
        </w:rPr>
        <w:t xml:space="preserve">will </w:t>
      </w:r>
      <w:r w:rsidRPr="00387975">
        <w:rPr>
          <w:rFonts w:cs="Arial"/>
          <w:szCs w:val="24"/>
        </w:rPr>
        <w:t xml:space="preserve">have discretion to set </w:t>
      </w:r>
      <w:r w:rsidR="006F7877">
        <w:rPr>
          <w:rFonts w:cs="Arial"/>
          <w:szCs w:val="24"/>
        </w:rPr>
        <w:t xml:space="preserve">non-heating </w:t>
      </w:r>
      <w:r w:rsidR="00AF2734">
        <w:rPr>
          <w:rFonts w:cs="Arial"/>
          <w:szCs w:val="24"/>
        </w:rPr>
        <w:t>customer charge</w:t>
      </w:r>
      <w:r w:rsidR="00E97B03">
        <w:rPr>
          <w:rFonts w:cs="Arial"/>
          <w:szCs w:val="24"/>
        </w:rPr>
        <w:t>s</w:t>
      </w:r>
      <w:r w:rsidR="00AF2734" w:rsidRPr="00387975">
        <w:rPr>
          <w:rFonts w:cs="Arial"/>
          <w:szCs w:val="24"/>
        </w:rPr>
        <w:t xml:space="preserve"> </w:t>
      </w:r>
      <w:r w:rsidRPr="00387975">
        <w:rPr>
          <w:rFonts w:cs="Arial"/>
          <w:szCs w:val="24"/>
        </w:rPr>
        <w:t xml:space="preserve">at or below the MRCC </w:t>
      </w:r>
      <w:r>
        <w:rPr>
          <w:rFonts w:cs="Arial"/>
          <w:szCs w:val="24"/>
        </w:rPr>
        <w:t>level</w:t>
      </w:r>
      <w:r w:rsidRPr="00387975">
        <w:rPr>
          <w:rFonts w:cs="Arial"/>
          <w:szCs w:val="24"/>
        </w:rPr>
        <w:t xml:space="preserve">.  Through a combination of the residential non-heating customer charge and </w:t>
      </w:r>
      <w:r>
        <w:rPr>
          <w:rFonts w:cs="Arial"/>
          <w:szCs w:val="24"/>
        </w:rPr>
        <w:t>the volumetric distribution delivery charge</w:t>
      </w:r>
      <w:r w:rsidRPr="00387975">
        <w:rPr>
          <w:rFonts w:cs="Arial"/>
          <w:szCs w:val="24"/>
        </w:rPr>
        <w:t xml:space="preserve">, </w:t>
      </w:r>
      <w:r w:rsidR="00E97B03">
        <w:rPr>
          <w:rFonts w:cs="Arial"/>
          <w:szCs w:val="24"/>
        </w:rPr>
        <w:t xml:space="preserve">each </w:t>
      </w:r>
      <w:r w:rsidRPr="00387975">
        <w:rPr>
          <w:rFonts w:cs="Arial"/>
          <w:szCs w:val="24"/>
        </w:rPr>
        <w:t xml:space="preserve">EDC will be allowed to recover </w:t>
      </w:r>
      <w:r>
        <w:rPr>
          <w:rFonts w:cs="Arial"/>
          <w:szCs w:val="24"/>
        </w:rPr>
        <w:t>the revenue requirement for the affected classes</w:t>
      </w:r>
      <w:r w:rsidRPr="00387975">
        <w:rPr>
          <w:rFonts w:cs="Arial"/>
          <w:szCs w:val="24"/>
        </w:rPr>
        <w:t xml:space="preserve">.  As there is regulatory certainty that these costs will be recovered through rates, the </w:t>
      </w:r>
      <w:r w:rsidR="00B91328">
        <w:rPr>
          <w:rFonts w:cs="Arial"/>
          <w:szCs w:val="24"/>
        </w:rPr>
        <w:t>Companies</w:t>
      </w:r>
      <w:r w:rsidRPr="00387975">
        <w:rPr>
          <w:rFonts w:cs="Arial"/>
          <w:szCs w:val="24"/>
        </w:rPr>
        <w:t xml:space="preserve"> should be indifferent as to whether its revenues are collected through residential non-heating customer charges, energy-use-based charges, a decoupling mechanism, or a combination of these or other charges.  </w:t>
      </w:r>
      <w:r>
        <w:rPr>
          <w:rFonts w:cs="Arial"/>
          <w:szCs w:val="24"/>
        </w:rPr>
        <w:t>If that is not the case</w:t>
      </w:r>
      <w:r w:rsidRPr="00387975">
        <w:rPr>
          <w:rFonts w:cs="Arial"/>
          <w:szCs w:val="24"/>
        </w:rPr>
        <w:t>, the burden will be on the EDC to prove that it is financially harmful to the EDC or detrimental to ratepayers if some of the</w:t>
      </w:r>
      <w:r>
        <w:rPr>
          <w:rFonts w:cs="Arial"/>
          <w:szCs w:val="24"/>
        </w:rPr>
        <w:t xml:space="preserve"> </w:t>
      </w:r>
      <w:r w:rsidR="00E97B03">
        <w:rPr>
          <w:rFonts w:cs="Arial"/>
          <w:szCs w:val="24"/>
        </w:rPr>
        <w:t xml:space="preserve">costs </w:t>
      </w:r>
      <w:r w:rsidR="00D22320">
        <w:t xml:space="preserve">otherwise includable in the MRCC calculation </w:t>
      </w:r>
      <w:r w:rsidRPr="00387975">
        <w:rPr>
          <w:rFonts w:cs="Arial"/>
          <w:szCs w:val="24"/>
        </w:rPr>
        <w:t xml:space="preserve">are collected through a charge other than </w:t>
      </w:r>
      <w:r>
        <w:rPr>
          <w:rFonts w:cs="Arial"/>
          <w:szCs w:val="24"/>
        </w:rPr>
        <w:t>the</w:t>
      </w:r>
      <w:r w:rsidRPr="00387975">
        <w:rPr>
          <w:rFonts w:cs="Arial"/>
          <w:szCs w:val="24"/>
        </w:rPr>
        <w:t xml:space="preserve"> residential non-heating customer charge.</w:t>
      </w:r>
    </w:p>
    <w:p w14:paraId="660F1E0F" w14:textId="77777777" w:rsidR="005756F3" w:rsidRPr="00845A78" w:rsidRDefault="005756F3" w:rsidP="000844FD">
      <w:pPr>
        <w:ind w:firstLine="720"/>
        <w:jc w:val="both"/>
        <w:rPr>
          <w:rFonts w:cs="Arial"/>
          <w:szCs w:val="24"/>
        </w:rPr>
      </w:pPr>
    </w:p>
    <w:p w14:paraId="6D0111B8" w14:textId="68BC9B0E" w:rsidR="001A4E0D" w:rsidRDefault="001A4E0D" w:rsidP="007E4DE4">
      <w:pPr>
        <w:pStyle w:val="Heading1"/>
        <w:numPr>
          <w:ilvl w:val="0"/>
          <w:numId w:val="4"/>
        </w:numPr>
        <w:tabs>
          <w:tab w:val="clear" w:pos="360"/>
        </w:tabs>
        <w:jc w:val="both"/>
      </w:pPr>
      <w:bookmarkStart w:id="21" w:name="_Toc501528252"/>
      <w:r w:rsidRPr="00AF526D">
        <w:t>AUTHORITY</w:t>
      </w:r>
      <w:r w:rsidR="00A13DD3">
        <w:t xml:space="preserve"> </w:t>
      </w:r>
      <w:r w:rsidR="00514B72">
        <w:t xml:space="preserve">MRCC </w:t>
      </w:r>
      <w:r w:rsidR="00A13DD3">
        <w:t xml:space="preserve">DEFINITION AND </w:t>
      </w:r>
      <w:r w:rsidR="00514B72">
        <w:t>methodology</w:t>
      </w:r>
      <w:bookmarkEnd w:id="21"/>
    </w:p>
    <w:p w14:paraId="5D11ABBD" w14:textId="77777777" w:rsidR="001A4E0D" w:rsidRDefault="001A4E0D" w:rsidP="003E1168">
      <w:pPr>
        <w:jc w:val="both"/>
      </w:pPr>
    </w:p>
    <w:p w14:paraId="09F66115" w14:textId="53C04973" w:rsidR="00F15839" w:rsidRDefault="00FA530C" w:rsidP="003E1168">
      <w:pPr>
        <w:ind w:firstLine="720"/>
        <w:jc w:val="both"/>
        <w:rPr>
          <w:rFonts w:cs="Arial"/>
          <w:color w:val="000000"/>
        </w:rPr>
      </w:pPr>
      <w:r>
        <w:rPr>
          <w:rFonts w:cs="Arial"/>
          <w:color w:val="000000"/>
        </w:rPr>
        <w:t xml:space="preserve">The Authority requested </w:t>
      </w:r>
      <w:r w:rsidR="00123427">
        <w:rPr>
          <w:rFonts w:cs="Arial"/>
          <w:color w:val="000000"/>
        </w:rPr>
        <w:t xml:space="preserve">written </w:t>
      </w:r>
      <w:r w:rsidR="007218B9">
        <w:rPr>
          <w:rFonts w:cs="Arial"/>
          <w:color w:val="000000"/>
        </w:rPr>
        <w:t xml:space="preserve">comments </w:t>
      </w:r>
      <w:r w:rsidR="00123427">
        <w:rPr>
          <w:rFonts w:cs="Arial"/>
          <w:color w:val="000000"/>
        </w:rPr>
        <w:t xml:space="preserve">addressing </w:t>
      </w:r>
      <w:r>
        <w:rPr>
          <w:rFonts w:cs="Arial"/>
          <w:color w:val="000000"/>
        </w:rPr>
        <w:t xml:space="preserve">the definition of directly related costs </w:t>
      </w:r>
      <w:r w:rsidR="0038106A">
        <w:rPr>
          <w:rFonts w:cs="Arial"/>
          <w:color w:val="000000"/>
        </w:rPr>
        <w:t xml:space="preserve">includable in </w:t>
      </w:r>
      <w:r>
        <w:rPr>
          <w:rFonts w:cs="Arial"/>
          <w:color w:val="000000"/>
        </w:rPr>
        <w:t>the statutory functions</w:t>
      </w:r>
      <w:r>
        <w:t xml:space="preserve"> </w:t>
      </w:r>
      <w:r w:rsidR="00E32099">
        <w:t xml:space="preserve">to meet </w:t>
      </w:r>
      <w:r w:rsidR="00DE1101">
        <w:t>the</w:t>
      </w:r>
      <w:r w:rsidR="00E32099">
        <w:t xml:space="preserve"> requirements </w:t>
      </w:r>
      <w:r w:rsidR="00DE1101">
        <w:t>of</w:t>
      </w:r>
      <w:r w:rsidR="00E32099">
        <w:t xml:space="preserve"> </w:t>
      </w:r>
      <w:r w:rsidR="00E32099" w:rsidRPr="0086089B">
        <w:rPr>
          <w:rFonts w:cs="Arial"/>
        </w:rPr>
        <w:t>Conn. Gen. Stat.</w:t>
      </w:r>
      <w:r w:rsidR="00E32099">
        <w:rPr>
          <w:rFonts w:cs="Arial"/>
        </w:rPr>
        <w:t xml:space="preserve"> §</w:t>
      </w:r>
      <w:r w:rsidR="00E32099" w:rsidRPr="0086089B">
        <w:rPr>
          <w:rFonts w:cs="Arial"/>
          <w:bCs/>
          <w:iCs/>
        </w:rPr>
        <w:t>16</w:t>
      </w:r>
      <w:r w:rsidR="00E32099" w:rsidRPr="0086089B">
        <w:rPr>
          <w:rFonts w:cs="Arial"/>
          <w:bCs/>
          <w:iCs/>
        </w:rPr>
        <w:noBreakHyphen/>
        <w:t>243bb</w:t>
      </w:r>
      <w:r>
        <w:rPr>
          <w:rFonts w:cs="Arial"/>
          <w:bCs/>
          <w:iCs/>
        </w:rPr>
        <w:t xml:space="preserve">.  </w:t>
      </w:r>
      <w:r w:rsidR="00224DD2">
        <w:t xml:space="preserve">The Authority examined the </w:t>
      </w:r>
      <w:r w:rsidR="00224DD2">
        <w:rPr>
          <w:rFonts w:cs="Arial"/>
          <w:bCs/>
          <w:iCs/>
        </w:rPr>
        <w:t xml:space="preserve">extensive evidence and legal interpretations presented in the instant case by the parties.  </w:t>
      </w:r>
      <w:r>
        <w:rPr>
          <w:rFonts w:cs="Arial"/>
          <w:bCs/>
          <w:iCs/>
        </w:rPr>
        <w:t xml:space="preserve">Based on </w:t>
      </w:r>
      <w:r w:rsidR="007218B9">
        <w:rPr>
          <w:rFonts w:cs="Arial"/>
          <w:bCs/>
          <w:iCs/>
        </w:rPr>
        <w:t xml:space="preserve">its review, the Authority </w:t>
      </w:r>
      <w:r w:rsidR="00A13DD3">
        <w:rPr>
          <w:rFonts w:cs="Arial"/>
          <w:bCs/>
          <w:iCs/>
        </w:rPr>
        <w:t xml:space="preserve">describes below the criteria and methodology to be utilized </w:t>
      </w:r>
      <w:r w:rsidR="0038106A">
        <w:rPr>
          <w:rFonts w:cs="Arial"/>
          <w:bCs/>
          <w:iCs/>
        </w:rPr>
        <w:t xml:space="preserve">in the MRCC calculation </w:t>
      </w:r>
      <w:r w:rsidR="00A13DD3">
        <w:rPr>
          <w:rFonts w:cs="Arial"/>
          <w:bCs/>
          <w:iCs/>
        </w:rPr>
        <w:t xml:space="preserve">to ensure that </w:t>
      </w:r>
      <w:r w:rsidR="00845A78">
        <w:rPr>
          <w:rFonts w:cs="Arial"/>
          <w:bCs/>
          <w:iCs/>
        </w:rPr>
        <w:t xml:space="preserve">the </w:t>
      </w:r>
      <w:r w:rsidR="00A13DD3">
        <w:rPr>
          <w:rFonts w:cs="Arial"/>
          <w:color w:val="000000"/>
        </w:rPr>
        <w:t>EDCs’ residential non-heating customer charges</w:t>
      </w:r>
      <w:r w:rsidR="005F7D89">
        <w:rPr>
          <w:rFonts w:cs="Arial"/>
          <w:color w:val="000000"/>
        </w:rPr>
        <w:t xml:space="preserve"> include only those fixed costs and O&amp;M expenses that are directly related to the four statutory functions</w:t>
      </w:r>
      <w:r w:rsidR="006E6E1F">
        <w:rPr>
          <w:rFonts w:cs="Arial"/>
          <w:color w:val="000000"/>
        </w:rPr>
        <w:t>, such that they</w:t>
      </w:r>
      <w:r w:rsidR="00A13DD3">
        <w:rPr>
          <w:rFonts w:cs="Arial"/>
          <w:color w:val="000000"/>
        </w:rPr>
        <w:t xml:space="preserve"> do not exceed the MRCC</w:t>
      </w:r>
      <w:r w:rsidR="00C90CA3">
        <w:rPr>
          <w:rFonts w:cs="Arial"/>
          <w:color w:val="000000"/>
        </w:rPr>
        <w:t xml:space="preserve"> calculation</w:t>
      </w:r>
      <w:r w:rsidR="00ED445E">
        <w:rPr>
          <w:rFonts w:cs="Arial"/>
          <w:color w:val="000000"/>
        </w:rPr>
        <w:t>.</w:t>
      </w:r>
      <w:r w:rsidR="00F15839">
        <w:rPr>
          <w:rFonts w:cs="Arial"/>
          <w:color w:val="000000"/>
        </w:rPr>
        <w:t xml:space="preserve">  The </w:t>
      </w:r>
      <w:r w:rsidR="0038106A">
        <w:rPr>
          <w:rFonts w:cs="Arial"/>
          <w:color w:val="000000"/>
        </w:rPr>
        <w:t xml:space="preserve">MRCC </w:t>
      </w:r>
      <w:r w:rsidR="00F15839">
        <w:rPr>
          <w:rFonts w:cs="Arial"/>
          <w:color w:val="000000"/>
        </w:rPr>
        <w:t xml:space="preserve">calculation will be used </w:t>
      </w:r>
      <w:r w:rsidR="0005033F">
        <w:rPr>
          <w:rFonts w:cs="Arial"/>
          <w:color w:val="000000"/>
        </w:rPr>
        <w:t xml:space="preserve">by the </w:t>
      </w:r>
      <w:r w:rsidR="00B91328">
        <w:rPr>
          <w:rFonts w:cs="Arial"/>
          <w:color w:val="000000"/>
        </w:rPr>
        <w:t>Companies</w:t>
      </w:r>
      <w:r w:rsidR="0005033F">
        <w:rPr>
          <w:rFonts w:cs="Arial"/>
          <w:color w:val="000000"/>
        </w:rPr>
        <w:t xml:space="preserve"> </w:t>
      </w:r>
      <w:r w:rsidR="00F15839">
        <w:rPr>
          <w:rFonts w:cs="Arial"/>
          <w:color w:val="000000"/>
        </w:rPr>
        <w:t xml:space="preserve">to develop the </w:t>
      </w:r>
      <w:r w:rsidR="006F7877">
        <w:rPr>
          <w:rFonts w:cs="Arial"/>
          <w:color w:val="000000"/>
        </w:rPr>
        <w:t xml:space="preserve">non-heating </w:t>
      </w:r>
      <w:r w:rsidR="00F15839">
        <w:rPr>
          <w:rFonts w:cs="Arial"/>
          <w:color w:val="000000"/>
        </w:rPr>
        <w:t>customer charges for</w:t>
      </w:r>
      <w:r w:rsidR="0005033F">
        <w:t xml:space="preserve"> CL&amp;P </w:t>
      </w:r>
      <w:r w:rsidR="00F15839">
        <w:t>Residential Electric Service (Rate 1) and Residential Time-</w:t>
      </w:r>
      <w:r w:rsidR="0038106A">
        <w:t>o</w:t>
      </w:r>
      <w:r w:rsidR="00F15839">
        <w:t>f-Day Electric Service (Rate 7) customers</w:t>
      </w:r>
      <w:r w:rsidR="00A13DD3">
        <w:t xml:space="preserve">, and </w:t>
      </w:r>
      <w:r w:rsidR="00F15839">
        <w:t>UI</w:t>
      </w:r>
      <w:r w:rsidR="0005033F">
        <w:t xml:space="preserve"> </w:t>
      </w:r>
      <w:r w:rsidR="00F15839">
        <w:t>Residential Rate R and Residential Rate RT customers.</w:t>
      </w:r>
      <w:r w:rsidR="00A63677">
        <w:t xml:space="preserve">  </w:t>
      </w:r>
    </w:p>
    <w:p w14:paraId="4BF719ED" w14:textId="77777777" w:rsidR="00B83309" w:rsidRPr="00543B58" w:rsidRDefault="00B83309" w:rsidP="003E1168">
      <w:pPr>
        <w:jc w:val="both"/>
      </w:pPr>
    </w:p>
    <w:p w14:paraId="61AA74E2" w14:textId="6F1EF0EB" w:rsidR="004E2171" w:rsidRDefault="006E6E1F" w:rsidP="005D3D6B">
      <w:pPr>
        <w:pStyle w:val="Heading2"/>
        <w:jc w:val="both"/>
      </w:pPr>
      <w:bookmarkStart w:id="22" w:name="_Toc501528253"/>
      <w:r>
        <w:t xml:space="preserve">Costs Directly Related to the </w:t>
      </w:r>
      <w:r w:rsidR="004E2171">
        <w:t>Statutory Functions</w:t>
      </w:r>
      <w:bookmarkEnd w:id="22"/>
    </w:p>
    <w:p w14:paraId="6352EF7F" w14:textId="77777777" w:rsidR="0045798A" w:rsidRDefault="0045798A" w:rsidP="003E1168">
      <w:pPr>
        <w:jc w:val="both"/>
      </w:pPr>
    </w:p>
    <w:p w14:paraId="7FBABC77" w14:textId="3F0EF5E1" w:rsidR="0045798A" w:rsidRDefault="00AD58FC" w:rsidP="003E1168">
      <w:pPr>
        <w:ind w:firstLine="720"/>
        <w:jc w:val="both"/>
      </w:pPr>
      <w:r>
        <w:t>As a first step towards establishing the MRCC criteria and methodology in this section, the Authority defines the</w:t>
      </w:r>
      <w:r w:rsidR="006E6E1F">
        <w:t xml:space="preserve"> costs that are directly related to the</w:t>
      </w:r>
      <w:r>
        <w:t xml:space="preserve"> four functions specified in </w:t>
      </w:r>
      <w:r w:rsidRPr="0086089B">
        <w:rPr>
          <w:rFonts w:cs="Arial"/>
        </w:rPr>
        <w:t>Conn. Gen. Stat.</w:t>
      </w:r>
      <w:r>
        <w:rPr>
          <w:rFonts w:cs="Arial"/>
        </w:rPr>
        <w:t xml:space="preserve"> §</w:t>
      </w:r>
      <w:r w:rsidRPr="0086089B">
        <w:rPr>
          <w:rFonts w:cs="Arial"/>
          <w:bCs/>
          <w:iCs/>
        </w:rPr>
        <w:t>16</w:t>
      </w:r>
      <w:r w:rsidRPr="0086089B">
        <w:rPr>
          <w:rFonts w:cs="Arial"/>
          <w:bCs/>
          <w:iCs/>
        </w:rPr>
        <w:noBreakHyphen/>
        <w:t>243bb</w:t>
      </w:r>
      <w:r>
        <w:rPr>
          <w:rFonts w:cs="Arial"/>
          <w:bCs/>
          <w:iCs/>
        </w:rPr>
        <w:t>: billing, metering, provision of customer service</w:t>
      </w:r>
      <w:r w:rsidR="002C65FD">
        <w:rPr>
          <w:rFonts w:cs="Arial"/>
          <w:bCs/>
          <w:iCs/>
        </w:rPr>
        <w:t>, and service connection</w:t>
      </w:r>
      <w:r>
        <w:rPr>
          <w:rFonts w:cs="Arial"/>
          <w:bCs/>
          <w:iCs/>
        </w:rPr>
        <w:t>.</w:t>
      </w:r>
      <w:r>
        <w:t xml:space="preserve"> </w:t>
      </w:r>
      <w:r w:rsidR="006E6E1F">
        <w:t xml:space="preserve"> Such costs are referred to as includable throughout the discussion, meaning that they may be included in the MRCC </w:t>
      </w:r>
      <w:r w:rsidR="00E97B03">
        <w:t xml:space="preserve">calculation </w:t>
      </w:r>
      <w:r w:rsidR="006E6E1F">
        <w:t xml:space="preserve">without </w:t>
      </w:r>
      <w:r w:rsidR="006E6E1F">
        <w:lastRenderedPageBreak/>
        <w:t xml:space="preserve">violating the limitations of </w:t>
      </w:r>
      <w:r w:rsidR="00555B92" w:rsidRPr="0086089B">
        <w:rPr>
          <w:rFonts w:cs="Arial"/>
        </w:rPr>
        <w:t>Conn. Gen. Stat.</w:t>
      </w:r>
      <w:r w:rsidR="00555B92">
        <w:rPr>
          <w:rFonts w:cs="Arial"/>
        </w:rPr>
        <w:t xml:space="preserve"> §</w:t>
      </w:r>
      <w:r w:rsidR="006E6E1F">
        <w:t>16-243bb.</w:t>
      </w:r>
      <w:r>
        <w:t xml:space="preserve"> </w:t>
      </w:r>
      <w:r w:rsidR="006E6E1F">
        <w:t xml:space="preserve"> </w:t>
      </w:r>
      <w:r w:rsidR="00B33FB9">
        <w:t>The Authority summarize</w:t>
      </w:r>
      <w:r w:rsidR="00123427">
        <w:t>s</w:t>
      </w:r>
      <w:r w:rsidR="00B33FB9">
        <w:t xml:space="preserve"> the parties’ positions </w:t>
      </w:r>
      <w:r w:rsidR="006E6E1F">
        <w:t xml:space="preserve">with respect to each of </w:t>
      </w:r>
      <w:r w:rsidR="00B33FB9">
        <w:t>the statutory functions</w:t>
      </w:r>
      <w:r w:rsidR="006E6E1F">
        <w:t xml:space="preserve"> in the sub-sections</w:t>
      </w:r>
      <w:r w:rsidR="00B33FB9">
        <w:t xml:space="preserve"> below.  </w:t>
      </w:r>
      <w:r w:rsidR="00990F33">
        <w:t>T</w:t>
      </w:r>
      <w:r w:rsidR="0045798A" w:rsidRPr="003E2157">
        <w:t xml:space="preserve">he OCC addressed includable and excludable costs </w:t>
      </w:r>
      <w:r w:rsidR="0045798A">
        <w:t xml:space="preserve">for the </w:t>
      </w:r>
      <w:r w:rsidR="0039241C">
        <w:t xml:space="preserve">statutory </w:t>
      </w:r>
      <w:r w:rsidR="0045798A">
        <w:t>function</w:t>
      </w:r>
      <w:r w:rsidR="0039241C">
        <w:t>s</w:t>
      </w:r>
      <w:r w:rsidR="0045798A">
        <w:t xml:space="preserve"> </w:t>
      </w:r>
      <w:r w:rsidR="006E6E1F">
        <w:t>by reference to</w:t>
      </w:r>
      <w:r w:rsidR="006E6E1F" w:rsidRPr="003E2157">
        <w:t xml:space="preserve"> </w:t>
      </w:r>
      <w:r w:rsidR="00555B92">
        <w:t>the</w:t>
      </w:r>
      <w:r w:rsidR="0045798A" w:rsidRPr="003E2157">
        <w:t xml:space="preserve"> F</w:t>
      </w:r>
      <w:r w:rsidR="0045798A">
        <w:t xml:space="preserve">ederal </w:t>
      </w:r>
      <w:r w:rsidR="0045798A" w:rsidRPr="003E2157">
        <w:t>E</w:t>
      </w:r>
      <w:r w:rsidR="0045798A">
        <w:t xml:space="preserve">nergy </w:t>
      </w:r>
      <w:r w:rsidR="0045798A" w:rsidRPr="003E2157">
        <w:t>R</w:t>
      </w:r>
      <w:r w:rsidR="0045798A">
        <w:t xml:space="preserve">egulatory </w:t>
      </w:r>
      <w:r w:rsidR="0045798A" w:rsidRPr="003E2157">
        <w:t>C</w:t>
      </w:r>
      <w:r w:rsidR="0045798A">
        <w:t xml:space="preserve">ommission </w:t>
      </w:r>
      <w:r w:rsidR="006D5500">
        <w:t xml:space="preserve">(FERC) Uniform System of Accounts </w:t>
      </w:r>
      <w:r w:rsidR="0045798A">
        <w:t>(</w:t>
      </w:r>
      <w:r w:rsidR="006D5500">
        <w:t>USOA: together, FERC Accounts</w:t>
      </w:r>
      <w:r w:rsidR="00555B92">
        <w:t>)</w:t>
      </w:r>
      <w:r w:rsidR="0045798A" w:rsidRPr="003E2157">
        <w:t>.  Rubin PFT, p. 4</w:t>
      </w:r>
      <w:r w:rsidR="0045798A">
        <w:t>.</w:t>
      </w:r>
      <w:r w:rsidR="00DF7B17">
        <w:t xml:space="preserve">  </w:t>
      </w:r>
      <w:r w:rsidR="00555B92">
        <w:t xml:space="preserve">The above comment </w:t>
      </w:r>
      <w:r w:rsidR="00DF7B17">
        <w:t>was a general statement from the OCC</w:t>
      </w:r>
      <w:r w:rsidR="00555B92">
        <w:t xml:space="preserve"> and </w:t>
      </w:r>
      <w:r w:rsidR="00DF7B17">
        <w:t xml:space="preserve">the Authority did not include </w:t>
      </w:r>
      <w:r w:rsidR="004C05AE">
        <w:t xml:space="preserve">it </w:t>
      </w:r>
      <w:r w:rsidR="00DF7B17">
        <w:t>in each statutory function section</w:t>
      </w:r>
      <w:r w:rsidR="00E954AF">
        <w:t xml:space="preserve"> in the instant Decision</w:t>
      </w:r>
      <w:r w:rsidR="00DF7B17">
        <w:t>.</w:t>
      </w:r>
      <w:r w:rsidR="000E114C" w:rsidRPr="000E114C">
        <w:rPr>
          <w:rFonts w:cs="Arial"/>
          <w:szCs w:val="24"/>
        </w:rPr>
        <w:t xml:space="preserve"> </w:t>
      </w:r>
      <w:r w:rsidR="000E114C">
        <w:rPr>
          <w:rFonts w:cs="Arial"/>
          <w:szCs w:val="24"/>
        </w:rPr>
        <w:t xml:space="preserve"> </w:t>
      </w:r>
      <w:r w:rsidR="000E114C" w:rsidRPr="0005033F">
        <w:rPr>
          <w:rFonts w:cs="Arial"/>
          <w:szCs w:val="24"/>
        </w:rPr>
        <w:t xml:space="preserve">The Authority notes that </w:t>
      </w:r>
      <w:r w:rsidR="00555B92">
        <w:rPr>
          <w:rFonts w:cs="Arial"/>
          <w:szCs w:val="24"/>
        </w:rPr>
        <w:t xml:space="preserve">a detailed discussion of the </w:t>
      </w:r>
      <w:r w:rsidR="006D5500">
        <w:rPr>
          <w:rFonts w:cs="Arial"/>
          <w:szCs w:val="24"/>
        </w:rPr>
        <w:t>FERC Account</w:t>
      </w:r>
      <w:r w:rsidR="00555B92">
        <w:rPr>
          <w:rFonts w:cs="Arial"/>
          <w:szCs w:val="24"/>
        </w:rPr>
        <w:t>s are included in Section III.</w:t>
      </w:r>
      <w:r w:rsidR="005A507C">
        <w:rPr>
          <w:rFonts w:cs="Arial"/>
          <w:szCs w:val="24"/>
        </w:rPr>
        <w:t>C</w:t>
      </w:r>
      <w:r w:rsidR="00555B92">
        <w:rPr>
          <w:rFonts w:cs="Arial"/>
          <w:szCs w:val="24"/>
        </w:rPr>
        <w:t xml:space="preserve">. </w:t>
      </w:r>
      <w:r w:rsidR="00555B92" w:rsidRPr="00555B92">
        <w:rPr>
          <w:rFonts w:cs="Arial"/>
          <w:szCs w:val="24"/>
          <w:u w:val="single"/>
        </w:rPr>
        <w:t>FERC Accounts</w:t>
      </w:r>
      <w:r w:rsidR="00555B92">
        <w:rPr>
          <w:rFonts w:cs="Arial"/>
          <w:szCs w:val="24"/>
        </w:rPr>
        <w:t>.</w:t>
      </w:r>
    </w:p>
    <w:p w14:paraId="39DD1F8F" w14:textId="77777777" w:rsidR="004E2171" w:rsidRDefault="004E2171" w:rsidP="003E1168">
      <w:pPr>
        <w:jc w:val="both"/>
        <w:rPr>
          <w:rFonts w:cs="Arial"/>
          <w:szCs w:val="24"/>
        </w:rPr>
      </w:pPr>
    </w:p>
    <w:p w14:paraId="73109460" w14:textId="6848775C" w:rsidR="004E2171" w:rsidRDefault="004E2171" w:rsidP="00E1092F">
      <w:pPr>
        <w:pStyle w:val="Heading3"/>
        <w:ind w:hanging="720"/>
        <w:jc w:val="both"/>
      </w:pPr>
      <w:bookmarkStart w:id="23" w:name="_Toc501528254"/>
      <w:r w:rsidRPr="003A1298">
        <w:t>Billing</w:t>
      </w:r>
      <w:bookmarkEnd w:id="23"/>
    </w:p>
    <w:p w14:paraId="5E192880" w14:textId="77777777" w:rsidR="00AD16D7" w:rsidRPr="00AD16D7" w:rsidRDefault="00AD16D7" w:rsidP="003E1168">
      <w:pPr>
        <w:jc w:val="both"/>
      </w:pPr>
    </w:p>
    <w:p w14:paraId="063399A2" w14:textId="432FF3BD" w:rsidR="00AD16D7" w:rsidRDefault="00AD16D7" w:rsidP="00AB699C">
      <w:pPr>
        <w:pStyle w:val="Heading4"/>
        <w:ind w:hanging="720"/>
        <w:jc w:val="both"/>
      </w:pPr>
      <w:bookmarkStart w:id="24" w:name="_Toc501528255"/>
      <w:r>
        <w:t>Position</w:t>
      </w:r>
      <w:r w:rsidR="00B33FB9">
        <w:t>s</w:t>
      </w:r>
      <w:r>
        <w:t xml:space="preserve"> of the Parties</w:t>
      </w:r>
      <w:bookmarkEnd w:id="24"/>
    </w:p>
    <w:p w14:paraId="04999B3F" w14:textId="77777777" w:rsidR="000B38E9" w:rsidRDefault="000B38E9" w:rsidP="003E1168">
      <w:pPr>
        <w:ind w:firstLine="720"/>
        <w:jc w:val="both"/>
      </w:pPr>
    </w:p>
    <w:p w14:paraId="6F831B1B" w14:textId="7F178B16" w:rsidR="00827D53" w:rsidRDefault="00827D53" w:rsidP="00827D53">
      <w:pPr>
        <w:ind w:firstLine="720"/>
        <w:jc w:val="both"/>
      </w:pPr>
      <w:r>
        <w:t xml:space="preserve">UI indicated that its billing is performed using a combination of internal and external resources to calculate, print and distribute customer invoices.  After an invoice is ready to be printed, an electronic bill file is transmitted to the company’s bill printing and mailing contractor.  The contractor prints and distributes the invoices to customers electronically or via the United States Postal Service.  The company receives the customers’ invoice payment through the bill remittance process performed by the contractor.  Written Comments, pp. 17 and 18.  UI defined the scope of includable costs and expenses for its billing function </w:t>
      </w:r>
      <w:r w:rsidRPr="00A05C45">
        <w:t xml:space="preserve">to </w:t>
      </w:r>
      <w:r>
        <w:t>encompass</w:t>
      </w:r>
      <w:r w:rsidRPr="00A05C45">
        <w:t xml:space="preserve"> the computer hardware, software, support equipment, outside servic</w:t>
      </w:r>
      <w:r>
        <w:t>es, and labor required to invoice</w:t>
      </w:r>
      <w:r w:rsidRPr="00A05C45">
        <w:t xml:space="preserve"> and collect payment from its customers.</w:t>
      </w:r>
      <w:r>
        <w:t xml:space="preserve">  Colca PFT, </w:t>
      </w:r>
      <w:r w:rsidR="000B7630">
        <w:t>p</w:t>
      </w:r>
      <w:r>
        <w:t>p. 7</w:t>
      </w:r>
      <w:r w:rsidR="000B7630">
        <w:t xml:space="preserve"> and 9</w:t>
      </w:r>
      <w:r>
        <w:t>.</w:t>
      </w:r>
    </w:p>
    <w:p w14:paraId="13B3CE47" w14:textId="77777777" w:rsidR="00827D53" w:rsidRDefault="00827D53" w:rsidP="00827D53">
      <w:pPr>
        <w:ind w:firstLine="720"/>
        <w:jc w:val="both"/>
      </w:pPr>
    </w:p>
    <w:p w14:paraId="73FD29D2" w14:textId="3BFB8730" w:rsidR="00827D53" w:rsidRDefault="00827D53" w:rsidP="00827D53">
      <w:pPr>
        <w:ind w:firstLine="720"/>
        <w:jc w:val="both"/>
      </w:pPr>
      <w:r>
        <w:t xml:space="preserve">CL&amp;P defined the scope of includable costs and expenses for its billing function to encompass the types of business activities that are the fundamental inputs and outputs of its billing system.  CL&amp;P’s description of these business activities covered the billing system, which is included in the miscellaneous intangible plant FERC account, and any computer support needed for the system.  CL&amp;P also identified </w:t>
      </w:r>
      <w:r w:rsidR="00E97B03">
        <w:t xml:space="preserve">as includable </w:t>
      </w:r>
      <w:r>
        <w:t xml:space="preserve">the tasks that involve </w:t>
      </w:r>
      <w:r w:rsidRPr="00A05C45">
        <w:rPr>
          <w:rFonts w:cs="Arial"/>
          <w:color w:val="000000"/>
          <w:szCs w:val="24"/>
        </w:rPr>
        <w:t>usage and dollar exception processing</w:t>
      </w:r>
      <w:r>
        <w:rPr>
          <w:rFonts w:cs="Arial"/>
          <w:color w:val="000000"/>
          <w:szCs w:val="24"/>
        </w:rPr>
        <w:t>, m</w:t>
      </w:r>
      <w:r w:rsidRPr="00A05C45">
        <w:rPr>
          <w:rFonts w:cs="Arial"/>
          <w:color w:val="000000"/>
          <w:szCs w:val="24"/>
        </w:rPr>
        <w:t xml:space="preserve">ixed meter/mix customer investigations, billing adjustments/credit refunds, meter order creation and closing.  </w:t>
      </w:r>
      <w:r>
        <w:rPr>
          <w:rFonts w:cs="Arial"/>
          <w:color w:val="000000"/>
          <w:szCs w:val="24"/>
        </w:rPr>
        <w:t xml:space="preserve">Other tasks CL&amp;P proposed to include in the MRCC involve meter </w:t>
      </w:r>
      <w:r w:rsidRPr="00A05C45">
        <w:rPr>
          <w:rFonts w:cs="Arial"/>
          <w:color w:val="000000"/>
          <w:szCs w:val="24"/>
        </w:rPr>
        <w:t>change/removals, investigating no consumption, non-exclusive use,</w:t>
      </w:r>
      <w:r>
        <w:rPr>
          <w:rFonts w:cs="Arial"/>
          <w:color w:val="000000"/>
          <w:szCs w:val="24"/>
        </w:rPr>
        <w:t xml:space="preserve"> unidentified use and residential </w:t>
      </w:r>
      <w:r w:rsidRPr="00A05C45">
        <w:rPr>
          <w:rFonts w:cs="Arial"/>
          <w:color w:val="000000"/>
          <w:szCs w:val="24"/>
        </w:rPr>
        <w:t xml:space="preserve">streetlight installs, changes, </w:t>
      </w:r>
      <w:r>
        <w:rPr>
          <w:rFonts w:cs="Arial"/>
          <w:color w:val="000000"/>
          <w:szCs w:val="24"/>
        </w:rPr>
        <w:t xml:space="preserve">and </w:t>
      </w:r>
      <w:r w:rsidRPr="00A05C45">
        <w:rPr>
          <w:rFonts w:cs="Arial"/>
          <w:color w:val="000000"/>
          <w:szCs w:val="24"/>
        </w:rPr>
        <w:t xml:space="preserve">removals.  </w:t>
      </w:r>
      <w:r>
        <w:rPr>
          <w:rFonts w:cs="Arial"/>
          <w:color w:val="000000"/>
          <w:szCs w:val="24"/>
        </w:rPr>
        <w:t>Written Comments, Q</w:t>
      </w:r>
      <w:r>
        <w:rPr>
          <w:rFonts w:cs="Arial"/>
          <w:color w:val="000000"/>
          <w:szCs w:val="24"/>
        </w:rPr>
        <w:noBreakHyphen/>
      </w:r>
      <w:r>
        <w:t>5, Attachment 1.</w:t>
      </w:r>
    </w:p>
    <w:p w14:paraId="523A47B0" w14:textId="77777777" w:rsidR="00827D53" w:rsidRDefault="00827D53" w:rsidP="00827D53">
      <w:pPr>
        <w:ind w:firstLine="720"/>
        <w:jc w:val="both"/>
      </w:pPr>
    </w:p>
    <w:p w14:paraId="20DD0215" w14:textId="77777777" w:rsidR="00827D53" w:rsidRDefault="00827D53" w:rsidP="005A507C">
      <w:pPr>
        <w:pStyle w:val="Heading4"/>
        <w:ind w:hanging="720"/>
        <w:jc w:val="both"/>
      </w:pPr>
      <w:bookmarkStart w:id="25" w:name="_Toc499050470"/>
      <w:bookmarkStart w:id="26" w:name="_Toc501528256"/>
      <w:r>
        <w:t>Discussion</w:t>
      </w:r>
      <w:bookmarkEnd w:id="25"/>
      <w:bookmarkEnd w:id="26"/>
    </w:p>
    <w:p w14:paraId="59A59C9F" w14:textId="77777777" w:rsidR="00827D53" w:rsidRPr="00A33C81" w:rsidRDefault="00827D53" w:rsidP="00827D53">
      <w:pPr>
        <w:jc w:val="both"/>
      </w:pPr>
    </w:p>
    <w:p w14:paraId="4176540E" w14:textId="40CB8A7E" w:rsidR="00827D53" w:rsidRPr="00E875BB" w:rsidRDefault="00827D53" w:rsidP="00827D53">
      <w:pPr>
        <w:ind w:firstLine="720"/>
        <w:jc w:val="both"/>
      </w:pPr>
      <w:r w:rsidRPr="003B1815">
        <w:rPr>
          <w:rFonts w:cs="Arial"/>
          <w:szCs w:val="24"/>
        </w:rPr>
        <w:t>The Authority finds that</w:t>
      </w:r>
      <w:r w:rsidR="005A507C">
        <w:rPr>
          <w:rFonts w:cs="Arial"/>
          <w:szCs w:val="24"/>
        </w:rPr>
        <w:t>, for purposes of</w:t>
      </w:r>
      <w:r>
        <w:rPr>
          <w:rFonts w:cs="Arial"/>
          <w:szCs w:val="24"/>
        </w:rPr>
        <w:t xml:space="preserve"> </w:t>
      </w:r>
      <w:r w:rsidR="005A507C">
        <w:rPr>
          <w:rFonts w:cs="Arial"/>
          <w:szCs w:val="24"/>
        </w:rPr>
        <w:t>§</w:t>
      </w:r>
      <w:r>
        <w:rPr>
          <w:rFonts w:cs="Arial"/>
          <w:szCs w:val="24"/>
        </w:rPr>
        <w:t xml:space="preserve">16-243bb, the </w:t>
      </w:r>
      <w:r w:rsidRPr="003B1815">
        <w:rPr>
          <w:rFonts w:cs="Arial"/>
          <w:szCs w:val="24"/>
        </w:rPr>
        <w:t>billing function encompass</w:t>
      </w:r>
      <w:r>
        <w:rPr>
          <w:rFonts w:cs="Arial"/>
          <w:szCs w:val="24"/>
        </w:rPr>
        <w:t>es</w:t>
      </w:r>
      <w:r>
        <w:t xml:space="preserve"> </w:t>
      </w:r>
      <w:r w:rsidRPr="003B1815">
        <w:rPr>
          <w:rFonts w:cs="Arial"/>
          <w:szCs w:val="24"/>
        </w:rPr>
        <w:t>the costs of labor, materials</w:t>
      </w:r>
      <w:r>
        <w:rPr>
          <w:rFonts w:cs="Arial"/>
          <w:szCs w:val="24"/>
        </w:rPr>
        <w:t>, computer hardware</w:t>
      </w:r>
      <w:r w:rsidRPr="003B1815">
        <w:rPr>
          <w:rFonts w:cs="Arial"/>
          <w:szCs w:val="24"/>
        </w:rPr>
        <w:t xml:space="preserve"> and software </w:t>
      </w:r>
      <w:r>
        <w:rPr>
          <w:rFonts w:cs="Arial"/>
          <w:szCs w:val="24"/>
        </w:rPr>
        <w:t>that are essential to create customer invoices</w:t>
      </w:r>
      <w:r w:rsidR="00B515B0">
        <w:rPr>
          <w:rFonts w:cs="Arial"/>
          <w:szCs w:val="24"/>
        </w:rPr>
        <w:t xml:space="preserve"> and</w:t>
      </w:r>
      <w:r>
        <w:rPr>
          <w:rFonts w:cs="Arial"/>
          <w:szCs w:val="24"/>
        </w:rPr>
        <w:t xml:space="preserve"> residential customer reports, and to distribute</w:t>
      </w:r>
      <w:r w:rsidRPr="003B1815">
        <w:rPr>
          <w:rFonts w:cs="Arial"/>
          <w:szCs w:val="24"/>
        </w:rPr>
        <w:t xml:space="preserve"> and collect </w:t>
      </w:r>
      <w:r>
        <w:rPr>
          <w:rFonts w:cs="Arial"/>
          <w:szCs w:val="24"/>
        </w:rPr>
        <w:t xml:space="preserve">invoice payments </w:t>
      </w:r>
      <w:r w:rsidRPr="003B1815">
        <w:rPr>
          <w:rFonts w:cs="Arial"/>
          <w:szCs w:val="24"/>
        </w:rPr>
        <w:t>electric bills for residential</w:t>
      </w:r>
      <w:r>
        <w:rPr>
          <w:rFonts w:cs="Arial"/>
          <w:szCs w:val="24"/>
        </w:rPr>
        <w:t xml:space="preserve"> </w:t>
      </w:r>
      <w:r w:rsidRPr="003B1815">
        <w:rPr>
          <w:rFonts w:cs="Arial"/>
          <w:szCs w:val="24"/>
        </w:rPr>
        <w:t>non</w:t>
      </w:r>
      <w:r>
        <w:rPr>
          <w:rFonts w:cs="Arial"/>
          <w:szCs w:val="24"/>
        </w:rPr>
        <w:t>-</w:t>
      </w:r>
      <w:r w:rsidRPr="003B1815">
        <w:rPr>
          <w:rFonts w:cs="Arial"/>
          <w:szCs w:val="24"/>
        </w:rPr>
        <w:t xml:space="preserve">heating customers.  </w:t>
      </w:r>
      <w:r>
        <w:rPr>
          <w:rFonts w:cs="Arial"/>
          <w:szCs w:val="24"/>
        </w:rPr>
        <w:t xml:space="preserve">The Authority recognizes that each of the EDCs’ billing function is unique.  For example, UI uses a contractor to complete its billing process.  The Authority finds that the expense of using this external resource is essential to generating, distributing and collecting payments associated with billing.  Therefore, the Authority includes the external resources that are vital to perform and complete the billing process as its definition of the billing function. </w:t>
      </w:r>
      <w:r w:rsidR="00B515B0">
        <w:rPr>
          <w:rFonts w:cs="Arial"/>
          <w:szCs w:val="24"/>
        </w:rPr>
        <w:t>T</w:t>
      </w:r>
      <w:r w:rsidRPr="00E875BB">
        <w:rPr>
          <w:rFonts w:cs="Arial"/>
          <w:szCs w:val="24"/>
        </w:rPr>
        <w:t>he</w:t>
      </w:r>
      <w:r>
        <w:rPr>
          <w:rFonts w:cs="Arial"/>
          <w:szCs w:val="24"/>
        </w:rPr>
        <w:t xml:space="preserve"> Authority finds that</w:t>
      </w:r>
      <w:r w:rsidRPr="00E875BB">
        <w:rPr>
          <w:rFonts w:cs="Arial"/>
          <w:szCs w:val="24"/>
        </w:rPr>
        <w:t xml:space="preserve"> </w:t>
      </w:r>
      <w:r>
        <w:rPr>
          <w:rFonts w:cs="Arial"/>
          <w:szCs w:val="24"/>
        </w:rPr>
        <w:t xml:space="preserve">includable costs of the </w:t>
      </w:r>
      <w:r w:rsidRPr="00E875BB">
        <w:rPr>
          <w:rFonts w:cs="Arial"/>
          <w:szCs w:val="24"/>
        </w:rPr>
        <w:t xml:space="preserve">billing function </w:t>
      </w:r>
      <w:r>
        <w:rPr>
          <w:rFonts w:cs="Arial"/>
          <w:szCs w:val="24"/>
        </w:rPr>
        <w:t>do not extend to</w:t>
      </w:r>
      <w:r w:rsidRPr="00E875BB">
        <w:rPr>
          <w:rFonts w:cs="Arial"/>
          <w:szCs w:val="24"/>
        </w:rPr>
        <w:t xml:space="preserve"> the regulatory allowance for uncollectible expenses and revenue credits for late fees and returned checks</w:t>
      </w:r>
      <w:r>
        <w:rPr>
          <w:rFonts w:cs="Arial"/>
          <w:szCs w:val="24"/>
        </w:rPr>
        <w:t xml:space="preserve"> for purposes of the MRCC</w:t>
      </w:r>
      <w:r w:rsidRPr="00E875BB">
        <w:rPr>
          <w:rFonts w:cs="Arial"/>
          <w:szCs w:val="24"/>
        </w:rPr>
        <w:t xml:space="preserve">.  The Authority addresses </w:t>
      </w:r>
      <w:r w:rsidRPr="00E875BB">
        <w:rPr>
          <w:rFonts w:cs="Arial"/>
          <w:szCs w:val="24"/>
        </w:rPr>
        <w:lastRenderedPageBreak/>
        <w:t xml:space="preserve">uncollectibles at an account level in </w:t>
      </w:r>
      <w:r>
        <w:rPr>
          <w:rFonts w:cs="Arial"/>
          <w:szCs w:val="24"/>
        </w:rPr>
        <w:t xml:space="preserve">Section </w:t>
      </w:r>
      <w:r w:rsidRPr="00E875BB">
        <w:rPr>
          <w:rFonts w:cs="Arial"/>
          <w:szCs w:val="24"/>
        </w:rPr>
        <w:t>III</w:t>
      </w:r>
      <w:r>
        <w:rPr>
          <w:rFonts w:cs="Arial"/>
          <w:szCs w:val="24"/>
        </w:rPr>
        <w:t>.</w:t>
      </w:r>
      <w:r w:rsidR="005A507C">
        <w:rPr>
          <w:rFonts w:cs="Arial"/>
          <w:szCs w:val="24"/>
        </w:rPr>
        <w:t>C</w:t>
      </w:r>
      <w:r w:rsidRPr="00E875BB">
        <w:rPr>
          <w:rFonts w:cs="Arial"/>
          <w:szCs w:val="24"/>
        </w:rPr>
        <w:t>.</w:t>
      </w:r>
      <w:r w:rsidR="00F1451A">
        <w:rPr>
          <w:rFonts w:cs="Arial"/>
          <w:szCs w:val="24"/>
        </w:rPr>
        <w:t>6</w:t>
      </w:r>
      <w:r>
        <w:rPr>
          <w:rFonts w:cs="Arial"/>
          <w:szCs w:val="24"/>
        </w:rPr>
        <w:t>.</w:t>
      </w:r>
      <w:r w:rsidRPr="00E875BB">
        <w:rPr>
          <w:rFonts w:cs="Arial"/>
          <w:szCs w:val="24"/>
        </w:rPr>
        <w:t xml:space="preserve"> </w:t>
      </w:r>
      <w:r w:rsidRPr="00E875BB">
        <w:rPr>
          <w:rFonts w:cs="Arial"/>
          <w:szCs w:val="24"/>
          <w:u w:val="single"/>
        </w:rPr>
        <w:t>Customer Account Expenses</w:t>
      </w:r>
      <w:r w:rsidR="005A507C">
        <w:rPr>
          <w:rFonts w:cs="Arial"/>
          <w:szCs w:val="24"/>
          <w:u w:val="single"/>
        </w:rPr>
        <w:t xml:space="preserve">, </w:t>
      </w:r>
      <w:r w:rsidR="005A4ADA">
        <w:rPr>
          <w:rFonts w:cs="Arial"/>
          <w:szCs w:val="24"/>
          <w:u w:val="single"/>
        </w:rPr>
        <w:t>Accounts</w:t>
      </w:r>
      <w:r w:rsidR="005A507C">
        <w:rPr>
          <w:rFonts w:cs="Arial"/>
          <w:szCs w:val="24"/>
          <w:u w:val="single"/>
        </w:rPr>
        <w:t xml:space="preserve"> 901-905</w:t>
      </w:r>
      <w:r w:rsidRPr="00E875BB">
        <w:rPr>
          <w:rFonts w:cs="Arial"/>
          <w:szCs w:val="24"/>
        </w:rPr>
        <w:t xml:space="preserve">. </w:t>
      </w:r>
    </w:p>
    <w:p w14:paraId="7383842F" w14:textId="77777777" w:rsidR="00827D53" w:rsidRDefault="00827D53" w:rsidP="00827D53">
      <w:pPr>
        <w:jc w:val="both"/>
      </w:pPr>
    </w:p>
    <w:p w14:paraId="1772FCE2" w14:textId="3BD75EAE" w:rsidR="00827D53" w:rsidRDefault="00827D53" w:rsidP="00827D53">
      <w:pPr>
        <w:ind w:firstLine="720"/>
        <w:jc w:val="both"/>
      </w:pPr>
      <w:r>
        <w:t>The Authority acknowledges that some of the costs associated with the billing function do not neatly fit within a specific FERC account</w:t>
      </w:r>
      <w:r w:rsidR="00B515B0">
        <w:t xml:space="preserve">, but </w:t>
      </w:r>
      <w:r>
        <w:t xml:space="preserve">are spread over multiple accounts.  In particular, the billing software that is unique to each of the EDCs is accounted for within the miscellaneous intangible plant FERC Account 303.  The EDCs cannot measure the amount of electric services consumed by its customers, nor can they generate and distribute invoices to customers, without the tools </w:t>
      </w:r>
      <w:r w:rsidR="00B515B0">
        <w:t xml:space="preserve">necessary </w:t>
      </w:r>
      <w:r>
        <w:t xml:space="preserve">to perform the billing function.  However, the Authority understands that the billing system and the internal and external resources that work together to complete the billing function do not apply only to the residential customer class.  The billing system is a shared asset and expense among customer classes.  </w:t>
      </w:r>
    </w:p>
    <w:p w14:paraId="315C1CAE" w14:textId="77777777" w:rsidR="00827D53" w:rsidRDefault="00827D53" w:rsidP="00827D53">
      <w:pPr>
        <w:ind w:firstLine="720"/>
        <w:jc w:val="both"/>
      </w:pPr>
    </w:p>
    <w:p w14:paraId="35C509FE" w14:textId="718D12F9" w:rsidR="00827D53" w:rsidRDefault="00827D53" w:rsidP="00B515B0">
      <w:pPr>
        <w:ind w:firstLine="720"/>
        <w:jc w:val="both"/>
      </w:pPr>
      <w:r>
        <w:t xml:space="preserve">Since the EDCs provide electric services to different customer classes, assets and expenses necessary for certain functions are shared for all classes for purposes of efficiency and cost-effectiveness.  Particularly with respect to the billing function, the vast majority of billing-related costs and expenses are shared by all customer classes.  To conclude that the residential portion of costs may not be included in the MRCC if those costs are also utilized by other customer classes would </w:t>
      </w:r>
      <w:r w:rsidR="00B515B0">
        <w:t>make it impossible to include any costs related to the</w:t>
      </w:r>
      <w:r>
        <w:t xml:space="preserve"> billing function </w:t>
      </w:r>
      <w:r w:rsidR="00B515B0">
        <w:t xml:space="preserve">in </w:t>
      </w:r>
      <w:r>
        <w:t>the MRCC</w:t>
      </w:r>
      <w:r w:rsidR="000B7630">
        <w:t xml:space="preserve"> calculation</w:t>
      </w:r>
      <w:r>
        <w:t xml:space="preserve">, </w:t>
      </w:r>
      <w:r w:rsidR="00B515B0">
        <w:t xml:space="preserve">which defeats the legislature’s purpose in including billing as an allowed statutory function in </w:t>
      </w:r>
      <w:r w:rsidR="000B7630">
        <w:t xml:space="preserve">Conn. Gen. Stat. </w:t>
      </w:r>
      <w:r w:rsidR="00B515B0">
        <w:rPr>
          <w:rFonts w:cs="Arial"/>
          <w:szCs w:val="24"/>
        </w:rPr>
        <w:t>§16-243bb</w:t>
      </w:r>
      <w:r w:rsidR="00B515B0">
        <w:t>—</w:t>
      </w:r>
      <w:r>
        <w:t>an absurd result.  The</w:t>
      </w:r>
      <w:r w:rsidR="00B515B0">
        <w:t>refore, the Authority concludes that</w:t>
      </w:r>
      <w:r>
        <w:t xml:space="preserve"> such </w:t>
      </w:r>
      <w:r w:rsidR="00B515B0">
        <w:t xml:space="preserve">shared </w:t>
      </w:r>
      <w:r>
        <w:t xml:space="preserve">assets and expenses may be included in the MRCC, but only to the extent that they are necessary to provide </w:t>
      </w:r>
      <w:r w:rsidR="00B515B0">
        <w:t xml:space="preserve">the billing </w:t>
      </w:r>
      <w:r>
        <w:t xml:space="preserve">function for non-heating residential customers under Conn. Gen Stat. </w:t>
      </w:r>
      <w:r>
        <w:rPr>
          <w:rFonts w:cs="Arial"/>
        </w:rPr>
        <w:t>§</w:t>
      </w:r>
      <w:r>
        <w:t>16</w:t>
      </w:r>
      <w:r>
        <w:noBreakHyphen/>
        <w:t xml:space="preserve">243bb.  </w:t>
      </w:r>
      <w:r w:rsidR="00B515B0">
        <w:t xml:space="preserve">In other words, the </w:t>
      </w:r>
      <w:r>
        <w:t>Authority cannot exclude an asset or expense because it does not exclusively apply to the residential non-heating customers.</w:t>
      </w:r>
    </w:p>
    <w:p w14:paraId="631D1363" w14:textId="77777777" w:rsidR="00827D53" w:rsidRDefault="00827D53" w:rsidP="00827D53">
      <w:pPr>
        <w:ind w:firstLine="720"/>
        <w:jc w:val="both"/>
      </w:pPr>
    </w:p>
    <w:p w14:paraId="4E102F9C" w14:textId="2A6B991B" w:rsidR="00C143C2" w:rsidRDefault="000B7630" w:rsidP="00C143C2">
      <w:pPr>
        <w:ind w:firstLine="720"/>
        <w:jc w:val="both"/>
      </w:pPr>
      <w:r>
        <w:t xml:space="preserve">The Authority reviewed </w:t>
      </w:r>
      <w:r w:rsidR="00827D53">
        <w:t>UI</w:t>
      </w:r>
      <w:r>
        <w:t>’s</w:t>
      </w:r>
      <w:r w:rsidR="00827D53">
        <w:t xml:space="preserve"> propos</w:t>
      </w:r>
      <w:r>
        <w:t>al</w:t>
      </w:r>
      <w:r w:rsidR="00827D53">
        <w:t xml:space="preserve"> </w:t>
      </w:r>
      <w:r>
        <w:t xml:space="preserve">to </w:t>
      </w:r>
      <w:r w:rsidR="00827D53">
        <w:t>us</w:t>
      </w:r>
      <w:r>
        <w:t>e</w:t>
      </w:r>
      <w:r w:rsidR="00827D53">
        <w:t xml:space="preserve"> a percentage-based allocation of shared assets and expenses to be included in the MRCC</w:t>
      </w:r>
      <w:r>
        <w:t xml:space="preserve"> calculation</w:t>
      </w:r>
      <w:r w:rsidR="00827D53">
        <w:t xml:space="preserve">.  The percentage of the asset associated with providing the function </w:t>
      </w:r>
      <w:r w:rsidR="00827D53">
        <w:rPr>
          <w:rFonts w:cs="COMNMC+TimesNewRoman"/>
          <w:color w:val="000000"/>
        </w:rPr>
        <w:t>should be included in th</w:t>
      </w:r>
      <w:r>
        <w:rPr>
          <w:rFonts w:cs="COMNMC+TimesNewRoman"/>
          <w:color w:val="000000"/>
        </w:rPr>
        <w:t xml:space="preserve">at calculation </w:t>
      </w:r>
      <w:r w:rsidR="00827D53">
        <w:rPr>
          <w:rFonts w:cs="COMNMC+TimesNewRoman"/>
          <w:color w:val="000000"/>
        </w:rPr>
        <w:t>to the extent, and only to the extent, that the shared assets or expenses are used to provide service to residential non-heating customers.</w:t>
      </w:r>
      <w:r w:rsidR="00827D53">
        <w:t xml:space="preserve">  To quantify the percentage of these shared assets and expenses utilized for residential non-heating customers, the utilities would employ the direct assignment method.  The Authority examined the direct assignment methodology and determines that this is an acceptable method to calculate the includable cost for the billing function.</w:t>
      </w:r>
      <w:r w:rsidR="00D22320">
        <w:t xml:space="preserve"> </w:t>
      </w:r>
      <w:r w:rsidR="00827D53">
        <w:t xml:space="preserve"> </w:t>
      </w:r>
      <w:r w:rsidR="00C143C2">
        <w:t xml:space="preserve">To determine the portion of these </w:t>
      </w:r>
      <w:r w:rsidR="00D22320">
        <w:t xml:space="preserve">costs </w:t>
      </w:r>
      <w:r w:rsidR="00C143C2">
        <w:t>for residential non</w:t>
      </w:r>
      <w:r w:rsidR="00C143C2">
        <w:noBreakHyphen/>
        <w:t xml:space="preserve">heating customers, </w:t>
      </w:r>
      <w:r w:rsidR="005A4ADA">
        <w:t>each EDC</w:t>
      </w:r>
      <w:r w:rsidR="00A23B26">
        <w:t xml:space="preserve"> is</w:t>
      </w:r>
      <w:r w:rsidR="005A4ADA">
        <w:t xml:space="preserve"> </w:t>
      </w:r>
      <w:r w:rsidR="00C143C2">
        <w:t xml:space="preserve">directed to utilize direct assignment, and if direct assignment is not possible, then cost allocation. </w:t>
      </w:r>
    </w:p>
    <w:p w14:paraId="0964E81A" w14:textId="77777777" w:rsidR="00827D53" w:rsidRPr="00B764D2" w:rsidRDefault="00827D53" w:rsidP="00827D53">
      <w:pPr>
        <w:ind w:firstLine="720"/>
        <w:jc w:val="both"/>
        <w:rPr>
          <w:color w:val="000000" w:themeColor="text1"/>
        </w:rPr>
      </w:pPr>
    </w:p>
    <w:p w14:paraId="7F28E437" w14:textId="4CC3EA9C" w:rsidR="00827D53" w:rsidRPr="0099082F" w:rsidRDefault="00B515B0" w:rsidP="00827D53">
      <w:pPr>
        <w:ind w:firstLine="720"/>
        <w:jc w:val="both"/>
        <w:rPr>
          <w:color w:val="000000" w:themeColor="text1"/>
        </w:rPr>
      </w:pPr>
      <w:r>
        <w:rPr>
          <w:color w:val="000000" w:themeColor="text1"/>
        </w:rPr>
        <w:t xml:space="preserve">The Authority considered the </w:t>
      </w:r>
      <w:r w:rsidR="000B7630">
        <w:rPr>
          <w:color w:val="000000" w:themeColor="text1"/>
        </w:rPr>
        <w:t>P</w:t>
      </w:r>
      <w:r>
        <w:rPr>
          <w:color w:val="000000" w:themeColor="text1"/>
        </w:rPr>
        <w:t>arties’ arguments as to whether</w:t>
      </w:r>
      <w:r w:rsidR="00827D53" w:rsidRPr="0099082F">
        <w:rPr>
          <w:color w:val="000000" w:themeColor="text1"/>
        </w:rPr>
        <w:t xml:space="preserve"> revenues other than electric sales </w:t>
      </w:r>
      <w:r>
        <w:rPr>
          <w:color w:val="000000" w:themeColor="text1"/>
        </w:rPr>
        <w:t>can</w:t>
      </w:r>
      <w:r w:rsidRPr="0099082F">
        <w:rPr>
          <w:color w:val="000000" w:themeColor="text1"/>
        </w:rPr>
        <w:t xml:space="preserve"> </w:t>
      </w:r>
      <w:r w:rsidR="00827D53" w:rsidRPr="0099082F">
        <w:rPr>
          <w:color w:val="000000" w:themeColor="text1"/>
        </w:rPr>
        <w:t xml:space="preserve">be included in the MRCC </w:t>
      </w:r>
      <w:r w:rsidR="000B7630">
        <w:rPr>
          <w:color w:val="000000" w:themeColor="text1"/>
        </w:rPr>
        <w:t xml:space="preserve">calculation </w:t>
      </w:r>
      <w:r w:rsidR="00827D53" w:rsidRPr="0099082F">
        <w:rPr>
          <w:color w:val="000000" w:themeColor="text1"/>
        </w:rPr>
        <w:t>to offset expenses such as regulatory allowance for uncollectible accounts and revenue credits for late fees and returned check fees</w:t>
      </w:r>
      <w:r>
        <w:rPr>
          <w:color w:val="000000" w:themeColor="text1"/>
        </w:rPr>
        <w:t>.  Including s</w:t>
      </w:r>
      <w:r w:rsidR="00827D53">
        <w:rPr>
          <w:color w:val="000000" w:themeColor="text1"/>
        </w:rPr>
        <w:t xml:space="preserve">uch </w:t>
      </w:r>
      <w:r w:rsidR="00827D53" w:rsidRPr="00B764D2">
        <w:rPr>
          <w:color w:val="000000" w:themeColor="text1"/>
        </w:rPr>
        <w:t>revenue</w:t>
      </w:r>
      <w:r w:rsidR="00827D53">
        <w:rPr>
          <w:color w:val="000000" w:themeColor="text1"/>
        </w:rPr>
        <w:t>s</w:t>
      </w:r>
      <w:r w:rsidR="00827D53" w:rsidRPr="00B764D2">
        <w:rPr>
          <w:color w:val="000000" w:themeColor="text1"/>
        </w:rPr>
        <w:t xml:space="preserve"> could potentially reduce the MRCC. </w:t>
      </w:r>
      <w:r w:rsidR="00827D53" w:rsidRPr="0099082F">
        <w:rPr>
          <w:color w:val="000000" w:themeColor="text1"/>
        </w:rPr>
        <w:t xml:space="preserve"> </w:t>
      </w:r>
      <w:r w:rsidR="00827D53" w:rsidRPr="00B764D2">
        <w:rPr>
          <w:color w:val="000000" w:themeColor="text1"/>
        </w:rPr>
        <w:t>L</w:t>
      </w:r>
      <w:r w:rsidR="00827D53" w:rsidRPr="0099082F">
        <w:rPr>
          <w:color w:val="000000" w:themeColor="text1"/>
        </w:rPr>
        <w:t xml:space="preserve">ate fees and returned check fees are similar in nature because of the labor that is required to perform the collection related activities associated with uncollectible amounts.  </w:t>
      </w:r>
      <w:r w:rsidR="00827D53" w:rsidRPr="00827D53">
        <w:t xml:space="preserve">Other than the collection related activities that produce the uncollectible amounts, there is no correlation between uncollectible accounts and late fees and returned check fees.  </w:t>
      </w:r>
      <w:r w:rsidR="00827D53" w:rsidRPr="00827D53">
        <w:lastRenderedPageBreak/>
        <w:t xml:space="preserve">Since </w:t>
      </w:r>
      <w:r w:rsidR="000B7630">
        <w:t xml:space="preserve">the </w:t>
      </w:r>
      <w:r w:rsidR="00827D53" w:rsidRPr="00827D53">
        <w:t xml:space="preserve">uncollectible regulatory allowance is a societal expense for revenues not recovered through customer receipts and is charged off, the Authority finds that the impact of including the rate base and expenses items associated with </w:t>
      </w:r>
      <w:r w:rsidR="00827D53">
        <w:rPr>
          <w:color w:val="000000" w:themeColor="text1"/>
        </w:rPr>
        <w:t xml:space="preserve">these accounts </w:t>
      </w:r>
      <w:r w:rsidR="00827D53" w:rsidRPr="0099082F">
        <w:rPr>
          <w:color w:val="000000" w:themeColor="text1"/>
        </w:rPr>
        <w:t>do not necessarily reduce the magnitude of the MRCC.  In fact, for UI, the expenses of the uncollectible accounts in the instant case are greater than the revenues generated from the late fees and returned check fees.  UI L</w:t>
      </w:r>
      <w:r w:rsidR="00827D53" w:rsidRPr="00B764D2">
        <w:rPr>
          <w:color w:val="000000" w:themeColor="text1"/>
        </w:rPr>
        <w:t xml:space="preserve">ate Filed Exhibit No. </w:t>
      </w:r>
      <w:r w:rsidR="00827D53" w:rsidRPr="0099082F">
        <w:rPr>
          <w:color w:val="000000" w:themeColor="text1"/>
        </w:rPr>
        <w:t>3</w:t>
      </w:r>
      <w:r w:rsidR="00827D53" w:rsidRPr="00B764D2">
        <w:rPr>
          <w:color w:val="000000" w:themeColor="text1"/>
        </w:rPr>
        <w:t>,</w:t>
      </w:r>
      <w:r w:rsidR="00827D53" w:rsidRPr="0099082F">
        <w:rPr>
          <w:color w:val="000000" w:themeColor="text1"/>
        </w:rPr>
        <w:t xml:space="preserve"> Attachment Supplement 2.  As a result, the Authority excludes from the MRCC calculation</w:t>
      </w:r>
      <w:r w:rsidR="00827D53" w:rsidRPr="0099082F" w:rsidDel="00264314">
        <w:rPr>
          <w:color w:val="000000" w:themeColor="text1"/>
        </w:rPr>
        <w:t xml:space="preserve"> </w:t>
      </w:r>
      <w:r w:rsidR="00827D53" w:rsidRPr="0099082F">
        <w:rPr>
          <w:color w:val="000000" w:themeColor="text1"/>
        </w:rPr>
        <w:t xml:space="preserve">revenues from </w:t>
      </w:r>
      <w:r w:rsidR="00827D53">
        <w:rPr>
          <w:color w:val="000000" w:themeColor="text1"/>
        </w:rPr>
        <w:t xml:space="preserve">both </w:t>
      </w:r>
      <w:r w:rsidR="00827D53" w:rsidRPr="0099082F">
        <w:rPr>
          <w:color w:val="000000" w:themeColor="text1"/>
        </w:rPr>
        <w:t>late fees and returned check fees</w:t>
      </w:r>
      <w:r w:rsidR="00827D53">
        <w:rPr>
          <w:color w:val="000000" w:themeColor="text1"/>
        </w:rPr>
        <w:t>,</w:t>
      </w:r>
      <w:r w:rsidR="00827D53" w:rsidRPr="0099082F">
        <w:rPr>
          <w:color w:val="000000" w:themeColor="text1"/>
        </w:rPr>
        <w:t xml:space="preserve"> and all other rate base and expense items associated with uncollectible accounts.</w:t>
      </w:r>
    </w:p>
    <w:p w14:paraId="5EC809B7" w14:textId="77777777" w:rsidR="00827D53" w:rsidRPr="00B764D2" w:rsidRDefault="00827D53" w:rsidP="00827D53">
      <w:pPr>
        <w:jc w:val="both"/>
        <w:rPr>
          <w:color w:val="000000" w:themeColor="text1"/>
        </w:rPr>
      </w:pPr>
    </w:p>
    <w:p w14:paraId="57B9E3F9" w14:textId="77BE72A8" w:rsidR="00147E20" w:rsidRDefault="00487F14" w:rsidP="00E1092F">
      <w:pPr>
        <w:pStyle w:val="Heading3"/>
        <w:ind w:hanging="720"/>
        <w:jc w:val="both"/>
      </w:pPr>
      <w:bookmarkStart w:id="27" w:name="_Toc501528257"/>
      <w:r>
        <w:t xml:space="preserve">Provision of </w:t>
      </w:r>
      <w:r w:rsidR="004E2171" w:rsidRPr="003A1298">
        <w:t xml:space="preserve">Customer </w:t>
      </w:r>
      <w:r w:rsidR="006D47D9">
        <w:t>S</w:t>
      </w:r>
      <w:r w:rsidR="004E2171" w:rsidRPr="003A1298">
        <w:t>ervice</w:t>
      </w:r>
      <w:bookmarkEnd w:id="27"/>
    </w:p>
    <w:p w14:paraId="116BBA66" w14:textId="77777777" w:rsidR="00147E20" w:rsidRPr="00147E20" w:rsidRDefault="00147E20" w:rsidP="003E1168">
      <w:pPr>
        <w:jc w:val="both"/>
      </w:pPr>
    </w:p>
    <w:p w14:paraId="6CDAA6F4" w14:textId="77777777" w:rsidR="00147E20" w:rsidRDefault="00147E20" w:rsidP="00AB699C">
      <w:pPr>
        <w:pStyle w:val="Heading4"/>
        <w:tabs>
          <w:tab w:val="clear" w:pos="720"/>
        </w:tabs>
        <w:ind w:hanging="630"/>
        <w:jc w:val="both"/>
      </w:pPr>
      <w:bookmarkStart w:id="28" w:name="_Toc501528258"/>
      <w:r>
        <w:t>Position</w:t>
      </w:r>
      <w:r w:rsidR="00303236">
        <w:t>s</w:t>
      </w:r>
      <w:r>
        <w:t xml:space="preserve"> of the Parties</w:t>
      </w:r>
      <w:bookmarkEnd w:id="28"/>
    </w:p>
    <w:p w14:paraId="1B43DEEC" w14:textId="77777777" w:rsidR="00FA530C" w:rsidRPr="00FA530C" w:rsidRDefault="00FA530C" w:rsidP="003E1168">
      <w:pPr>
        <w:jc w:val="both"/>
      </w:pPr>
    </w:p>
    <w:p w14:paraId="12662215" w14:textId="11F248AE" w:rsidR="00827D53" w:rsidRPr="00827D53" w:rsidRDefault="00827D53" w:rsidP="00827D53">
      <w:pPr>
        <w:spacing w:line="240" w:lineRule="atLeast"/>
        <w:ind w:firstLine="720"/>
        <w:jc w:val="both"/>
      </w:pPr>
      <w:r>
        <w:t>UI stated that t</w:t>
      </w:r>
      <w:r w:rsidRPr="0074306A">
        <w:t xml:space="preserve">he provision of customer service involves an extensive set of activities through which the </w:t>
      </w:r>
      <w:r>
        <w:t>c</w:t>
      </w:r>
      <w:r w:rsidRPr="0074306A">
        <w:t xml:space="preserve">ompany </w:t>
      </w:r>
      <w:r>
        <w:t xml:space="preserve">directly </w:t>
      </w:r>
      <w:r w:rsidRPr="0074306A">
        <w:t xml:space="preserve">communicates with </w:t>
      </w:r>
      <w:r>
        <w:t xml:space="preserve">its </w:t>
      </w:r>
      <w:r w:rsidRPr="0074306A">
        <w:t xml:space="preserve">customers. </w:t>
      </w:r>
      <w:r>
        <w:t xml:space="preserve"> Customer service activities generally begin with a customer</w:t>
      </w:r>
      <w:r w:rsidR="00571916">
        <w:t>-</w:t>
      </w:r>
      <w:r>
        <w:t xml:space="preserve">initiated communication to an EDC.  UI distinguished </w:t>
      </w:r>
      <w:r w:rsidRPr="0074306A">
        <w:t>activities that enabl</w:t>
      </w:r>
      <w:r>
        <w:t>e</w:t>
      </w:r>
      <w:r w:rsidRPr="0074306A">
        <w:t xml:space="preserve"> and support the provision of customer service from those activities that are more directly related to specific processes involved in delivering electric service.  For example, line transformers are employed to reduce the voltage of electricity from the higher levels necessary for efficient transport over long distances to the lower voltages required by customers’ appliances.  Even though that process is necessary to provide electric service to customers, </w:t>
      </w:r>
      <w:r>
        <w:t xml:space="preserve">UI stated </w:t>
      </w:r>
      <w:r w:rsidRPr="0074306A">
        <w:t>it is not considered part of the provision of customer service.</w:t>
      </w:r>
      <w:r w:rsidR="003F6BF8">
        <w:t xml:space="preserve">  </w:t>
      </w:r>
      <w:r>
        <w:t>R</w:t>
      </w:r>
      <w:r w:rsidRPr="0074306A">
        <w:t xml:space="preserve">ather, it is a function of the process of providing electric distribution service.  </w:t>
      </w:r>
      <w:r>
        <w:t>Written Comments, pp. 18 and 19.  UI identified as MRCC</w:t>
      </w:r>
      <w:r w:rsidR="000B7630">
        <w:t xml:space="preserve"> </w:t>
      </w:r>
      <w:r>
        <w:t>includable customer service-related costs</w:t>
      </w:r>
      <w:r w:rsidR="003A41BD">
        <w:t xml:space="preserve"> those</w:t>
      </w:r>
      <w:r>
        <w:t xml:space="preserve"> costs incurred to communicate with specific customers regarding issues of interest to them.  </w:t>
      </w:r>
      <w:r w:rsidRPr="00827D53">
        <w:t>These issues included service connections and disconnections, credit and collections payments, invoicing and account balances, electric service prices and outage reporting.  The company identified such cost items as the computer hardware, software, support equipment, outside services and labor.  Colca PFT, p. 7.</w:t>
      </w:r>
    </w:p>
    <w:p w14:paraId="73362850" w14:textId="77777777" w:rsidR="00827D53" w:rsidRPr="00827D53" w:rsidRDefault="00827D53" w:rsidP="00827D53">
      <w:pPr>
        <w:ind w:firstLine="720"/>
        <w:jc w:val="both"/>
      </w:pPr>
    </w:p>
    <w:p w14:paraId="7FB5771A" w14:textId="0986339E" w:rsidR="00827D53" w:rsidRDefault="00827D53" w:rsidP="00827D53">
      <w:pPr>
        <w:ind w:firstLine="720"/>
        <w:jc w:val="both"/>
      </w:pPr>
      <w:r w:rsidRPr="00827D53">
        <w:t>With respect to the provision of customer service, CL&amp;P identified as MRCC</w:t>
      </w:r>
      <w:r w:rsidR="000B7630">
        <w:t xml:space="preserve"> </w:t>
      </w:r>
      <w:r w:rsidRPr="00827D53">
        <w:t>includable costs associated with assisting residential customers with billing inquiries; starting and stopping service; trouble calls; payment processing; and assisting Rate 1 and Rate 7 residential customers inquiring about or serviced by distributed generation</w:t>
      </w:r>
      <w:r w:rsidR="00AC7D3D">
        <w:t xml:space="preserve"> (DG)</w:t>
      </w:r>
      <w:r w:rsidRPr="00827D53">
        <w:t>.  In addition, CL&amp;P identified as MRCC</w:t>
      </w:r>
      <w:r w:rsidR="00AC7D3D">
        <w:t xml:space="preserve"> </w:t>
      </w:r>
      <w:r w:rsidRPr="00827D53">
        <w:t xml:space="preserve">includable costs </w:t>
      </w:r>
      <w:r w:rsidR="00AC7D3D">
        <w:t xml:space="preserve">that are </w:t>
      </w:r>
      <w:r w:rsidRPr="00827D53">
        <w:t>associated with managing incoming calls related to the electric supplier support center</w:t>
      </w:r>
      <w:r>
        <w:t xml:space="preserve">; social customer care; field engineering design regarding residential services; final bill inquiries and recovery; customer resolutions to company executives; credit call centers; quality assurance; and call center workforce management.  Written Comments, Attachment 1, pp. 6-8.  </w:t>
      </w:r>
    </w:p>
    <w:p w14:paraId="6FA70BF7" w14:textId="77777777" w:rsidR="00827D53" w:rsidRPr="00B5636E" w:rsidRDefault="00827D53" w:rsidP="00827D53">
      <w:pPr>
        <w:ind w:left="720"/>
        <w:jc w:val="both"/>
      </w:pPr>
    </w:p>
    <w:p w14:paraId="7682F5BE" w14:textId="77777777" w:rsidR="00827D53" w:rsidRDefault="00827D53" w:rsidP="00E84AF1">
      <w:pPr>
        <w:pStyle w:val="Heading4"/>
        <w:tabs>
          <w:tab w:val="clear" w:pos="720"/>
        </w:tabs>
        <w:ind w:hanging="630"/>
        <w:jc w:val="both"/>
      </w:pPr>
      <w:bookmarkStart w:id="29" w:name="_Toc499050473"/>
      <w:bookmarkStart w:id="30" w:name="_Toc501528259"/>
      <w:r>
        <w:t>Discussion</w:t>
      </w:r>
      <w:bookmarkEnd w:id="29"/>
      <w:bookmarkEnd w:id="30"/>
      <w:r>
        <w:t xml:space="preserve"> </w:t>
      </w:r>
    </w:p>
    <w:p w14:paraId="191A7356" w14:textId="77777777" w:rsidR="00827D53" w:rsidRPr="00F521E6" w:rsidRDefault="00827D53" w:rsidP="00827D53">
      <w:pPr>
        <w:jc w:val="both"/>
      </w:pPr>
    </w:p>
    <w:p w14:paraId="26C760B8" w14:textId="58F19DBD" w:rsidR="00827D53" w:rsidRPr="00B5636E" w:rsidRDefault="00827D53" w:rsidP="00827D53">
      <w:pPr>
        <w:ind w:firstLine="720"/>
        <w:jc w:val="both"/>
        <w:rPr>
          <w:rFonts w:cs="Arial"/>
          <w:szCs w:val="24"/>
        </w:rPr>
      </w:pPr>
      <w:r>
        <w:rPr>
          <w:rFonts w:cs="Arial"/>
          <w:szCs w:val="24"/>
        </w:rPr>
        <w:t xml:space="preserve">The Authority finds that the provision of customer service begins with a customer initiating contact with its EDC regarding their electric services.  </w:t>
      </w:r>
      <w:r w:rsidR="00AC7D3D">
        <w:rPr>
          <w:rFonts w:cs="Arial"/>
          <w:szCs w:val="24"/>
        </w:rPr>
        <w:t>Conn. Gen. Stat. §</w:t>
      </w:r>
      <w:r w:rsidR="00B5636E">
        <w:rPr>
          <w:rFonts w:cs="Arial"/>
          <w:szCs w:val="24"/>
        </w:rPr>
        <w:t>16</w:t>
      </w:r>
      <w:r w:rsidR="00B5636E">
        <w:rPr>
          <w:rFonts w:cs="Arial"/>
          <w:szCs w:val="24"/>
        </w:rPr>
        <w:noBreakHyphen/>
      </w:r>
      <w:r>
        <w:rPr>
          <w:rFonts w:cs="Arial"/>
          <w:szCs w:val="24"/>
        </w:rPr>
        <w:t>243bb excludes costs that are not “directly related” to the provision of customer service</w:t>
      </w:r>
      <w:r w:rsidR="00AC7D3D">
        <w:rPr>
          <w:rFonts w:cs="Arial"/>
          <w:szCs w:val="24"/>
        </w:rPr>
        <w:t>.  This fact</w:t>
      </w:r>
      <w:r>
        <w:rPr>
          <w:rFonts w:cs="Arial"/>
          <w:szCs w:val="24"/>
        </w:rPr>
        <w:t xml:space="preserve"> compels the Authority to distinguish customer-initiated activities—</w:t>
      </w:r>
      <w:r>
        <w:rPr>
          <w:rFonts w:cs="Arial"/>
          <w:szCs w:val="24"/>
        </w:rPr>
        <w:lastRenderedPageBreak/>
        <w:t>which it considers directly related—from other tasks such as, sales, advertising, final bill collection, or provisioning the electric distribution system that do not have such a strong and continuing nexus.  As a result, t</w:t>
      </w:r>
      <w:r w:rsidRPr="000C0E9D">
        <w:t xml:space="preserve">he Authority defines the </w:t>
      </w:r>
      <w:r>
        <w:t>provision of c</w:t>
      </w:r>
      <w:r w:rsidRPr="000C0E9D">
        <w:t xml:space="preserve">ustomer </w:t>
      </w:r>
      <w:r>
        <w:t>s</w:t>
      </w:r>
      <w:r w:rsidRPr="000C0E9D">
        <w:t xml:space="preserve">ervice </w:t>
      </w:r>
      <w:r>
        <w:t>to include the costs for</w:t>
      </w:r>
      <w:r>
        <w:rPr>
          <w:rFonts w:cs="Arial"/>
          <w:szCs w:val="24"/>
        </w:rPr>
        <w:t xml:space="preserve"> outside services, computer hardware</w:t>
      </w:r>
      <w:r w:rsidRPr="002765C1">
        <w:rPr>
          <w:rFonts w:cs="Arial"/>
          <w:szCs w:val="24"/>
        </w:rPr>
        <w:t xml:space="preserve"> and software</w:t>
      </w:r>
      <w:r>
        <w:rPr>
          <w:rFonts w:cs="Arial"/>
          <w:szCs w:val="24"/>
        </w:rPr>
        <w:t>,</w:t>
      </w:r>
      <w:r w:rsidRPr="00802BC5">
        <w:t xml:space="preserve"> </w:t>
      </w:r>
      <w:r>
        <w:t xml:space="preserve">materials and labor required to (1) order service for connections and disconnections, (2) </w:t>
      </w:r>
      <w:r w:rsidRPr="00B5636E">
        <w:rPr>
          <w:szCs w:val="24"/>
        </w:rPr>
        <w:t>process credits and payments, and (3) manage customer inquiries regarding invoicing and account balances, electric service prices, and outage reporting.</w:t>
      </w:r>
      <w:r w:rsidRPr="00B5636E">
        <w:rPr>
          <w:rFonts w:cs="Arial"/>
          <w:szCs w:val="24"/>
        </w:rPr>
        <w:t xml:space="preserve">  </w:t>
      </w:r>
      <w:r w:rsidR="00AC7D3D" w:rsidRPr="00B5636E">
        <w:rPr>
          <w:rFonts w:cs="Arial"/>
          <w:szCs w:val="24"/>
        </w:rPr>
        <w:t>A</w:t>
      </w:r>
      <w:r w:rsidRPr="00B5636E">
        <w:rPr>
          <w:rFonts w:cs="Arial"/>
          <w:szCs w:val="24"/>
        </w:rPr>
        <w:t>ll of these activities are prompted by customer contacts and customer interests, and are therefore directly related to the provision of customer service.</w:t>
      </w:r>
      <w:r w:rsidR="00AC7D3D" w:rsidRPr="00B5636E">
        <w:rPr>
          <w:rFonts w:cs="Arial"/>
          <w:szCs w:val="24"/>
        </w:rPr>
        <w:t xml:space="preserve">  </w:t>
      </w:r>
      <w:r w:rsidR="00D22320" w:rsidRPr="00B5636E">
        <w:rPr>
          <w:rFonts w:cs="Arial"/>
          <w:szCs w:val="24"/>
        </w:rPr>
        <w:t>S</w:t>
      </w:r>
      <w:r w:rsidR="00AC7D3D" w:rsidRPr="00B5636E">
        <w:rPr>
          <w:rFonts w:cs="Arial"/>
          <w:szCs w:val="24"/>
        </w:rPr>
        <w:t xml:space="preserve">ales, advertising, and </w:t>
      </w:r>
      <w:r w:rsidR="002A6022" w:rsidRPr="00B5636E">
        <w:rPr>
          <w:rFonts w:cs="Arial"/>
          <w:szCs w:val="24"/>
        </w:rPr>
        <w:t xml:space="preserve">uncollectible final bill </w:t>
      </w:r>
      <w:r w:rsidR="00AC7D3D" w:rsidRPr="00B5636E">
        <w:rPr>
          <w:rFonts w:cs="Arial"/>
          <w:szCs w:val="24"/>
        </w:rPr>
        <w:t xml:space="preserve">communications are typically initiated and controlled by the EDC and are excluded from the MRCC calculation.  </w:t>
      </w:r>
    </w:p>
    <w:p w14:paraId="49D62858" w14:textId="77777777" w:rsidR="00827D53" w:rsidRPr="00B5636E" w:rsidRDefault="00827D53" w:rsidP="00B5636E">
      <w:pPr>
        <w:jc w:val="both"/>
        <w:rPr>
          <w:rFonts w:cs="Arial"/>
          <w:szCs w:val="24"/>
        </w:rPr>
      </w:pPr>
    </w:p>
    <w:p w14:paraId="5774126F" w14:textId="4EFD6E6C" w:rsidR="004E2171" w:rsidRPr="00B5636E" w:rsidRDefault="004E2171" w:rsidP="00E1092F">
      <w:pPr>
        <w:pStyle w:val="Heading3"/>
        <w:ind w:hanging="720"/>
        <w:jc w:val="both"/>
        <w:rPr>
          <w:szCs w:val="24"/>
        </w:rPr>
      </w:pPr>
      <w:bookmarkStart w:id="31" w:name="_Toc501528260"/>
      <w:r w:rsidRPr="00B5636E">
        <w:rPr>
          <w:szCs w:val="24"/>
        </w:rPr>
        <w:t>Metering</w:t>
      </w:r>
      <w:bookmarkEnd w:id="31"/>
    </w:p>
    <w:p w14:paraId="1AF421E4" w14:textId="77777777" w:rsidR="009B5B6B" w:rsidRPr="00B5636E" w:rsidRDefault="009B5B6B" w:rsidP="00B5636E">
      <w:pPr>
        <w:jc w:val="both"/>
        <w:rPr>
          <w:rFonts w:cs="Arial"/>
          <w:szCs w:val="24"/>
        </w:rPr>
      </w:pPr>
    </w:p>
    <w:p w14:paraId="22C4DB15" w14:textId="77777777" w:rsidR="0097240C" w:rsidRPr="00B5636E" w:rsidRDefault="00ED445E" w:rsidP="00FF31F4">
      <w:pPr>
        <w:pStyle w:val="Heading4"/>
        <w:ind w:hanging="720"/>
        <w:jc w:val="both"/>
        <w:rPr>
          <w:szCs w:val="24"/>
        </w:rPr>
      </w:pPr>
      <w:bookmarkStart w:id="32" w:name="_Toc501528261"/>
      <w:r w:rsidRPr="00B5636E">
        <w:rPr>
          <w:szCs w:val="24"/>
        </w:rPr>
        <w:t>Position</w:t>
      </w:r>
      <w:r w:rsidR="00303236" w:rsidRPr="00B5636E">
        <w:rPr>
          <w:szCs w:val="24"/>
        </w:rPr>
        <w:t>s</w:t>
      </w:r>
      <w:r w:rsidR="009B5B6B" w:rsidRPr="00B5636E">
        <w:rPr>
          <w:szCs w:val="24"/>
        </w:rPr>
        <w:t xml:space="preserve"> of the Parties</w:t>
      </w:r>
      <w:bookmarkEnd w:id="32"/>
    </w:p>
    <w:p w14:paraId="75157165" w14:textId="77777777" w:rsidR="009B5B6B" w:rsidRPr="00B5636E" w:rsidRDefault="009B5B6B" w:rsidP="003E1168">
      <w:pPr>
        <w:jc w:val="both"/>
        <w:rPr>
          <w:rFonts w:cs="Arial"/>
          <w:szCs w:val="24"/>
        </w:rPr>
      </w:pPr>
    </w:p>
    <w:p w14:paraId="02E21B30" w14:textId="1100B8D7" w:rsidR="00827D53" w:rsidRPr="00B5636E" w:rsidRDefault="00827D53" w:rsidP="00827D53">
      <w:pPr>
        <w:ind w:firstLine="720"/>
        <w:jc w:val="both"/>
        <w:rPr>
          <w:szCs w:val="24"/>
        </w:rPr>
      </w:pPr>
      <w:r w:rsidRPr="00B5636E">
        <w:rPr>
          <w:szCs w:val="24"/>
        </w:rPr>
        <w:t>UI stated that the directly related costs of residential metering go beyond the cost of the physical equipment, installation, maintenance and the field support related to the meters.  The company has advanced metering infrastructure (AMI) to perform metering.  Consequently, there are computer hardware and software costs that UI must support to operate an AMI network.  That equipment is directly related to metering because the AMI system could not obtain, transmit, and record meter reads without the equipment.  The costs associated with residential metering using AMI are equipment related and are either included in rate base or expensed.  The communication system that transmits meter readings from the meter to its meter reading computer storage system is not owned by UI.  Therefore, UI must pay rent to the vendor that owns the equipment and such rent expenses are included as meter reading operation expenses.  Written Comments, pp. 13 and 14.  Subsequently, UI defined the includable costs and expenses of the metering function to encompass the utility electric meter located at the customer’s facility and all of the equipment, outside services and labor required to obtain, verify, and store meter readings.  Colca PFT, p. 7.</w:t>
      </w:r>
    </w:p>
    <w:p w14:paraId="3739A47B" w14:textId="77777777" w:rsidR="00827D53" w:rsidRPr="00B5636E" w:rsidRDefault="00827D53" w:rsidP="00B5636E">
      <w:pPr>
        <w:jc w:val="both"/>
        <w:rPr>
          <w:rFonts w:cs="Arial"/>
          <w:szCs w:val="24"/>
        </w:rPr>
      </w:pPr>
    </w:p>
    <w:p w14:paraId="3967C453" w14:textId="2336211B" w:rsidR="00827D53" w:rsidRPr="00B5636E" w:rsidRDefault="00827D53" w:rsidP="00827D53">
      <w:pPr>
        <w:ind w:firstLine="810"/>
        <w:jc w:val="both"/>
        <w:rPr>
          <w:szCs w:val="24"/>
        </w:rPr>
      </w:pPr>
      <w:r w:rsidRPr="00B5636E">
        <w:rPr>
          <w:szCs w:val="24"/>
        </w:rPr>
        <w:t>CL&amp;P identified as includable costs of residential metering a range of activities associated with the metering function.  These activities include the costs associated with meters, meter engineering, monitoring, maintenance, system support, special requests, equipment procurement, service connections, service design, new metering installations, mobile meter reading, special reads, disconnect and reconnect processes, data management and ad hoc reporting.  Written Comments, Attachment 1, pp. 1</w:t>
      </w:r>
      <w:r w:rsidRPr="00B5636E">
        <w:rPr>
          <w:szCs w:val="24"/>
        </w:rPr>
        <w:noBreakHyphen/>
        <w:t xml:space="preserve">3.  </w:t>
      </w:r>
    </w:p>
    <w:p w14:paraId="5CE37320" w14:textId="77777777" w:rsidR="00827D53" w:rsidRPr="00B5636E" w:rsidRDefault="00827D53" w:rsidP="00B5636E">
      <w:pPr>
        <w:jc w:val="both"/>
        <w:rPr>
          <w:rFonts w:cs="Arial"/>
          <w:szCs w:val="24"/>
        </w:rPr>
      </w:pPr>
    </w:p>
    <w:p w14:paraId="1CC47DB3" w14:textId="77777777" w:rsidR="00827D53" w:rsidRPr="00B5636E" w:rsidRDefault="00827D53" w:rsidP="00827D53">
      <w:pPr>
        <w:pStyle w:val="Heading4"/>
        <w:tabs>
          <w:tab w:val="clear" w:pos="2520"/>
        </w:tabs>
        <w:ind w:left="1440"/>
        <w:jc w:val="both"/>
        <w:rPr>
          <w:szCs w:val="24"/>
        </w:rPr>
      </w:pPr>
      <w:bookmarkStart w:id="33" w:name="_Toc499050476"/>
      <w:bookmarkStart w:id="34" w:name="_Toc501528262"/>
      <w:r w:rsidRPr="00B5636E">
        <w:rPr>
          <w:szCs w:val="24"/>
        </w:rPr>
        <w:t>Discussion</w:t>
      </w:r>
      <w:bookmarkEnd w:id="33"/>
      <w:bookmarkEnd w:id="34"/>
    </w:p>
    <w:p w14:paraId="39170528" w14:textId="77777777" w:rsidR="00827D53" w:rsidRPr="00B5636E" w:rsidRDefault="00827D53" w:rsidP="00827D53">
      <w:pPr>
        <w:jc w:val="both"/>
        <w:rPr>
          <w:rFonts w:cs="Arial"/>
          <w:szCs w:val="24"/>
        </w:rPr>
      </w:pPr>
    </w:p>
    <w:p w14:paraId="432DB429" w14:textId="63BFC348" w:rsidR="00827D53" w:rsidRPr="0085222D" w:rsidRDefault="00827D53" w:rsidP="00827D53">
      <w:pPr>
        <w:ind w:firstLine="720"/>
        <w:jc w:val="both"/>
      </w:pPr>
      <w:r w:rsidRPr="00B5636E">
        <w:rPr>
          <w:szCs w:val="24"/>
        </w:rPr>
        <w:t xml:space="preserve">To properly apply the limitations of </w:t>
      </w:r>
      <w:r w:rsidR="00AC7D3D" w:rsidRPr="00B5636E">
        <w:rPr>
          <w:szCs w:val="24"/>
        </w:rPr>
        <w:t xml:space="preserve">Conn. Gen. Stat. </w:t>
      </w:r>
      <w:r w:rsidR="005A507C" w:rsidRPr="00B5636E">
        <w:rPr>
          <w:rFonts w:cs="Arial"/>
          <w:szCs w:val="24"/>
        </w:rPr>
        <w:t>§</w:t>
      </w:r>
      <w:r w:rsidRPr="00B5636E">
        <w:rPr>
          <w:szCs w:val="24"/>
        </w:rPr>
        <w:t>16-243bb so as to identify the includable directly</w:t>
      </w:r>
      <w:r w:rsidR="00AC7D3D" w:rsidRPr="00B5636E">
        <w:rPr>
          <w:szCs w:val="24"/>
        </w:rPr>
        <w:t xml:space="preserve"> </w:t>
      </w:r>
      <w:r w:rsidRPr="00B5636E">
        <w:rPr>
          <w:szCs w:val="24"/>
        </w:rPr>
        <w:t xml:space="preserve">related costs of the metering function, the Authority reviewed the types of EDC business activities associated with metering, as well as the corresponding FERC accounts.  These activities include the physical installation, maintenance and removal of meters as well as meter reading.  The Authority finds that the EDCs’ business activities are all integral to the metering functions.  The Companies cannot perform the functions of metering without all the equipment provided in the individual business activity list.  Therefore, these activities associated with metering, to the extent, </w:t>
      </w:r>
      <w:r w:rsidRPr="00B5636E">
        <w:rPr>
          <w:szCs w:val="24"/>
        </w:rPr>
        <w:lastRenderedPageBreak/>
        <w:t xml:space="preserve">and only to the extent, that they are used for residential non-heating customers are directly related to the statutory function of metering and thus includable in the MRCC.  The Authority finds that </w:t>
      </w:r>
      <w:r w:rsidRPr="00B5636E">
        <w:rPr>
          <w:rFonts w:cs="Arial"/>
          <w:szCs w:val="24"/>
        </w:rPr>
        <w:t>the directly related costs of labor materials, computer hardware</w:t>
      </w:r>
      <w:r>
        <w:rPr>
          <w:rFonts w:cs="Arial"/>
          <w:szCs w:val="24"/>
        </w:rPr>
        <w:t xml:space="preserve"> </w:t>
      </w:r>
      <w:r w:rsidRPr="00456994">
        <w:rPr>
          <w:rFonts w:cs="Arial"/>
          <w:szCs w:val="24"/>
        </w:rPr>
        <w:t>and software required to install</w:t>
      </w:r>
      <w:r>
        <w:rPr>
          <w:rFonts w:cs="Arial"/>
          <w:szCs w:val="24"/>
        </w:rPr>
        <w:t>,</w:t>
      </w:r>
      <w:r>
        <w:rPr>
          <w:rStyle w:val="FootnoteReference"/>
          <w:rFonts w:cs="Arial"/>
          <w:szCs w:val="24"/>
        </w:rPr>
        <w:footnoteReference w:id="5"/>
      </w:r>
      <w:r w:rsidRPr="00456994">
        <w:rPr>
          <w:rFonts w:cs="Arial"/>
          <w:szCs w:val="24"/>
        </w:rPr>
        <w:t xml:space="preserve"> test, maintain and read</w:t>
      </w:r>
      <w:r>
        <w:rPr>
          <w:rFonts w:cs="Arial"/>
          <w:szCs w:val="24"/>
        </w:rPr>
        <w:t xml:space="preserve"> meters for residential non</w:t>
      </w:r>
      <w:r>
        <w:rPr>
          <w:rFonts w:cs="Arial"/>
          <w:szCs w:val="24"/>
        </w:rPr>
        <w:noBreakHyphen/>
      </w:r>
      <w:r w:rsidRPr="00456994">
        <w:rPr>
          <w:rFonts w:cs="Arial"/>
          <w:szCs w:val="24"/>
        </w:rPr>
        <w:t>heating customers</w:t>
      </w:r>
      <w:r>
        <w:rPr>
          <w:rFonts w:cs="Arial"/>
          <w:szCs w:val="24"/>
        </w:rPr>
        <w:t xml:space="preserve"> are includable costs</w:t>
      </w:r>
      <w:r w:rsidRPr="00456994">
        <w:rPr>
          <w:rFonts w:cs="Arial"/>
          <w:szCs w:val="24"/>
        </w:rPr>
        <w:t>.</w:t>
      </w:r>
    </w:p>
    <w:p w14:paraId="4B65608F" w14:textId="77777777" w:rsidR="00827D53" w:rsidRDefault="00827D53" w:rsidP="00827D53">
      <w:pPr>
        <w:ind w:firstLine="720"/>
        <w:jc w:val="both"/>
        <w:rPr>
          <w:rFonts w:cs="Arial"/>
          <w:szCs w:val="24"/>
        </w:rPr>
      </w:pPr>
    </w:p>
    <w:p w14:paraId="0B363BB9" w14:textId="5EB0E01C" w:rsidR="00827D53" w:rsidRDefault="00827D53" w:rsidP="00827D53">
      <w:pPr>
        <w:ind w:firstLine="720"/>
        <w:jc w:val="both"/>
      </w:pPr>
      <w:r>
        <w:t>The Authority concludes that costs associated with measuring the electricity delivered to residential non</w:t>
      </w:r>
      <w:r>
        <w:noBreakHyphen/>
        <w:t>heating customers are directly related to performing the metering function.  There are some clear bright</w:t>
      </w:r>
      <w:r>
        <w:noBreakHyphen/>
        <w:t xml:space="preserve">line rules for includable costs associated with the metering function.  These rules are based on the requirements set by the USOA.  It is indisputable that the equipment costs that fall under the meter titles within the USOA are directly related to metering.  However, based on the USOA requirements, the software expenses associated with metering do not fall under a corresponding </w:t>
      </w:r>
      <w:r w:rsidR="00AC7D3D">
        <w:t xml:space="preserve">FERC </w:t>
      </w:r>
      <w:r>
        <w:t xml:space="preserve">account with </w:t>
      </w:r>
      <w:r w:rsidR="00AC7D3D">
        <w:t xml:space="preserve">a </w:t>
      </w:r>
      <w:r>
        <w:t>meter</w:t>
      </w:r>
      <w:r w:rsidR="00AC7D3D">
        <w:t>ing</w:t>
      </w:r>
      <w:r>
        <w:t xml:space="preserve"> title.  As discussed herein, the Authority considers this limitation and addresses software costs related to metering </w:t>
      </w:r>
      <w:r w:rsidRPr="000A4C02">
        <w:t xml:space="preserve">in </w:t>
      </w:r>
      <w:r>
        <w:t>Section</w:t>
      </w:r>
      <w:r w:rsidRPr="000A4C02">
        <w:rPr>
          <w:rFonts w:cs="Arial"/>
          <w:szCs w:val="24"/>
        </w:rPr>
        <w:t xml:space="preserve"> III</w:t>
      </w:r>
      <w:r>
        <w:rPr>
          <w:rFonts w:cs="Arial"/>
          <w:szCs w:val="24"/>
        </w:rPr>
        <w:t>.</w:t>
      </w:r>
      <w:r w:rsidR="005A507C">
        <w:rPr>
          <w:rFonts w:cs="Arial"/>
          <w:szCs w:val="24"/>
        </w:rPr>
        <w:t>C</w:t>
      </w:r>
      <w:r w:rsidRPr="000A4C02">
        <w:rPr>
          <w:rFonts w:cs="Arial"/>
          <w:szCs w:val="24"/>
        </w:rPr>
        <w:t>.</w:t>
      </w:r>
      <w:r w:rsidR="00150B0E">
        <w:rPr>
          <w:rFonts w:cs="Arial"/>
          <w:szCs w:val="24"/>
        </w:rPr>
        <w:t>2</w:t>
      </w:r>
      <w:r>
        <w:rPr>
          <w:rFonts w:cs="Arial"/>
          <w:szCs w:val="24"/>
        </w:rPr>
        <w:t>.</w:t>
      </w:r>
      <w:r w:rsidR="00150B0E">
        <w:rPr>
          <w:rFonts w:cs="Arial"/>
          <w:szCs w:val="24"/>
        </w:rPr>
        <w:t>a.</w:t>
      </w:r>
      <w:r>
        <w:rPr>
          <w:rFonts w:cs="Arial"/>
          <w:szCs w:val="24"/>
        </w:rPr>
        <w:t xml:space="preserve"> </w:t>
      </w:r>
      <w:r w:rsidRPr="000D3BD6">
        <w:rPr>
          <w:rFonts w:cs="Arial"/>
          <w:szCs w:val="24"/>
          <w:u w:val="single"/>
        </w:rPr>
        <w:t xml:space="preserve">Intangible Plant </w:t>
      </w:r>
      <w:r w:rsidR="005A4ADA">
        <w:rPr>
          <w:rFonts w:cs="Arial"/>
          <w:szCs w:val="24"/>
          <w:u w:val="single"/>
        </w:rPr>
        <w:t>Accounts</w:t>
      </w:r>
      <w:r w:rsidRPr="000D3BD6">
        <w:rPr>
          <w:rFonts w:cs="Arial"/>
          <w:szCs w:val="24"/>
          <w:u w:val="single"/>
        </w:rPr>
        <w:t xml:space="preserve"> 301-303</w:t>
      </w:r>
      <w:r>
        <w:t>.</w:t>
      </w:r>
      <w:r w:rsidRPr="000A4C02">
        <w:t xml:space="preserve">  Finally, the Authority finds that </w:t>
      </w:r>
      <w:r>
        <w:t>all subaccounts within the meters description in the USOA are eligible to be included in the MRCC calculation.  To determine the portion of these accounts for residential non</w:t>
      </w:r>
      <w:r>
        <w:noBreakHyphen/>
        <w:t xml:space="preserve">heating customers, the Companies are directed to utilize direct assignment, </w:t>
      </w:r>
      <w:r w:rsidR="003A41BD">
        <w:t xml:space="preserve">and </w:t>
      </w:r>
      <w:r>
        <w:t>if direct assignment is not possible</w:t>
      </w:r>
      <w:r w:rsidR="003A41BD">
        <w:t>,</w:t>
      </w:r>
      <w:r>
        <w:t xml:space="preserve"> then cost allocation. </w:t>
      </w:r>
    </w:p>
    <w:p w14:paraId="3A9DDFA8" w14:textId="77777777" w:rsidR="00827D53" w:rsidRDefault="00827D53" w:rsidP="00827D53">
      <w:pPr>
        <w:ind w:firstLine="720"/>
        <w:jc w:val="both"/>
        <w:rPr>
          <w:rFonts w:cs="Arial"/>
          <w:szCs w:val="24"/>
        </w:rPr>
      </w:pPr>
    </w:p>
    <w:p w14:paraId="139B2C8C" w14:textId="77777777" w:rsidR="004E2171" w:rsidRDefault="006D47D9" w:rsidP="00E1092F">
      <w:pPr>
        <w:pStyle w:val="Heading3"/>
        <w:ind w:hanging="720"/>
        <w:jc w:val="both"/>
      </w:pPr>
      <w:bookmarkStart w:id="35" w:name="_Toc501528263"/>
      <w:r>
        <w:t>Service C</w:t>
      </w:r>
      <w:r w:rsidR="004E2171" w:rsidRPr="003A1298">
        <w:t>onnection</w:t>
      </w:r>
      <w:bookmarkEnd w:id="35"/>
    </w:p>
    <w:p w14:paraId="4308BF9D" w14:textId="77777777" w:rsidR="007D1F09" w:rsidRPr="007D1F09" w:rsidRDefault="007D1F09" w:rsidP="003E1168">
      <w:pPr>
        <w:jc w:val="both"/>
      </w:pPr>
    </w:p>
    <w:p w14:paraId="41ABD230" w14:textId="77777777" w:rsidR="007D1F09" w:rsidRDefault="007D1F09" w:rsidP="00827D53">
      <w:pPr>
        <w:pStyle w:val="Heading4"/>
        <w:tabs>
          <w:tab w:val="clear" w:pos="720"/>
        </w:tabs>
        <w:ind w:hanging="720"/>
        <w:jc w:val="both"/>
      </w:pPr>
      <w:bookmarkStart w:id="36" w:name="_Toc501528264"/>
      <w:r>
        <w:t>Position</w:t>
      </w:r>
      <w:r w:rsidR="00303236">
        <w:t>s</w:t>
      </w:r>
      <w:r>
        <w:t xml:space="preserve"> of the Parties</w:t>
      </w:r>
      <w:bookmarkEnd w:id="36"/>
    </w:p>
    <w:p w14:paraId="77AB4158" w14:textId="77777777" w:rsidR="00640ACE" w:rsidRDefault="00640ACE" w:rsidP="003E1168">
      <w:pPr>
        <w:ind w:firstLine="720"/>
        <w:jc w:val="both"/>
      </w:pPr>
    </w:p>
    <w:p w14:paraId="6F0595F5" w14:textId="1BA0EC36" w:rsidR="00827D53" w:rsidRDefault="00827D53" w:rsidP="00827D53">
      <w:pPr>
        <w:ind w:firstLine="720"/>
        <w:jc w:val="both"/>
        <w:rPr>
          <w:rFonts w:cs="Arial"/>
          <w:bCs/>
          <w:iCs/>
        </w:rPr>
      </w:pPr>
      <w:r>
        <w:t>T</w:t>
      </w:r>
      <w:r>
        <w:rPr>
          <w:rFonts w:cs="Arial"/>
          <w:bCs/>
          <w:iCs/>
        </w:rPr>
        <w:t xml:space="preserve">he OCC stated that the term “service connection” in </w:t>
      </w:r>
      <w:r w:rsidR="00561BD6">
        <w:t xml:space="preserve">Conn. Gen. Stat. </w:t>
      </w:r>
      <w:r w:rsidR="00A147B3">
        <w:rPr>
          <w:rFonts w:cs="Arial"/>
        </w:rPr>
        <w:t>§</w:t>
      </w:r>
      <w:r>
        <w:rPr>
          <w:rFonts w:cs="Arial"/>
          <w:bCs/>
          <w:iCs/>
        </w:rPr>
        <w:t>16</w:t>
      </w:r>
      <w:r w:rsidR="00561BD6">
        <w:rPr>
          <w:rFonts w:cs="Arial"/>
          <w:bCs/>
          <w:iCs/>
        </w:rPr>
        <w:noBreakHyphen/>
      </w:r>
      <w:r>
        <w:rPr>
          <w:rFonts w:cs="Arial"/>
          <w:bCs/>
          <w:iCs/>
        </w:rPr>
        <w:t>243bb refers to the service line (or service drop) that connects the meter to the transformer or the pole.  The OCC’s interpretation of that term would exclude distribution plant accounts other than the service line from the MRCC calculation.  Brief, p. 17.</w:t>
      </w:r>
    </w:p>
    <w:p w14:paraId="4456C8FF" w14:textId="77777777" w:rsidR="00827D53" w:rsidRDefault="00827D53" w:rsidP="00827D53">
      <w:pPr>
        <w:ind w:firstLine="720"/>
        <w:jc w:val="both"/>
      </w:pPr>
    </w:p>
    <w:p w14:paraId="5069B52E" w14:textId="6B761FE7" w:rsidR="00827D53" w:rsidRDefault="00827D53" w:rsidP="00827D53">
      <w:pPr>
        <w:ind w:firstLine="720"/>
        <w:jc w:val="both"/>
      </w:pPr>
      <w:r>
        <w:t xml:space="preserve">UI stated that </w:t>
      </w:r>
      <w:r w:rsidRPr="00264A84">
        <w:t>residential customers are typically connected to the electric distribution system through the service connection</w:t>
      </w:r>
      <w:r>
        <w:t xml:space="preserve">. </w:t>
      </w:r>
      <w:r w:rsidRPr="00264A84">
        <w:t xml:space="preserve"> </w:t>
      </w:r>
      <w:r>
        <w:t xml:space="preserve">The service connection </w:t>
      </w:r>
      <w:r w:rsidRPr="00264A84">
        <w:t>is a set of wires that connects the wiring in the customers dwelling, or other facility, with the secondary voltage system of the utility.</w:t>
      </w:r>
      <w:r>
        <w:t xml:space="preserve"> </w:t>
      </w:r>
      <w:r w:rsidRPr="00264A84">
        <w:t xml:space="preserve"> Overhead service connections are typically made from overhead distribution circuits, although a service connection could be made underground using a riser from the utility pole.  Underground service connections are typically made from underground distribution circuits.</w:t>
      </w:r>
      <w:r>
        <w:t xml:space="preserve">  UI asserted that most c</w:t>
      </w:r>
      <w:r w:rsidRPr="00264A84">
        <w:t>osts associated with residential service connections are fixed costs related to asset ownership</w:t>
      </w:r>
      <w:r>
        <w:t xml:space="preserve">.  In addition, there are additional O&amp;M costs </w:t>
      </w:r>
      <w:r w:rsidRPr="00264A84">
        <w:t xml:space="preserve">associated with </w:t>
      </w:r>
      <w:r>
        <w:t xml:space="preserve">service connections.  Operating expenses include the costs for </w:t>
      </w:r>
      <w:r w:rsidRPr="00264A84">
        <w:t xml:space="preserve">installing insulating sleeves so </w:t>
      </w:r>
      <w:r>
        <w:t xml:space="preserve">that </w:t>
      </w:r>
      <w:r w:rsidRPr="00264A84">
        <w:t xml:space="preserve">homeowners or their contractors can work safely around the service connections.  The most common maintenance </w:t>
      </w:r>
      <w:r>
        <w:t xml:space="preserve">expenses are the </w:t>
      </w:r>
      <w:r w:rsidRPr="00264A84">
        <w:t>cost</w:t>
      </w:r>
      <w:r>
        <w:t>s</w:t>
      </w:r>
      <w:r w:rsidRPr="00264A84">
        <w:t xml:space="preserve"> associated with reconnecting the service cable to the customer’s wiring at the mast head</w:t>
      </w:r>
      <w:r w:rsidR="00561BD6">
        <w:t>.  This</w:t>
      </w:r>
      <w:r w:rsidRPr="00264A84">
        <w:t xml:space="preserve"> may be necessary for </w:t>
      </w:r>
      <w:r>
        <w:t xml:space="preserve">reasons such as </w:t>
      </w:r>
      <w:r w:rsidRPr="00264A84">
        <w:t xml:space="preserve">a repair to the service </w:t>
      </w:r>
      <w:r>
        <w:t>drop wire that</w:t>
      </w:r>
      <w:r w:rsidRPr="00264A84">
        <w:t xml:space="preserve"> has detached from the customer wiring</w:t>
      </w:r>
      <w:r>
        <w:t>,</w:t>
      </w:r>
      <w:r w:rsidRPr="00264A84">
        <w:t xml:space="preserve"> or </w:t>
      </w:r>
      <w:r>
        <w:t xml:space="preserve">a </w:t>
      </w:r>
      <w:r w:rsidRPr="00264A84">
        <w:t>physical disconnection for non-payment.</w:t>
      </w:r>
      <w:r>
        <w:t xml:space="preserve">  Written Comments, pp. 11 and 12.  </w:t>
      </w:r>
      <w:r w:rsidR="00561BD6">
        <w:t xml:space="preserve">For purposes of Conn. Gen. Stat. </w:t>
      </w:r>
      <w:r w:rsidR="00561BD6">
        <w:rPr>
          <w:rFonts w:cs="Arial"/>
        </w:rPr>
        <w:t>§</w:t>
      </w:r>
      <w:r w:rsidR="00561BD6">
        <w:t xml:space="preserve">16-243bb, </w:t>
      </w:r>
      <w:r>
        <w:t xml:space="preserve">UI defined the includable costs for the </w:t>
      </w:r>
      <w:r>
        <w:lastRenderedPageBreak/>
        <w:t xml:space="preserve">service connection </w:t>
      </w:r>
      <w:r w:rsidR="00561BD6">
        <w:t xml:space="preserve">as the </w:t>
      </w:r>
      <w:r>
        <w:t>electric connection between the network distribution system and the customer facility, and all of the equipment and labor required to install, repair and maintain the electric connection.  Colca PFT, p. 7.</w:t>
      </w:r>
      <w:r w:rsidR="003F6BF8">
        <w:t xml:space="preserve">  </w:t>
      </w:r>
    </w:p>
    <w:p w14:paraId="3E565F7D" w14:textId="77777777" w:rsidR="00347BF6" w:rsidRDefault="00347BF6" w:rsidP="00827D53">
      <w:pPr>
        <w:ind w:firstLine="720"/>
        <w:jc w:val="both"/>
      </w:pPr>
    </w:p>
    <w:p w14:paraId="16F4437A" w14:textId="334025BD" w:rsidR="00827D53" w:rsidRDefault="00827D53" w:rsidP="00827D53">
      <w:pPr>
        <w:ind w:firstLine="720"/>
        <w:jc w:val="both"/>
        <w:rPr>
          <w:rFonts w:cs="Arial"/>
          <w:bCs/>
          <w:iCs/>
        </w:rPr>
      </w:pPr>
      <w:r>
        <w:t>CL&amp;P contended that the MRCC</w:t>
      </w:r>
      <w:r w:rsidR="00561BD6">
        <w:t xml:space="preserve"> </w:t>
      </w:r>
      <w:r>
        <w:t>includable costs of the service connection to encompass the costs of the service line and conductors, poles, and transformers.  Response to Interrogatory RA</w:t>
      </w:r>
      <w:r>
        <w:noBreakHyphen/>
        <w:t xml:space="preserve">25.  The company also identified as includable several types of activities related to the service connection function, covering service connection activities, service design activities, installation of equipment, and stores activities to stock and provide equipment necessary to install the service.  Written Comments, p. 4.  </w:t>
      </w:r>
      <w:r>
        <w:rPr>
          <w:rFonts w:cs="Arial"/>
          <w:bCs/>
          <w:iCs/>
        </w:rPr>
        <w:t>CL&amp;P included distribution plant costs associated with the service connection function for distribution plant that is upstream from the customer’s service wire connection in its COSS</w:t>
      </w:r>
      <w:bookmarkStart w:id="37" w:name="_Hlk498574808"/>
      <w:r>
        <w:rPr>
          <w:rFonts w:cs="Arial"/>
          <w:bCs/>
          <w:iCs/>
        </w:rPr>
        <w:t xml:space="preserve">.  </w:t>
      </w:r>
      <w:r w:rsidRPr="007A27AA">
        <w:rPr>
          <w:rFonts w:cs="Arial"/>
          <w:color w:val="000000"/>
          <w:szCs w:val="24"/>
        </w:rPr>
        <w:t>Late Filed Exhibit No. 9</w:t>
      </w:r>
      <w:bookmarkEnd w:id="37"/>
      <w:r>
        <w:rPr>
          <w:rFonts w:cs="Arial"/>
          <w:color w:val="000000"/>
          <w:szCs w:val="24"/>
        </w:rPr>
        <w:t>, Attachment 1, p.1.</w:t>
      </w:r>
    </w:p>
    <w:p w14:paraId="33CD5D11" w14:textId="77777777" w:rsidR="00827D53" w:rsidRDefault="00827D53" w:rsidP="00827D53">
      <w:pPr>
        <w:ind w:firstLine="720"/>
        <w:jc w:val="both"/>
        <w:rPr>
          <w:rFonts w:cs="Arial"/>
          <w:bCs/>
          <w:iCs/>
        </w:rPr>
      </w:pPr>
    </w:p>
    <w:p w14:paraId="68781310" w14:textId="50D37896" w:rsidR="00827D53" w:rsidRPr="00827D53" w:rsidRDefault="00827D53" w:rsidP="00827D53">
      <w:pPr>
        <w:ind w:firstLine="720"/>
        <w:jc w:val="both"/>
        <w:rPr>
          <w:rFonts w:cs="Arial"/>
          <w:bCs/>
          <w:iCs/>
        </w:rPr>
      </w:pPr>
      <w:r>
        <w:rPr>
          <w:rFonts w:cs="Arial"/>
          <w:bCs/>
          <w:iCs/>
        </w:rPr>
        <w:t>Subsequently, CL&amp;P proposed an alternative methodology that removes the primary plant facilities costs</w:t>
      </w:r>
      <w:r w:rsidR="00561BD6">
        <w:rPr>
          <w:rFonts w:cs="Arial"/>
          <w:bCs/>
          <w:iCs/>
        </w:rPr>
        <w:t>,</w:t>
      </w:r>
      <w:r>
        <w:rPr>
          <w:rFonts w:cs="Arial"/>
          <w:bCs/>
          <w:iCs/>
        </w:rPr>
        <w:t xml:space="preserve"> such as poles and transformers</w:t>
      </w:r>
      <w:r w:rsidR="00561BD6">
        <w:rPr>
          <w:rFonts w:cs="Arial"/>
          <w:bCs/>
          <w:iCs/>
        </w:rPr>
        <w:t>,</w:t>
      </w:r>
      <w:r>
        <w:rPr>
          <w:rFonts w:cs="Arial"/>
          <w:bCs/>
          <w:iCs/>
        </w:rPr>
        <w:t xml:space="preserve"> from the MRCC calculation.</w:t>
      </w:r>
      <w:r w:rsidR="00561BD6">
        <w:rPr>
          <w:rFonts w:cs="Arial"/>
          <w:bCs/>
          <w:iCs/>
        </w:rPr>
        <w:t xml:space="preserve"> </w:t>
      </w:r>
      <w:r>
        <w:rPr>
          <w:rFonts w:cs="Arial"/>
          <w:bCs/>
          <w:iCs/>
        </w:rPr>
        <w:t xml:space="preserve"> </w:t>
      </w:r>
      <w:r w:rsidRPr="007A27AA">
        <w:rPr>
          <w:rFonts w:cs="Arial"/>
          <w:color w:val="000000"/>
          <w:szCs w:val="24"/>
        </w:rPr>
        <w:t xml:space="preserve">Late Filed Exhibit No. </w:t>
      </w:r>
      <w:r>
        <w:rPr>
          <w:rFonts w:cs="Arial"/>
          <w:color w:val="000000"/>
          <w:szCs w:val="24"/>
        </w:rPr>
        <w:t xml:space="preserve">8. </w:t>
      </w:r>
      <w:r>
        <w:rPr>
          <w:rFonts w:cs="Arial"/>
          <w:bCs/>
          <w:iCs/>
        </w:rPr>
        <w:t xml:space="preserve"> CL&amp;P’s rationale for excluding these costs is that typically, </w:t>
      </w:r>
      <w:r w:rsidRPr="00827D53">
        <w:rPr>
          <w:rFonts w:cs="Arial"/>
          <w:bCs/>
          <w:iCs/>
        </w:rPr>
        <w:t xml:space="preserve">primary underground and overhead lines are farthest from a customer’s service connection to the meter.  CL&amp;P stated </w:t>
      </w:r>
      <w:r w:rsidR="00561BD6">
        <w:rPr>
          <w:rFonts w:cs="Arial"/>
          <w:bCs/>
          <w:iCs/>
        </w:rPr>
        <w:t xml:space="preserve">that removing these costs </w:t>
      </w:r>
      <w:r w:rsidRPr="00827D53">
        <w:rPr>
          <w:rFonts w:cs="Arial"/>
          <w:bCs/>
          <w:iCs/>
        </w:rPr>
        <w:t>would have to be tested to determine if the impact resulted in just, reasonable and non</w:t>
      </w:r>
      <w:r w:rsidRPr="00827D53">
        <w:rPr>
          <w:rFonts w:cs="Arial"/>
          <w:bCs/>
          <w:iCs/>
        </w:rPr>
        <w:noBreakHyphen/>
        <w:t>discriminatory rates.  Although CL&amp;P removed these costs in their response to Late</w:t>
      </w:r>
      <w:r w:rsidR="00561BD6">
        <w:rPr>
          <w:rFonts w:cs="Arial"/>
          <w:bCs/>
          <w:iCs/>
        </w:rPr>
        <w:t xml:space="preserve"> F</w:t>
      </w:r>
      <w:r w:rsidRPr="00827D53">
        <w:rPr>
          <w:rFonts w:cs="Arial"/>
          <w:bCs/>
          <w:iCs/>
        </w:rPr>
        <w:t>iled Exhibit No. 8, the company maintained that these costs should be includable in the MRCC calculation as directly related to the service connection function.  Brief</w:t>
      </w:r>
      <w:r w:rsidR="00561BD6">
        <w:rPr>
          <w:rFonts w:cs="Arial"/>
          <w:bCs/>
          <w:iCs/>
        </w:rPr>
        <w:t>,</w:t>
      </w:r>
      <w:r w:rsidRPr="00827D53">
        <w:rPr>
          <w:rFonts w:cs="Arial"/>
          <w:bCs/>
          <w:iCs/>
        </w:rPr>
        <w:t xml:space="preserve"> pp. 14 and 15. </w:t>
      </w:r>
    </w:p>
    <w:p w14:paraId="61804E5D" w14:textId="77777777" w:rsidR="00827D53" w:rsidRPr="00827D53" w:rsidRDefault="00827D53" w:rsidP="00827D53">
      <w:pPr>
        <w:ind w:firstLine="720"/>
        <w:jc w:val="both"/>
        <w:rPr>
          <w:rFonts w:cs="Arial"/>
          <w:bCs/>
          <w:iCs/>
        </w:rPr>
      </w:pPr>
    </w:p>
    <w:p w14:paraId="124B21CD" w14:textId="77777777" w:rsidR="00827D53" w:rsidRPr="00827D53" w:rsidRDefault="00827D53" w:rsidP="00827D53">
      <w:pPr>
        <w:pStyle w:val="Heading4"/>
        <w:tabs>
          <w:tab w:val="clear" w:pos="720"/>
          <w:tab w:val="clear" w:pos="2520"/>
        </w:tabs>
        <w:ind w:hanging="720"/>
        <w:jc w:val="both"/>
      </w:pPr>
      <w:bookmarkStart w:id="38" w:name="_Toc499050479"/>
      <w:bookmarkStart w:id="39" w:name="_Toc501528265"/>
      <w:r w:rsidRPr="00827D53">
        <w:t>Discussion</w:t>
      </w:r>
      <w:bookmarkEnd w:id="38"/>
      <w:bookmarkEnd w:id="39"/>
    </w:p>
    <w:p w14:paraId="675C6B0B" w14:textId="77777777" w:rsidR="00827D53" w:rsidRPr="00827D53" w:rsidRDefault="00827D53" w:rsidP="00827D53">
      <w:pPr>
        <w:jc w:val="both"/>
      </w:pPr>
    </w:p>
    <w:p w14:paraId="2DEAB7C4" w14:textId="77777777" w:rsidR="00996BFE" w:rsidRDefault="00827D53" w:rsidP="000844FD">
      <w:pPr>
        <w:ind w:firstLine="720"/>
        <w:jc w:val="both"/>
        <w:rPr>
          <w:rFonts w:cs="Arial"/>
          <w:bCs/>
          <w:iCs/>
        </w:rPr>
      </w:pPr>
      <w:r w:rsidRPr="00827D53">
        <w:t>The Authority agrees with UI and the OCC that the statutory service connection function refers to the service line or drop that connects the network distribution system to the customer’s facilities, and does not extend to upstream distribution plant such as conductors, poles, and transformers.  In the context of the statutory language, the Authority is not persuaded by CL&amp;P’s argument</w:t>
      </w:r>
      <w:r w:rsidR="003A41BD">
        <w:t>,</w:t>
      </w:r>
      <w:r w:rsidRPr="00827D53">
        <w:t xml:space="preserve"> </w:t>
      </w:r>
      <w:r w:rsidR="005A4ADA">
        <w:t xml:space="preserve">stated </w:t>
      </w:r>
      <w:r w:rsidR="003A41BD" w:rsidRPr="00827D53">
        <w:t>in its response to Interrogatory RA</w:t>
      </w:r>
      <w:r w:rsidR="003A41BD" w:rsidRPr="00827D53">
        <w:noBreakHyphen/>
        <w:t>25</w:t>
      </w:r>
      <w:r w:rsidR="003A41BD">
        <w:t xml:space="preserve">, </w:t>
      </w:r>
      <w:r w:rsidRPr="00827D53">
        <w:t>that the service connection cannot be read as equivalent to a service drop.  Terms that would have signified a broader scope of equipment than just the service line, such as “minimum system distribution plant,” were not utilized in Conn. Gen. Stat.</w:t>
      </w:r>
      <w:r w:rsidRPr="00827D53">
        <w:rPr>
          <w:rFonts w:cs="Arial"/>
          <w:bCs/>
          <w:iCs/>
        </w:rPr>
        <w:t xml:space="preserve"> §16</w:t>
      </w:r>
      <w:r w:rsidRPr="00827D53">
        <w:rPr>
          <w:rFonts w:cs="Arial"/>
          <w:bCs/>
          <w:iCs/>
        </w:rPr>
        <w:noBreakHyphen/>
        <w:t xml:space="preserve">243bb.  Moreover, it is reasonable to interpret </w:t>
      </w:r>
      <w:r w:rsidR="0047305C">
        <w:t xml:space="preserve">Conn. Gen. Stat. </w:t>
      </w:r>
      <w:r w:rsidR="005A507C">
        <w:rPr>
          <w:rFonts w:cs="Arial"/>
          <w:bCs/>
          <w:iCs/>
        </w:rPr>
        <w:t>§</w:t>
      </w:r>
      <w:r w:rsidR="002662C5">
        <w:rPr>
          <w:rFonts w:cs="Arial"/>
          <w:bCs/>
          <w:iCs/>
        </w:rPr>
        <w:t>16-</w:t>
      </w:r>
      <w:r w:rsidRPr="00827D53">
        <w:rPr>
          <w:rFonts w:cs="Arial"/>
          <w:bCs/>
          <w:iCs/>
        </w:rPr>
        <w:t>243bb’s limiting purpose to constrain the MDCC</w:t>
      </w:r>
      <w:r w:rsidR="0047305C">
        <w:rPr>
          <w:rFonts w:cs="Arial"/>
          <w:bCs/>
          <w:iCs/>
        </w:rPr>
        <w:t xml:space="preserve"> </w:t>
      </w:r>
      <w:r w:rsidRPr="00827D53">
        <w:rPr>
          <w:rFonts w:cs="Arial"/>
          <w:bCs/>
          <w:iCs/>
        </w:rPr>
        <w:t xml:space="preserve">includable costs for service connection to those that have a predominantly one-to-one relationship between the customer and the equipment, and are therefore more “directly related” to the customer.  </w:t>
      </w:r>
    </w:p>
    <w:p w14:paraId="1DB2D67F" w14:textId="77777777" w:rsidR="00996BFE" w:rsidRDefault="00996BFE" w:rsidP="000844FD">
      <w:pPr>
        <w:ind w:firstLine="720"/>
        <w:jc w:val="both"/>
        <w:rPr>
          <w:rFonts w:cs="Arial"/>
          <w:bCs/>
          <w:iCs/>
        </w:rPr>
      </w:pPr>
    </w:p>
    <w:p w14:paraId="1627476D" w14:textId="07928E97" w:rsidR="00DA7F7D" w:rsidRDefault="00827D53" w:rsidP="000844FD">
      <w:pPr>
        <w:ind w:firstLine="720"/>
        <w:jc w:val="both"/>
        <w:rPr>
          <w:rFonts w:cs="Arial"/>
          <w:bCs/>
          <w:iCs/>
        </w:rPr>
      </w:pPr>
      <w:r w:rsidRPr="00827D53">
        <w:rPr>
          <w:rFonts w:cs="Arial"/>
          <w:bCs/>
          <w:iCs/>
        </w:rPr>
        <w:t>A one-to-one relationship generally exists between the service line and the customer.  Both EDCs testified that there is not necessarily a one</w:t>
      </w:r>
      <w:r w:rsidRPr="00827D53">
        <w:rPr>
          <w:rFonts w:cs="Arial"/>
          <w:bCs/>
          <w:iCs/>
        </w:rPr>
        <w:noBreakHyphen/>
        <w:t xml:space="preserve">to-one relationship between poles, transformers, or conductors to residential customers. </w:t>
      </w:r>
      <w:r w:rsidR="00A147B3">
        <w:rPr>
          <w:rFonts w:cs="Arial"/>
          <w:bCs/>
          <w:iCs/>
        </w:rPr>
        <w:t xml:space="preserve"> </w:t>
      </w:r>
      <w:r w:rsidRPr="00827D53">
        <w:rPr>
          <w:rFonts w:cs="Arial"/>
          <w:bCs/>
          <w:iCs/>
        </w:rPr>
        <w:t>Tr. 08/16/17 pp. 127-130</w:t>
      </w:r>
      <w:r w:rsidR="0047305C">
        <w:rPr>
          <w:rFonts w:cs="Arial"/>
          <w:bCs/>
          <w:iCs/>
        </w:rPr>
        <w:t>;</w:t>
      </w:r>
      <w:r w:rsidRPr="00827D53">
        <w:rPr>
          <w:rFonts w:cs="Arial"/>
          <w:bCs/>
          <w:iCs/>
        </w:rPr>
        <w:t xml:space="preserve"> Tr. 08/17/17</w:t>
      </w:r>
      <w:r w:rsidR="0047305C">
        <w:rPr>
          <w:rFonts w:cs="Arial"/>
          <w:bCs/>
          <w:iCs/>
        </w:rPr>
        <w:t>,</w:t>
      </w:r>
      <w:r w:rsidRPr="00827D53">
        <w:rPr>
          <w:rFonts w:cs="Arial"/>
          <w:bCs/>
          <w:iCs/>
        </w:rPr>
        <w:t xml:space="preserve"> pp. 264 and 265.  The Authority finds that the general one-to-one relationship for network plant for the service connection function provides a reasonable guideline to determine the scope of includable plant and costs for this function.</w:t>
      </w:r>
      <w:r>
        <w:rPr>
          <w:rFonts w:cs="Arial"/>
          <w:bCs/>
          <w:iCs/>
        </w:rPr>
        <w:t xml:space="preserve">  </w:t>
      </w:r>
    </w:p>
    <w:p w14:paraId="2339174C" w14:textId="77777777" w:rsidR="00DA7F7D" w:rsidRDefault="00DA7F7D" w:rsidP="000844FD">
      <w:pPr>
        <w:ind w:firstLine="720"/>
        <w:jc w:val="both"/>
        <w:rPr>
          <w:rFonts w:cs="Arial"/>
          <w:bCs/>
          <w:iCs/>
        </w:rPr>
      </w:pPr>
    </w:p>
    <w:p w14:paraId="779D5162" w14:textId="382BF359" w:rsidR="006150E1" w:rsidRDefault="00ED7EBF" w:rsidP="000844FD">
      <w:pPr>
        <w:ind w:firstLine="720"/>
        <w:jc w:val="both"/>
        <w:rPr>
          <w:rFonts w:cs="Arial"/>
          <w:szCs w:val="24"/>
        </w:rPr>
      </w:pPr>
      <w:r>
        <w:rPr>
          <w:rFonts w:cs="Arial"/>
          <w:szCs w:val="24"/>
        </w:rPr>
        <w:t xml:space="preserve">In its written exceptions, CL&amp;P stated that the Authority did not adequately address why the PURA rejected inclusion of FERC </w:t>
      </w:r>
      <w:r w:rsidR="002A352A">
        <w:rPr>
          <w:rFonts w:cs="Arial"/>
          <w:szCs w:val="24"/>
        </w:rPr>
        <w:t>A</w:t>
      </w:r>
      <w:r>
        <w:rPr>
          <w:rFonts w:cs="Arial"/>
          <w:szCs w:val="24"/>
        </w:rPr>
        <w:t xml:space="preserve">ccounts 364-368 in the MRCC calculation. </w:t>
      </w:r>
      <w:r w:rsidR="002A352A">
        <w:rPr>
          <w:rFonts w:cs="Arial"/>
          <w:szCs w:val="24"/>
        </w:rPr>
        <w:t xml:space="preserve"> Written Exceptions, pp. 1-3.  </w:t>
      </w:r>
      <w:r w:rsidR="006150E1">
        <w:rPr>
          <w:rFonts w:cs="Arial"/>
          <w:szCs w:val="24"/>
        </w:rPr>
        <w:t xml:space="preserve">The Authority provides the reasons for its </w:t>
      </w:r>
      <w:r w:rsidR="006150E1">
        <w:rPr>
          <w:rFonts w:cs="Arial"/>
          <w:szCs w:val="24"/>
        </w:rPr>
        <w:lastRenderedPageBreak/>
        <w:t xml:space="preserve">determinations regarding includable service connections costs in </w:t>
      </w:r>
      <w:r w:rsidR="006150E1" w:rsidRPr="00CB7DA6">
        <w:rPr>
          <w:rFonts w:cs="Arial"/>
          <w:szCs w:val="24"/>
        </w:rPr>
        <w:t>Section III.A.4.b.</w:t>
      </w:r>
      <w:r w:rsidR="006150E1">
        <w:rPr>
          <w:rFonts w:cs="Arial"/>
          <w:szCs w:val="24"/>
        </w:rPr>
        <w:t xml:space="preserve"> </w:t>
      </w:r>
      <w:r w:rsidR="002A352A" w:rsidRPr="000844FD">
        <w:rPr>
          <w:rFonts w:cs="Arial"/>
          <w:szCs w:val="24"/>
          <w:u w:val="single"/>
        </w:rPr>
        <w:t>Service Connections Discussion</w:t>
      </w:r>
      <w:r w:rsidR="006150E1">
        <w:rPr>
          <w:rFonts w:cs="Arial"/>
          <w:szCs w:val="24"/>
        </w:rPr>
        <w:t xml:space="preserve">.  </w:t>
      </w:r>
      <w:r w:rsidR="006150E1" w:rsidRPr="006150E1">
        <w:rPr>
          <w:rFonts w:eastAsiaTheme="minorHAnsi" w:cs="Arial"/>
          <w:szCs w:val="24"/>
        </w:rPr>
        <w:t>The Authority finds that the language of the statute is plain and unambiguous.  Under the rules of statutory construction, the Authority shall not examine any of the legislative history for purposes of interpreting the meaning of the statute.  See State v. Ruocco, 151 Conn. App. 732, 752-53 (2014) (extratextual evidence such as legislative history shall not be considered if statutory terms are plain and unambiguous); see also Kinsey v. Pacific Employers Ins. Co., 277 Conn. 398, 405 (2006).</w:t>
      </w:r>
      <w:r w:rsidR="006150E1">
        <w:rPr>
          <w:rFonts w:eastAsiaTheme="minorHAnsi" w:cs="Arial"/>
          <w:szCs w:val="24"/>
        </w:rPr>
        <w:t xml:space="preserve">  </w:t>
      </w:r>
      <w:r w:rsidR="00835666">
        <w:rPr>
          <w:rFonts w:eastAsiaTheme="minorHAnsi" w:cs="Arial"/>
          <w:szCs w:val="24"/>
        </w:rPr>
        <w:t xml:space="preserve">In its analysis in Section </w:t>
      </w:r>
      <w:r w:rsidR="00835666" w:rsidRPr="00CB7DA6">
        <w:rPr>
          <w:rFonts w:cs="Arial"/>
          <w:szCs w:val="24"/>
        </w:rPr>
        <w:t>III.A.4.b.</w:t>
      </w:r>
      <w:r w:rsidR="00835666">
        <w:rPr>
          <w:rFonts w:cs="Arial"/>
          <w:szCs w:val="24"/>
        </w:rPr>
        <w:t xml:space="preserve"> </w:t>
      </w:r>
      <w:r w:rsidR="006150E1">
        <w:rPr>
          <w:rFonts w:cs="Arial"/>
          <w:szCs w:val="24"/>
        </w:rPr>
        <w:t>above</w:t>
      </w:r>
      <w:r w:rsidR="00835666">
        <w:rPr>
          <w:rFonts w:cs="Arial"/>
          <w:szCs w:val="24"/>
        </w:rPr>
        <w:t>, the Authority</w:t>
      </w:r>
      <w:r w:rsidR="006150E1">
        <w:rPr>
          <w:rFonts w:cs="Arial"/>
          <w:szCs w:val="24"/>
        </w:rPr>
        <w:t xml:space="preserve"> explains the basis for rejecting CL&amp;P’s claim and making its determination.  Furthermore, the record contains ample evidence to support the Authority’s conclusions regarding Accounts 364 to 368.  </w:t>
      </w:r>
      <w:r w:rsidR="006150E1" w:rsidRPr="008A1651">
        <w:rPr>
          <w:rFonts w:cs="Arial"/>
          <w:szCs w:val="24"/>
        </w:rPr>
        <w:t xml:space="preserve">UI </w:t>
      </w:r>
      <w:r w:rsidR="006150E1">
        <w:rPr>
          <w:rFonts w:cs="Arial"/>
          <w:szCs w:val="24"/>
        </w:rPr>
        <w:t xml:space="preserve">testified that General Plant costs contained Accounts 364 to 368 are not includable as costs directly related to customer service connections.  </w:t>
      </w:r>
      <w:r w:rsidR="006150E1" w:rsidRPr="008A1651">
        <w:rPr>
          <w:rFonts w:cs="Arial"/>
          <w:szCs w:val="24"/>
        </w:rPr>
        <w:t xml:space="preserve">Tr. </w:t>
      </w:r>
      <w:r w:rsidR="00835666">
        <w:rPr>
          <w:rFonts w:cs="Arial"/>
          <w:szCs w:val="24"/>
        </w:rPr>
        <w:t>8/16/17, pp.</w:t>
      </w:r>
      <w:r w:rsidR="006150E1" w:rsidRPr="008A1651">
        <w:rPr>
          <w:rFonts w:cs="Arial"/>
          <w:szCs w:val="24"/>
        </w:rPr>
        <w:t xml:space="preserve"> 52</w:t>
      </w:r>
      <w:r w:rsidR="00835666">
        <w:rPr>
          <w:rFonts w:cs="Arial"/>
          <w:szCs w:val="24"/>
        </w:rPr>
        <w:t>;</w:t>
      </w:r>
      <w:r w:rsidR="006150E1">
        <w:rPr>
          <w:rFonts w:cs="Arial"/>
          <w:szCs w:val="24"/>
        </w:rPr>
        <w:t xml:space="preserve"> </w:t>
      </w:r>
      <w:r w:rsidR="006150E1" w:rsidRPr="008A1651">
        <w:rPr>
          <w:rFonts w:cs="Arial"/>
          <w:szCs w:val="24"/>
        </w:rPr>
        <w:t>54</w:t>
      </w:r>
      <w:r w:rsidR="00A147B3">
        <w:rPr>
          <w:rFonts w:cs="Arial"/>
          <w:szCs w:val="24"/>
        </w:rPr>
        <w:t xml:space="preserve"> and </w:t>
      </w:r>
      <w:r w:rsidR="006150E1" w:rsidRPr="008A1651">
        <w:rPr>
          <w:rFonts w:cs="Arial"/>
          <w:szCs w:val="24"/>
        </w:rPr>
        <w:t>70.</w:t>
      </w:r>
    </w:p>
    <w:p w14:paraId="6A2CAA8F" w14:textId="77777777" w:rsidR="006150E1" w:rsidRDefault="006150E1" w:rsidP="000844FD">
      <w:pPr>
        <w:ind w:firstLine="720"/>
        <w:jc w:val="both"/>
        <w:rPr>
          <w:rFonts w:cs="Arial"/>
          <w:szCs w:val="24"/>
        </w:rPr>
      </w:pPr>
    </w:p>
    <w:p w14:paraId="3CF27711" w14:textId="36CFBE4D" w:rsidR="006150E1" w:rsidRPr="00592694" w:rsidRDefault="006150E1" w:rsidP="000844FD">
      <w:pPr>
        <w:pStyle w:val="ListParagraph"/>
        <w:ind w:left="0" w:firstLine="720"/>
        <w:jc w:val="both"/>
        <w:rPr>
          <w:rFonts w:cs="Arial"/>
          <w:szCs w:val="24"/>
        </w:rPr>
      </w:pPr>
      <w:r>
        <w:rPr>
          <w:rFonts w:cs="Arial"/>
          <w:szCs w:val="24"/>
        </w:rPr>
        <w:t>The D</w:t>
      </w:r>
      <w:r w:rsidRPr="00592694">
        <w:rPr>
          <w:rFonts w:cs="Arial"/>
          <w:szCs w:val="24"/>
        </w:rPr>
        <w:t xml:space="preserve">ecision </w:t>
      </w:r>
      <w:r w:rsidR="00D37CE8">
        <w:rPr>
          <w:rFonts w:cs="Arial"/>
          <w:szCs w:val="24"/>
        </w:rPr>
        <w:t xml:space="preserve">dated December 14, 1982, </w:t>
      </w:r>
      <w:r w:rsidRPr="00592694">
        <w:rPr>
          <w:rFonts w:cs="Arial"/>
          <w:szCs w:val="24"/>
        </w:rPr>
        <w:t>in Docket No. 82-08-06</w:t>
      </w:r>
      <w:r w:rsidR="00D37CE8">
        <w:rPr>
          <w:rFonts w:cs="Arial"/>
          <w:szCs w:val="24"/>
        </w:rPr>
        <w:t xml:space="preserve">, </w:t>
      </w:r>
      <w:r w:rsidR="00D37CE8" w:rsidRPr="000844FD">
        <w:rPr>
          <w:rFonts w:cs="Arial"/>
          <w:szCs w:val="24"/>
          <w:u w:val="single"/>
        </w:rPr>
        <w:t>General Investigation into Electric Company Residential Customer Service Charges</w:t>
      </w:r>
      <w:r w:rsidR="00D37CE8">
        <w:rPr>
          <w:rFonts w:cs="Arial"/>
          <w:szCs w:val="24"/>
        </w:rPr>
        <w:t xml:space="preserve"> (1982 Decision),</w:t>
      </w:r>
      <w:r>
        <w:rPr>
          <w:rFonts w:cs="Arial"/>
          <w:szCs w:val="24"/>
        </w:rPr>
        <w:t xml:space="preserve"> addressed the types of costs that “may” be included in the customer service charge.  While that Decision does state that some portion of the overall distribution system costs can be considered “</w:t>
      </w:r>
      <w:r w:rsidRPr="00592694">
        <w:rPr>
          <w:rFonts w:cs="Arial"/>
          <w:szCs w:val="24"/>
        </w:rPr>
        <w:t>customer related</w:t>
      </w:r>
      <w:r>
        <w:rPr>
          <w:rFonts w:cs="Arial"/>
          <w:szCs w:val="24"/>
        </w:rPr>
        <w:t>”</w:t>
      </w:r>
      <w:r w:rsidRPr="00592694">
        <w:rPr>
          <w:rFonts w:cs="Arial"/>
          <w:szCs w:val="24"/>
        </w:rPr>
        <w:t xml:space="preserve"> </w:t>
      </w:r>
      <w:r>
        <w:rPr>
          <w:rFonts w:cs="Arial"/>
          <w:szCs w:val="24"/>
        </w:rPr>
        <w:t>and “</w:t>
      </w:r>
      <w:r w:rsidRPr="00592694">
        <w:rPr>
          <w:rFonts w:cs="Arial"/>
          <w:szCs w:val="24"/>
        </w:rPr>
        <w:t>can b</w:t>
      </w:r>
      <w:r>
        <w:rPr>
          <w:rFonts w:cs="Arial"/>
          <w:szCs w:val="24"/>
        </w:rPr>
        <w:t>e included in a customer charge</w:t>
      </w:r>
      <w:r w:rsidR="00F6644C">
        <w:rPr>
          <w:rFonts w:cs="Arial"/>
          <w:szCs w:val="24"/>
        </w:rPr>
        <w:t>,</w:t>
      </w:r>
      <w:r>
        <w:rPr>
          <w:rFonts w:cs="Arial"/>
          <w:szCs w:val="24"/>
        </w:rPr>
        <w:t xml:space="preserve">” the Decision distinguished these “less direct” types of general distribution system costs from “direct” customer costs for expense accounts, metering and service drops.  The Decision also recognized that customer cost quantification of the customer portion of general distribution system facilities is very difficult.  </w:t>
      </w:r>
      <w:r w:rsidR="00D37CE8">
        <w:rPr>
          <w:rFonts w:cs="Arial"/>
          <w:szCs w:val="24"/>
        </w:rPr>
        <w:t xml:space="preserve">1982 Decision, </w:t>
      </w:r>
      <w:r>
        <w:rPr>
          <w:rFonts w:cs="Arial"/>
          <w:szCs w:val="24"/>
        </w:rPr>
        <w:t>pp. 3</w:t>
      </w:r>
      <w:r w:rsidR="00A147B3">
        <w:rPr>
          <w:rFonts w:cs="Arial"/>
          <w:szCs w:val="24"/>
        </w:rPr>
        <w:t xml:space="preserve"> and </w:t>
      </w:r>
      <w:r>
        <w:rPr>
          <w:rFonts w:cs="Arial"/>
          <w:szCs w:val="24"/>
        </w:rPr>
        <w:t xml:space="preserve">4.  Since Conn. Gen. Stat. </w:t>
      </w:r>
      <w:r w:rsidR="00D37CE8">
        <w:rPr>
          <w:rFonts w:cs="Arial"/>
          <w:szCs w:val="24"/>
        </w:rPr>
        <w:t>§</w:t>
      </w:r>
      <w:r>
        <w:rPr>
          <w:rFonts w:cs="Arial"/>
          <w:szCs w:val="24"/>
        </w:rPr>
        <w:t xml:space="preserve">16-243bb now limits cost recovery under the customer charge to service connection costs directly-related to service connections, the Authority finds costs must be not just be “customer related” to be recovered through the customer charge but that the costs must be “directly related” to a customer’s service connection.  Applying the standard required by </w:t>
      </w:r>
      <w:r w:rsidRPr="006E677E">
        <w:rPr>
          <w:rFonts w:cs="Arial"/>
          <w:szCs w:val="24"/>
        </w:rPr>
        <w:t xml:space="preserve">Conn. Gen. Stat. </w:t>
      </w:r>
      <w:r w:rsidR="00D37CE8">
        <w:rPr>
          <w:rFonts w:cs="Arial"/>
          <w:szCs w:val="24"/>
        </w:rPr>
        <w:t>§</w:t>
      </w:r>
      <w:r w:rsidRPr="006E677E">
        <w:rPr>
          <w:rFonts w:cs="Arial"/>
          <w:szCs w:val="24"/>
        </w:rPr>
        <w:t>16-243bb</w:t>
      </w:r>
      <w:r>
        <w:rPr>
          <w:rFonts w:cs="Arial"/>
          <w:szCs w:val="24"/>
        </w:rPr>
        <w:t>, the Authority finds, for the reasons articulated in Section III.A.4.b.</w:t>
      </w:r>
      <w:r w:rsidR="00150B0E">
        <w:rPr>
          <w:rFonts w:cs="Arial"/>
          <w:szCs w:val="24"/>
        </w:rPr>
        <w:t xml:space="preserve"> </w:t>
      </w:r>
      <w:r w:rsidR="00D47802" w:rsidRPr="00F54B08">
        <w:rPr>
          <w:rFonts w:cs="Arial"/>
          <w:szCs w:val="24"/>
          <w:u w:val="single"/>
        </w:rPr>
        <w:t xml:space="preserve">Discussion on </w:t>
      </w:r>
      <w:r w:rsidR="00150B0E" w:rsidRPr="00F54B08">
        <w:rPr>
          <w:rFonts w:cs="Arial"/>
          <w:szCs w:val="24"/>
          <w:u w:val="single"/>
        </w:rPr>
        <w:t>Service</w:t>
      </w:r>
      <w:r w:rsidR="00150B0E" w:rsidRPr="00D47802">
        <w:rPr>
          <w:rFonts w:cs="Arial"/>
          <w:szCs w:val="24"/>
          <w:u w:val="single"/>
        </w:rPr>
        <w:t xml:space="preserve"> Connections</w:t>
      </w:r>
      <w:r>
        <w:rPr>
          <w:rFonts w:cs="Arial"/>
          <w:szCs w:val="24"/>
        </w:rPr>
        <w:t xml:space="preserve">, that general distribution system costs for </w:t>
      </w:r>
      <w:r w:rsidR="00D37CE8">
        <w:rPr>
          <w:rFonts w:cs="Arial"/>
          <w:szCs w:val="24"/>
        </w:rPr>
        <w:t xml:space="preserve">the </w:t>
      </w:r>
      <w:r>
        <w:rPr>
          <w:rFonts w:cs="Arial"/>
          <w:szCs w:val="24"/>
        </w:rPr>
        <w:t xml:space="preserve">items contained in Accounts 364 to 368, such as poles, transformers, </w:t>
      </w:r>
      <w:r w:rsidR="00D37CE8">
        <w:rPr>
          <w:rFonts w:cs="Arial"/>
          <w:szCs w:val="24"/>
        </w:rPr>
        <w:t xml:space="preserve">and </w:t>
      </w:r>
      <w:r w:rsidRPr="006E677E">
        <w:rPr>
          <w:rFonts w:cs="Arial"/>
          <w:szCs w:val="24"/>
        </w:rPr>
        <w:t>conductors</w:t>
      </w:r>
      <w:r>
        <w:rPr>
          <w:rFonts w:cs="Arial"/>
          <w:szCs w:val="24"/>
        </w:rPr>
        <w:t xml:space="preserve">, are related to operating an electric distribution system, but are not costs “directly related” to a customer’s service connection within the meaning of the statute. </w:t>
      </w:r>
    </w:p>
    <w:p w14:paraId="4E981F38" w14:textId="77777777" w:rsidR="006150E1" w:rsidRDefault="006150E1" w:rsidP="000844FD">
      <w:pPr>
        <w:ind w:firstLine="720"/>
        <w:jc w:val="both"/>
        <w:rPr>
          <w:rFonts w:cs="Arial"/>
          <w:szCs w:val="24"/>
        </w:rPr>
      </w:pPr>
    </w:p>
    <w:p w14:paraId="1FE7B52E" w14:textId="6EF7788E" w:rsidR="00FE1D5A" w:rsidRDefault="00827D53" w:rsidP="00827D53">
      <w:pPr>
        <w:ind w:firstLine="720"/>
        <w:jc w:val="both"/>
        <w:rPr>
          <w:rFonts w:cs="Arial"/>
          <w:szCs w:val="24"/>
        </w:rPr>
      </w:pPr>
      <w:r>
        <w:rPr>
          <w:rFonts w:cs="Arial"/>
          <w:bCs/>
          <w:iCs/>
        </w:rPr>
        <w:t xml:space="preserve">Based on the aforementioned, the Authority concludes that for the purposes of </w:t>
      </w:r>
      <w:r w:rsidR="0047305C">
        <w:t xml:space="preserve">Conn. Gen. Stat. </w:t>
      </w:r>
      <w:r w:rsidR="002662C5">
        <w:rPr>
          <w:rFonts w:cs="Arial"/>
          <w:bCs/>
          <w:iCs/>
        </w:rPr>
        <w:t>§</w:t>
      </w:r>
      <w:r>
        <w:rPr>
          <w:rFonts w:cs="Arial"/>
          <w:bCs/>
          <w:iCs/>
        </w:rPr>
        <w:t xml:space="preserve">16-243bb, </w:t>
      </w:r>
      <w:r w:rsidR="00D37CE8">
        <w:rPr>
          <w:rFonts w:cs="Arial"/>
          <w:bCs/>
          <w:iCs/>
        </w:rPr>
        <w:t xml:space="preserve">the </w:t>
      </w:r>
      <w:r>
        <w:rPr>
          <w:rFonts w:cs="Arial"/>
          <w:bCs/>
          <w:iCs/>
        </w:rPr>
        <w:t>MRCC</w:t>
      </w:r>
      <w:r w:rsidR="0047305C">
        <w:rPr>
          <w:rFonts w:cs="Arial"/>
          <w:bCs/>
          <w:iCs/>
        </w:rPr>
        <w:t xml:space="preserve"> </w:t>
      </w:r>
      <w:r>
        <w:rPr>
          <w:rFonts w:cs="Arial"/>
          <w:bCs/>
          <w:iCs/>
        </w:rPr>
        <w:t>includable costs for the service connection function are limited to t</w:t>
      </w:r>
      <w:r w:rsidRPr="00BC7744">
        <w:rPr>
          <w:rFonts w:cs="Arial"/>
          <w:szCs w:val="24"/>
        </w:rPr>
        <w:t>he directly related costs of labor, materials and software required to install, and maintain the service connection (service drop</w:t>
      </w:r>
      <w:r>
        <w:rPr>
          <w:rFonts w:cs="Arial"/>
          <w:szCs w:val="24"/>
        </w:rPr>
        <w:t xml:space="preserve"> or service line</w:t>
      </w:r>
      <w:r w:rsidRPr="00BC7744">
        <w:rPr>
          <w:rFonts w:cs="Arial"/>
          <w:szCs w:val="24"/>
        </w:rPr>
        <w:t>)</w:t>
      </w:r>
      <w:r>
        <w:rPr>
          <w:rFonts w:cs="Arial"/>
          <w:szCs w:val="24"/>
        </w:rPr>
        <w:t xml:space="preserve"> for r</w:t>
      </w:r>
      <w:r w:rsidRPr="00BC7744">
        <w:rPr>
          <w:rFonts w:cs="Arial"/>
          <w:szCs w:val="24"/>
        </w:rPr>
        <w:t xml:space="preserve">esidential </w:t>
      </w:r>
      <w:r>
        <w:rPr>
          <w:rFonts w:cs="Arial"/>
          <w:szCs w:val="24"/>
        </w:rPr>
        <w:t>n</w:t>
      </w:r>
      <w:r w:rsidRPr="00BC7744">
        <w:rPr>
          <w:rFonts w:cs="Arial"/>
          <w:szCs w:val="24"/>
        </w:rPr>
        <w:t>on</w:t>
      </w:r>
      <w:r>
        <w:rPr>
          <w:rFonts w:cs="Arial"/>
          <w:szCs w:val="24"/>
        </w:rPr>
        <w:noBreakHyphen/>
        <w:t>h</w:t>
      </w:r>
      <w:r w:rsidRPr="00BC7744">
        <w:rPr>
          <w:rFonts w:cs="Arial"/>
          <w:szCs w:val="24"/>
        </w:rPr>
        <w:t>eating customers.</w:t>
      </w:r>
      <w:r w:rsidR="00D37CE8">
        <w:rPr>
          <w:rFonts w:cs="Arial"/>
          <w:szCs w:val="24"/>
        </w:rPr>
        <w:t xml:space="preserve"> </w:t>
      </w:r>
      <w:r w:rsidR="00ED7EBF" w:rsidDel="00ED7EBF">
        <w:rPr>
          <w:rFonts w:cs="Arial"/>
          <w:szCs w:val="24"/>
        </w:rPr>
        <w:t xml:space="preserve"> </w:t>
      </w:r>
      <w:r w:rsidR="00FE1D5A">
        <w:rPr>
          <w:rFonts w:cs="Arial"/>
          <w:szCs w:val="24"/>
        </w:rPr>
        <w:t>The Authority finds that c</w:t>
      </w:r>
      <w:r w:rsidR="002D2BFE">
        <w:rPr>
          <w:rFonts w:cs="Arial"/>
          <w:szCs w:val="24"/>
        </w:rPr>
        <w:t xml:space="preserve">osts related to service design and stores and stock activities are not includable in the MRCC calculation as they are related to general network distribution plant. </w:t>
      </w:r>
      <w:r w:rsidR="00D37CE8">
        <w:rPr>
          <w:rFonts w:cs="Arial"/>
          <w:szCs w:val="24"/>
        </w:rPr>
        <w:t xml:space="preserve"> </w:t>
      </w:r>
    </w:p>
    <w:p w14:paraId="45715F70" w14:textId="77777777" w:rsidR="00996BFE" w:rsidRDefault="00996BFE" w:rsidP="00827D53">
      <w:pPr>
        <w:ind w:firstLine="720"/>
        <w:jc w:val="both"/>
        <w:rPr>
          <w:rFonts w:cs="Arial"/>
          <w:szCs w:val="24"/>
        </w:rPr>
      </w:pPr>
    </w:p>
    <w:p w14:paraId="32BE5195" w14:textId="08A77973" w:rsidR="00581EDB" w:rsidRPr="009D070F" w:rsidRDefault="003668EF" w:rsidP="003E1168">
      <w:pPr>
        <w:pStyle w:val="Heading2"/>
        <w:jc w:val="both"/>
      </w:pPr>
      <w:bookmarkStart w:id="40" w:name="_Toc501528266"/>
      <w:r>
        <w:t>Assignment of Costs</w:t>
      </w:r>
      <w:r w:rsidR="00AD58FC">
        <w:t xml:space="preserve">; </w:t>
      </w:r>
      <w:r>
        <w:t>MRCC</w:t>
      </w:r>
      <w:r w:rsidR="00581EDB" w:rsidRPr="009D070F">
        <w:t xml:space="preserve"> Methodology</w:t>
      </w:r>
      <w:bookmarkEnd w:id="40"/>
    </w:p>
    <w:p w14:paraId="4A4C89BC" w14:textId="77777777" w:rsidR="00581EDB" w:rsidRDefault="00581EDB" w:rsidP="003E1168">
      <w:pPr>
        <w:jc w:val="both"/>
      </w:pPr>
    </w:p>
    <w:p w14:paraId="754CCB82" w14:textId="77777777" w:rsidR="001829C5" w:rsidRDefault="001829C5" w:rsidP="00E1092F">
      <w:pPr>
        <w:pStyle w:val="Heading3"/>
        <w:ind w:hanging="720"/>
        <w:jc w:val="both"/>
      </w:pPr>
      <w:bookmarkStart w:id="41" w:name="_Toc501528267"/>
      <w:r>
        <w:t>Position</w:t>
      </w:r>
      <w:r w:rsidR="00303236">
        <w:t>s</w:t>
      </w:r>
      <w:r>
        <w:t xml:space="preserve"> of the Parties</w:t>
      </w:r>
      <w:bookmarkEnd w:id="41"/>
      <w:r>
        <w:t xml:space="preserve"> </w:t>
      </w:r>
    </w:p>
    <w:p w14:paraId="1E282EBE" w14:textId="77777777" w:rsidR="001829C5" w:rsidRPr="001829C5" w:rsidRDefault="001829C5" w:rsidP="003E1168">
      <w:pPr>
        <w:pStyle w:val="Heading4"/>
        <w:numPr>
          <w:ilvl w:val="0"/>
          <w:numId w:val="0"/>
        </w:numPr>
        <w:jc w:val="both"/>
      </w:pPr>
    </w:p>
    <w:p w14:paraId="453BE92A" w14:textId="6BEB48EA" w:rsidR="00827D53" w:rsidRDefault="00827D53" w:rsidP="00827D53">
      <w:pPr>
        <w:autoSpaceDE w:val="0"/>
        <w:autoSpaceDN w:val="0"/>
        <w:adjustRightInd w:val="0"/>
        <w:ind w:firstLine="720"/>
        <w:jc w:val="both"/>
        <w:rPr>
          <w:rFonts w:cs="Arial"/>
          <w:color w:val="000000"/>
          <w:szCs w:val="24"/>
        </w:rPr>
      </w:pPr>
      <w:r>
        <w:rPr>
          <w:rFonts w:cs="Arial"/>
          <w:color w:val="000000"/>
          <w:szCs w:val="24"/>
        </w:rPr>
        <w:t xml:space="preserve">The </w:t>
      </w:r>
      <w:r w:rsidRPr="005A73A5">
        <w:rPr>
          <w:rFonts w:cs="Arial"/>
          <w:color w:val="000000"/>
          <w:szCs w:val="24"/>
        </w:rPr>
        <w:t>OCC s</w:t>
      </w:r>
      <w:r>
        <w:rPr>
          <w:rFonts w:cs="Arial"/>
          <w:color w:val="000000"/>
          <w:szCs w:val="24"/>
        </w:rPr>
        <w:t xml:space="preserve">tated </w:t>
      </w:r>
      <w:r w:rsidRPr="005A73A5">
        <w:rPr>
          <w:rFonts w:cs="Arial"/>
          <w:color w:val="000000"/>
          <w:szCs w:val="24"/>
        </w:rPr>
        <w:t xml:space="preserve">that setting a generic formula that the EDCs can utilize in future rate increase applications when </w:t>
      </w:r>
      <w:r>
        <w:rPr>
          <w:rFonts w:cs="Arial"/>
          <w:color w:val="000000"/>
          <w:szCs w:val="24"/>
        </w:rPr>
        <w:t>identifying their respe</w:t>
      </w:r>
      <w:r w:rsidRPr="005A73A5">
        <w:rPr>
          <w:rFonts w:cs="Arial"/>
          <w:color w:val="000000"/>
          <w:szCs w:val="24"/>
        </w:rPr>
        <w:t xml:space="preserve">ctive </w:t>
      </w:r>
      <w:r>
        <w:rPr>
          <w:rFonts w:cs="Arial"/>
          <w:color w:val="000000"/>
          <w:szCs w:val="24"/>
        </w:rPr>
        <w:t xml:space="preserve">MRCC calculation </w:t>
      </w:r>
      <w:r w:rsidRPr="005A73A5">
        <w:rPr>
          <w:rFonts w:cs="Arial"/>
          <w:color w:val="000000"/>
          <w:szCs w:val="24"/>
        </w:rPr>
        <w:t xml:space="preserve">need not be complicated. </w:t>
      </w:r>
      <w:r>
        <w:rPr>
          <w:rFonts w:cs="Arial"/>
          <w:color w:val="000000"/>
          <w:szCs w:val="24"/>
        </w:rPr>
        <w:t xml:space="preserve"> Brief, p. 3.  The </w:t>
      </w:r>
      <w:r w:rsidRPr="005A73A5">
        <w:rPr>
          <w:rFonts w:cs="Arial"/>
          <w:color w:val="000000"/>
          <w:szCs w:val="24"/>
        </w:rPr>
        <w:t xml:space="preserve">OCC </w:t>
      </w:r>
      <w:r>
        <w:rPr>
          <w:rFonts w:cs="Arial"/>
          <w:color w:val="000000"/>
          <w:szCs w:val="24"/>
        </w:rPr>
        <w:t xml:space="preserve">provided </w:t>
      </w:r>
      <w:r w:rsidRPr="005A73A5">
        <w:rPr>
          <w:rFonts w:cs="Arial"/>
          <w:color w:val="000000"/>
          <w:szCs w:val="24"/>
        </w:rPr>
        <w:t xml:space="preserve">a </w:t>
      </w:r>
      <w:r>
        <w:rPr>
          <w:rFonts w:cs="Arial"/>
          <w:color w:val="000000"/>
          <w:szCs w:val="24"/>
        </w:rPr>
        <w:t xml:space="preserve">table listing the FERC accounts that </w:t>
      </w:r>
      <w:r>
        <w:rPr>
          <w:rFonts w:cs="Arial"/>
          <w:color w:val="000000"/>
          <w:szCs w:val="24"/>
        </w:rPr>
        <w:lastRenderedPageBreak/>
        <w:t xml:space="preserve">were includable, and not in dispute by the parties, for distribution plant and associated depreciation, rate base deductions, O&amp;M expenses, customer accounts and customer services and information expenses, administrative and general expenses, taxes and credits.  </w:t>
      </w:r>
      <w:r w:rsidRPr="0099082F">
        <w:rPr>
          <w:rFonts w:cs="Arial"/>
          <w:color w:val="000000"/>
          <w:szCs w:val="24"/>
          <w:u w:val="single"/>
        </w:rPr>
        <w:t>Id</w:t>
      </w:r>
      <w:r>
        <w:rPr>
          <w:rFonts w:cs="Arial"/>
          <w:color w:val="000000"/>
          <w:szCs w:val="24"/>
        </w:rPr>
        <w:t>., p. 12</w:t>
      </w:r>
      <w:r w:rsidRPr="00827D53">
        <w:rPr>
          <w:rFonts w:cs="Arial"/>
          <w:color w:val="000000"/>
          <w:szCs w:val="24"/>
        </w:rPr>
        <w:t>.</w:t>
      </w:r>
    </w:p>
    <w:p w14:paraId="731ABC4A" w14:textId="77777777" w:rsidR="002B58CD" w:rsidRPr="00827D53" w:rsidRDefault="002B58CD" w:rsidP="00827D53">
      <w:pPr>
        <w:autoSpaceDE w:val="0"/>
        <w:autoSpaceDN w:val="0"/>
        <w:adjustRightInd w:val="0"/>
        <w:ind w:firstLine="720"/>
        <w:jc w:val="both"/>
        <w:rPr>
          <w:rFonts w:cs="Arial"/>
          <w:color w:val="000000"/>
          <w:szCs w:val="24"/>
        </w:rPr>
      </w:pPr>
    </w:p>
    <w:p w14:paraId="38F07778" w14:textId="14189BED" w:rsidR="00827D53" w:rsidRPr="00827D53" w:rsidRDefault="00827D53" w:rsidP="00827D53">
      <w:pPr>
        <w:autoSpaceDE w:val="0"/>
        <w:autoSpaceDN w:val="0"/>
        <w:adjustRightInd w:val="0"/>
        <w:ind w:firstLine="720"/>
        <w:jc w:val="both"/>
        <w:rPr>
          <w:rFonts w:cs="Arial"/>
          <w:color w:val="000000"/>
          <w:szCs w:val="24"/>
        </w:rPr>
      </w:pPr>
      <w:r w:rsidRPr="00827D53">
        <w:rPr>
          <w:rFonts w:cs="Arial"/>
          <w:color w:val="000000"/>
          <w:szCs w:val="24"/>
        </w:rPr>
        <w:t>UI presented two alternatives for determining the includable costs for the MRCC calculation.  The company initially proposed an MRCC calculation that utilized its embedded COSS from its last rate case.  UI identified the subset of costs that were apportioned for residential non-heating customers and directly related to the four statutory functions.  Underlying its COSS, the company relied on the definitions, functionalization and classification system presented in the Electric Utility Class Allocation Manual published by the National Association of Regulatory Utility Commissioners (NARUC).  The NARUC manual identifies and defines distribution, customer accounts, customer service and general and plant related expenses.  In determining the includable costs for the MRCC calculation, UI used the direct assignment method where feasible</w:t>
      </w:r>
      <w:r w:rsidR="0047305C">
        <w:rPr>
          <w:rFonts w:cs="Arial"/>
          <w:color w:val="000000"/>
          <w:szCs w:val="24"/>
        </w:rPr>
        <w:t>.  W</w:t>
      </w:r>
      <w:r w:rsidRPr="00827D53">
        <w:rPr>
          <w:rFonts w:cs="Arial"/>
          <w:color w:val="000000"/>
          <w:szCs w:val="24"/>
        </w:rPr>
        <w:t xml:space="preserve">here direct assignment was not feasible, UI utilized cost allocation.  The company also stated that individual asset records are available in its fixed accounting system.  </w:t>
      </w:r>
      <w:bookmarkStart w:id="42" w:name="_Hlk498280125"/>
      <w:r w:rsidR="0047305C" w:rsidRPr="00827D53">
        <w:rPr>
          <w:rFonts w:cs="Arial"/>
          <w:color w:val="000000"/>
          <w:szCs w:val="24"/>
        </w:rPr>
        <w:t>Colca PFT, p</w:t>
      </w:r>
      <w:r w:rsidR="0047305C">
        <w:rPr>
          <w:rFonts w:cs="Arial"/>
          <w:color w:val="000000"/>
          <w:szCs w:val="24"/>
        </w:rPr>
        <w:t>p</w:t>
      </w:r>
      <w:r w:rsidR="0047305C" w:rsidRPr="00827D53">
        <w:rPr>
          <w:rFonts w:cs="Arial"/>
          <w:color w:val="000000"/>
          <w:szCs w:val="24"/>
        </w:rPr>
        <w:t>. 4</w:t>
      </w:r>
      <w:r w:rsidR="0047305C">
        <w:rPr>
          <w:rFonts w:cs="Arial"/>
          <w:color w:val="000000"/>
          <w:szCs w:val="24"/>
        </w:rPr>
        <w:t xml:space="preserve"> and </w:t>
      </w:r>
      <w:r w:rsidRPr="00827D53">
        <w:rPr>
          <w:rFonts w:cs="Arial"/>
          <w:color w:val="000000"/>
          <w:szCs w:val="24"/>
        </w:rPr>
        <w:t>14.</w:t>
      </w:r>
      <w:bookmarkEnd w:id="42"/>
      <w:r w:rsidRPr="00827D53">
        <w:rPr>
          <w:rFonts w:cs="Arial"/>
          <w:color w:val="000000"/>
          <w:szCs w:val="24"/>
        </w:rPr>
        <w:t xml:space="preserve">  By identifying individual assets UI was able to analyze them in relation to the statutory functions and directly assign costs.</w:t>
      </w:r>
    </w:p>
    <w:p w14:paraId="7C23F66E" w14:textId="77777777" w:rsidR="00827D53" w:rsidRPr="00827D53" w:rsidRDefault="00827D53" w:rsidP="00827D53">
      <w:pPr>
        <w:autoSpaceDE w:val="0"/>
        <w:autoSpaceDN w:val="0"/>
        <w:adjustRightInd w:val="0"/>
        <w:ind w:firstLine="720"/>
        <w:jc w:val="both"/>
        <w:rPr>
          <w:rFonts w:cs="Arial"/>
          <w:color w:val="000000"/>
          <w:szCs w:val="24"/>
        </w:rPr>
      </w:pPr>
    </w:p>
    <w:p w14:paraId="0AB1D0E0" w14:textId="77777777" w:rsidR="00827D53" w:rsidRPr="00827D53" w:rsidRDefault="00827D53" w:rsidP="00827D53">
      <w:pPr>
        <w:autoSpaceDE w:val="0"/>
        <w:autoSpaceDN w:val="0"/>
        <w:adjustRightInd w:val="0"/>
        <w:ind w:firstLine="720"/>
        <w:jc w:val="both"/>
        <w:rPr>
          <w:rFonts w:cs="Arial"/>
          <w:color w:val="000000"/>
          <w:szCs w:val="24"/>
        </w:rPr>
      </w:pPr>
      <w:r w:rsidRPr="00827D53">
        <w:rPr>
          <w:rFonts w:cs="Arial"/>
          <w:color w:val="000000"/>
          <w:szCs w:val="24"/>
        </w:rPr>
        <w:t>As an alternative to a fully allocated COSS to determine the MRCC, UI presented a direct assignment methodology.  Under its proposed methodology, UI performed an individual review of all the major assets booked to each FERC account and determined the relationship of the asset to the four statutory functions.  UI stated that when assets or expenses supported a statutory function, then the company assigned an allocated proportion of that asset or expense to the includable function.  UI Response to Interrogatory RA</w:t>
      </w:r>
      <w:r w:rsidRPr="00827D53">
        <w:rPr>
          <w:rFonts w:cs="Arial"/>
          <w:color w:val="000000"/>
          <w:szCs w:val="24"/>
        </w:rPr>
        <w:noBreakHyphen/>
        <w:t>5.</w:t>
      </w:r>
    </w:p>
    <w:p w14:paraId="62A6DF0A" w14:textId="77777777" w:rsidR="00827D53" w:rsidRPr="00827D53" w:rsidRDefault="00827D53" w:rsidP="00827D53">
      <w:pPr>
        <w:autoSpaceDE w:val="0"/>
        <w:autoSpaceDN w:val="0"/>
        <w:adjustRightInd w:val="0"/>
        <w:ind w:firstLine="720"/>
        <w:jc w:val="both"/>
        <w:rPr>
          <w:rFonts w:cs="Arial"/>
          <w:color w:val="000000"/>
          <w:szCs w:val="24"/>
        </w:rPr>
      </w:pPr>
    </w:p>
    <w:p w14:paraId="36C76F48" w14:textId="0F229497" w:rsidR="00827D53" w:rsidRDefault="00827D53" w:rsidP="00827D53">
      <w:pPr>
        <w:autoSpaceDE w:val="0"/>
        <w:autoSpaceDN w:val="0"/>
        <w:adjustRightInd w:val="0"/>
        <w:ind w:firstLine="720"/>
        <w:jc w:val="both"/>
        <w:rPr>
          <w:rFonts w:cs="Arial"/>
          <w:color w:val="000000"/>
          <w:szCs w:val="24"/>
        </w:rPr>
      </w:pPr>
      <w:r w:rsidRPr="00827D53">
        <w:rPr>
          <w:rFonts w:cs="Arial"/>
          <w:szCs w:val="24"/>
        </w:rPr>
        <w:t>CL&amp;P proposed a fully allocated COSS methodology to calculate the MRCC and stated that the methodology is compliant with Conn. Gen. Stat. §16-243bb and reflects cost causation.  CL&amp;P</w:t>
      </w:r>
      <w:r w:rsidRPr="00827D53">
        <w:rPr>
          <w:rFonts w:cs="Arial"/>
          <w:color w:val="FF0000"/>
          <w:szCs w:val="24"/>
        </w:rPr>
        <w:t xml:space="preserve"> </w:t>
      </w:r>
      <w:r w:rsidRPr="00827D53">
        <w:rPr>
          <w:rFonts w:cs="Arial"/>
          <w:color w:val="000000"/>
          <w:szCs w:val="24"/>
        </w:rPr>
        <w:t>provided the methodology used to classify costs between customer and demand, the percentages assigned to each of those functions and the rationale for the assignment.  In addition, the company noted it did not use the term direct or indirect as it might cause confusion with the term “directly related” cited in the statute.  The company identified whether the costs are allocated to rate</w:t>
      </w:r>
      <w:r w:rsidRPr="007A27AA">
        <w:rPr>
          <w:rFonts w:cs="Arial"/>
          <w:color w:val="000000"/>
          <w:szCs w:val="24"/>
        </w:rPr>
        <w:t xml:space="preserve"> classes based on direct assigned, internal or external allocators. </w:t>
      </w:r>
      <w:r>
        <w:rPr>
          <w:rFonts w:cs="Arial"/>
          <w:color w:val="000000"/>
          <w:szCs w:val="24"/>
        </w:rPr>
        <w:t xml:space="preserve"> </w:t>
      </w:r>
      <w:r w:rsidR="0047305C">
        <w:rPr>
          <w:rFonts w:cs="Arial"/>
          <w:color w:val="000000"/>
          <w:szCs w:val="24"/>
        </w:rPr>
        <w:t>CL&amp;P stated that t</w:t>
      </w:r>
      <w:r w:rsidRPr="007A27AA">
        <w:rPr>
          <w:rFonts w:cs="Arial"/>
          <w:color w:val="000000"/>
          <w:szCs w:val="24"/>
        </w:rPr>
        <w:t xml:space="preserve">his is a standard method in which allocator types are defined and applied in cost-of-service studies. </w:t>
      </w:r>
      <w:r>
        <w:rPr>
          <w:rFonts w:cs="Arial"/>
          <w:color w:val="000000"/>
          <w:szCs w:val="24"/>
        </w:rPr>
        <w:t xml:space="preserve"> </w:t>
      </w:r>
      <w:r w:rsidRPr="007A27AA">
        <w:rPr>
          <w:rFonts w:cs="Arial"/>
          <w:color w:val="000000"/>
          <w:szCs w:val="24"/>
        </w:rPr>
        <w:t xml:space="preserve">The term “internal” should not be considered to mean that those accounts are not directly related to one of the </w:t>
      </w:r>
      <w:r>
        <w:rPr>
          <w:rFonts w:cs="Arial"/>
          <w:color w:val="000000"/>
          <w:szCs w:val="24"/>
        </w:rPr>
        <w:t xml:space="preserve">statutory </w:t>
      </w:r>
      <w:r w:rsidRPr="007A27AA">
        <w:rPr>
          <w:rFonts w:cs="Arial"/>
          <w:color w:val="000000"/>
          <w:szCs w:val="24"/>
        </w:rPr>
        <w:t>fun</w:t>
      </w:r>
      <w:r>
        <w:rPr>
          <w:rFonts w:cs="Arial"/>
          <w:color w:val="000000"/>
          <w:szCs w:val="24"/>
        </w:rPr>
        <w:t>ctions</w:t>
      </w:r>
      <w:r w:rsidRPr="007A27AA">
        <w:rPr>
          <w:rFonts w:cs="Arial"/>
          <w:color w:val="000000"/>
          <w:szCs w:val="24"/>
        </w:rPr>
        <w:t xml:space="preserve">.  </w:t>
      </w:r>
      <w:r>
        <w:rPr>
          <w:rFonts w:cs="Arial"/>
          <w:color w:val="000000"/>
          <w:szCs w:val="24"/>
        </w:rPr>
        <w:t>CL&amp;P stated that a</w:t>
      </w:r>
      <w:r w:rsidRPr="007A27AA">
        <w:rPr>
          <w:rFonts w:cs="Arial"/>
          <w:color w:val="000000"/>
          <w:szCs w:val="24"/>
        </w:rPr>
        <w:t xml:space="preserve"> good example of this rationale is the application of depreciation reserve.  While gross plant for </w:t>
      </w:r>
      <w:r>
        <w:rPr>
          <w:rFonts w:cs="Arial"/>
          <w:color w:val="000000"/>
          <w:szCs w:val="24"/>
        </w:rPr>
        <w:t>FERC accounts</w:t>
      </w:r>
      <w:r w:rsidRPr="007A27AA">
        <w:rPr>
          <w:rFonts w:cs="Arial"/>
          <w:color w:val="000000"/>
          <w:szCs w:val="24"/>
        </w:rPr>
        <w:t xml:space="preserve"> 360 through 370 are allocated based on an external allocator, the accumulated depreciation for these very same accounts are allocated using an internal allocator.  </w:t>
      </w:r>
      <w:bookmarkStart w:id="43" w:name="_Hlk498574259"/>
      <w:r w:rsidRPr="007A27AA">
        <w:rPr>
          <w:rFonts w:cs="Arial"/>
          <w:color w:val="000000"/>
          <w:szCs w:val="24"/>
        </w:rPr>
        <w:t>Late Filed Exhibit No. 9</w:t>
      </w:r>
      <w:r>
        <w:rPr>
          <w:rFonts w:cs="Arial"/>
          <w:color w:val="000000"/>
          <w:szCs w:val="24"/>
        </w:rPr>
        <w:t>, Attachment 1, p. 1.</w:t>
      </w:r>
      <w:bookmarkEnd w:id="43"/>
    </w:p>
    <w:p w14:paraId="1C04DF2C" w14:textId="77777777" w:rsidR="00827D53" w:rsidRDefault="00827D53" w:rsidP="00827D53">
      <w:pPr>
        <w:autoSpaceDE w:val="0"/>
        <w:autoSpaceDN w:val="0"/>
        <w:adjustRightInd w:val="0"/>
        <w:ind w:firstLine="720"/>
        <w:jc w:val="both"/>
        <w:rPr>
          <w:rFonts w:cs="Arial"/>
          <w:color w:val="000000"/>
          <w:szCs w:val="24"/>
        </w:rPr>
      </w:pPr>
    </w:p>
    <w:p w14:paraId="7F2DF31D" w14:textId="1608FFDD" w:rsidR="00CD78A4" w:rsidRDefault="00827D53" w:rsidP="000844FD">
      <w:pPr>
        <w:ind w:firstLine="720"/>
        <w:jc w:val="both"/>
      </w:pPr>
      <w:r>
        <w:rPr>
          <w:rFonts w:cs="Arial"/>
          <w:color w:val="000000"/>
          <w:szCs w:val="24"/>
        </w:rPr>
        <w:t xml:space="preserve">CL&amp;P indicated </w:t>
      </w:r>
      <w:r w:rsidRPr="007A27AA">
        <w:rPr>
          <w:rFonts w:cs="Arial"/>
          <w:color w:val="000000"/>
          <w:szCs w:val="24"/>
        </w:rPr>
        <w:t xml:space="preserve">that the </w:t>
      </w:r>
      <w:r>
        <w:rPr>
          <w:rFonts w:cs="Arial"/>
          <w:color w:val="000000"/>
          <w:szCs w:val="24"/>
        </w:rPr>
        <w:t xml:space="preserve">Eversource </w:t>
      </w:r>
      <w:r w:rsidR="00AB699C">
        <w:rPr>
          <w:rFonts w:cs="Arial"/>
          <w:color w:val="000000"/>
          <w:szCs w:val="24"/>
        </w:rPr>
        <w:t xml:space="preserve">Energy </w:t>
      </w:r>
      <w:r>
        <w:rPr>
          <w:rFonts w:cs="Arial"/>
          <w:color w:val="000000"/>
          <w:szCs w:val="24"/>
        </w:rPr>
        <w:t>o</w:t>
      </w:r>
      <w:r w:rsidRPr="007A27AA">
        <w:rPr>
          <w:rFonts w:cs="Arial"/>
          <w:color w:val="000000"/>
          <w:szCs w:val="24"/>
        </w:rPr>
        <w:t>perating companies receive shared support from its service company to realize the economies of scale.  These costs are likely to be lower than the cost of providing the necessary fu</w:t>
      </w:r>
      <w:r>
        <w:rPr>
          <w:rFonts w:cs="Arial"/>
          <w:color w:val="000000"/>
          <w:szCs w:val="24"/>
        </w:rPr>
        <w:t>n</w:t>
      </w:r>
      <w:r w:rsidRPr="007A27AA">
        <w:rPr>
          <w:rFonts w:cs="Arial"/>
          <w:color w:val="000000"/>
          <w:szCs w:val="24"/>
        </w:rPr>
        <w:t xml:space="preserve">ctions internally, through a third party or some other standalone basis.  These costs are part of the cost of service </w:t>
      </w:r>
      <w:r w:rsidRPr="007A27AA">
        <w:rPr>
          <w:rFonts w:cs="Arial"/>
          <w:color w:val="000000"/>
          <w:szCs w:val="24"/>
        </w:rPr>
        <w:lastRenderedPageBreak/>
        <w:t xml:space="preserve">and match dollar for dollar to revenue requirement; hence they should be treated no differently than direct costs.  </w:t>
      </w:r>
      <w:r>
        <w:rPr>
          <w:rFonts w:cs="Arial"/>
          <w:color w:val="000000"/>
          <w:szCs w:val="24"/>
        </w:rPr>
        <w:t>CL&amp;P</w:t>
      </w:r>
      <w:r w:rsidRPr="007A27AA">
        <w:rPr>
          <w:rFonts w:cs="Arial"/>
          <w:color w:val="000000"/>
          <w:szCs w:val="24"/>
        </w:rPr>
        <w:t xml:space="preserve"> Response to Interrogatories OCC 5-19</w:t>
      </w:r>
      <w:r>
        <w:rPr>
          <w:rFonts w:cs="Arial"/>
          <w:color w:val="000000"/>
          <w:szCs w:val="24"/>
        </w:rPr>
        <w:t>; Tr. 08/17/17, p. 250.</w:t>
      </w:r>
      <w:r w:rsidRPr="007A27AA">
        <w:rPr>
          <w:rFonts w:cs="Arial"/>
          <w:color w:val="000000"/>
          <w:szCs w:val="24"/>
        </w:rPr>
        <w:t xml:space="preserve"> </w:t>
      </w:r>
      <w:r w:rsidR="0047305C">
        <w:rPr>
          <w:rFonts w:cs="Arial"/>
          <w:color w:val="000000"/>
          <w:szCs w:val="24"/>
        </w:rPr>
        <w:t xml:space="preserve"> </w:t>
      </w:r>
      <w:r>
        <w:t>CL&amp;P proposed a separate MRCC calculation for partial requirements for non</w:t>
      </w:r>
      <w:r>
        <w:noBreakHyphen/>
        <w:t xml:space="preserve">heating residential customers who use </w:t>
      </w:r>
      <w:r w:rsidR="00FE1D5A">
        <w:t xml:space="preserve">solar </w:t>
      </w:r>
      <w:r>
        <w:t>DG.</w:t>
      </w:r>
      <w:r w:rsidR="0047305C">
        <w:t xml:space="preserve"> </w:t>
      </w:r>
      <w:r>
        <w:t xml:space="preserve"> Overcast PFT, pp. 28 and 29.  </w:t>
      </w:r>
    </w:p>
    <w:p w14:paraId="42A2532D" w14:textId="20D48DFB" w:rsidR="00CD78A4" w:rsidRDefault="00CD78A4" w:rsidP="000844FD">
      <w:pPr>
        <w:ind w:firstLine="720"/>
        <w:jc w:val="both"/>
      </w:pPr>
      <w:r>
        <w:t xml:space="preserve"> </w:t>
      </w:r>
    </w:p>
    <w:p w14:paraId="70AFF845" w14:textId="0060D74B" w:rsidR="00CD78A4" w:rsidRDefault="00CD78A4" w:rsidP="000844FD">
      <w:pPr>
        <w:pStyle w:val="Heading3"/>
        <w:tabs>
          <w:tab w:val="clear" w:pos="1800"/>
          <w:tab w:val="num" w:pos="1440"/>
        </w:tabs>
        <w:ind w:hanging="720"/>
      </w:pPr>
      <w:bookmarkStart w:id="44" w:name="_Toc501528268"/>
      <w:r>
        <w:t xml:space="preserve">Discussion on </w:t>
      </w:r>
      <w:r w:rsidR="00FE1D5A">
        <w:t xml:space="preserve">Solar </w:t>
      </w:r>
      <w:r>
        <w:t>DG Residential Customers</w:t>
      </w:r>
      <w:bookmarkEnd w:id="44"/>
    </w:p>
    <w:p w14:paraId="39EB2B6F" w14:textId="77777777" w:rsidR="00CD78A4" w:rsidRPr="00CD78A4" w:rsidRDefault="00CD78A4" w:rsidP="00CD78A4"/>
    <w:p w14:paraId="0B571D8C" w14:textId="7D7507F6" w:rsidR="00827D53" w:rsidRPr="009A5726" w:rsidRDefault="00CD78A4" w:rsidP="009A5726">
      <w:pPr>
        <w:ind w:firstLine="720"/>
        <w:jc w:val="both"/>
      </w:pPr>
      <w:r w:rsidRPr="000844FD">
        <w:t xml:space="preserve">CL&amp;P requested that the Authority establish a separate MRCC calculation for </w:t>
      </w:r>
      <w:r w:rsidR="00FE1D5A" w:rsidRPr="000844FD">
        <w:t xml:space="preserve">solar </w:t>
      </w:r>
      <w:r w:rsidRPr="000844FD">
        <w:t xml:space="preserve">DG customers.  </w:t>
      </w:r>
      <w:r w:rsidR="00375FAA" w:rsidRPr="000844FD">
        <w:t xml:space="preserve">Overcast PFT, pp. 44 -52. </w:t>
      </w:r>
      <w:r w:rsidRPr="000844FD">
        <w:t xml:space="preserve"> </w:t>
      </w:r>
      <w:r w:rsidR="00FE1D5A" w:rsidRPr="000844FD">
        <w:t>T</w:t>
      </w:r>
      <w:r w:rsidRPr="000844FD">
        <w:t xml:space="preserve">he Authority notes that Conn. Gen. Stat. §16-243bb does not specifically require that the </w:t>
      </w:r>
      <w:r w:rsidR="00FE1D5A" w:rsidRPr="000844FD">
        <w:t xml:space="preserve">PURA </w:t>
      </w:r>
      <w:r w:rsidRPr="000844FD">
        <w:t xml:space="preserve">establish a separate adjustment to the customer charges for </w:t>
      </w:r>
      <w:r w:rsidR="00FE1D5A" w:rsidRPr="000844FD">
        <w:t xml:space="preserve">solar </w:t>
      </w:r>
      <w:r w:rsidRPr="000844FD">
        <w:t xml:space="preserve">DG customers.  Additionally, the noticed scope of this proceeding was for the Authority to establish a MRCC calculation for basic residential customers, and thus CL&amp;P’s proposal is not within the scope of the instant docket.  Notwithstanding the foregoing, the Authority will consider CL&amp;P’s proposal if it is submitted in a future rate case </w:t>
      </w:r>
      <w:r w:rsidRPr="009A5726">
        <w:t xml:space="preserve">proceeding. </w:t>
      </w:r>
    </w:p>
    <w:p w14:paraId="7269104B" w14:textId="77777777" w:rsidR="00996BFE" w:rsidRDefault="00996BFE" w:rsidP="00996BFE">
      <w:pPr>
        <w:rPr>
          <w:rFonts w:cs="Arial"/>
          <w:color w:val="000000"/>
          <w:szCs w:val="24"/>
        </w:rPr>
      </w:pPr>
    </w:p>
    <w:p w14:paraId="28153F21" w14:textId="529D24F9" w:rsidR="00827D53" w:rsidRDefault="00827D53" w:rsidP="00E1092F">
      <w:pPr>
        <w:pStyle w:val="Heading3"/>
        <w:ind w:hanging="720"/>
        <w:jc w:val="both"/>
      </w:pPr>
      <w:bookmarkStart w:id="45" w:name="_Toc499817420"/>
      <w:bookmarkStart w:id="46" w:name="_Toc501528269"/>
      <w:r>
        <w:t>Discussion</w:t>
      </w:r>
      <w:bookmarkEnd w:id="45"/>
      <w:r w:rsidR="00D67F2E">
        <w:t xml:space="preserve"> on COSS / Cost Allocation / Direct Assignment</w:t>
      </w:r>
      <w:bookmarkEnd w:id="46"/>
    </w:p>
    <w:p w14:paraId="5223A277" w14:textId="77777777" w:rsidR="00827D53" w:rsidRPr="00581EDB" w:rsidRDefault="00827D53" w:rsidP="00827D53">
      <w:pPr>
        <w:jc w:val="both"/>
      </w:pPr>
    </w:p>
    <w:p w14:paraId="3712ED03" w14:textId="2A10F97C" w:rsidR="00812DCE" w:rsidRDefault="00812DCE" w:rsidP="00812DCE">
      <w:pPr>
        <w:tabs>
          <w:tab w:val="left" w:pos="810"/>
        </w:tabs>
        <w:autoSpaceDE w:val="0"/>
        <w:autoSpaceDN w:val="0"/>
        <w:adjustRightInd w:val="0"/>
        <w:ind w:firstLine="720"/>
        <w:jc w:val="both"/>
        <w:rPr>
          <w:rFonts w:cs="Arial"/>
          <w:color w:val="000000"/>
          <w:szCs w:val="24"/>
        </w:rPr>
      </w:pPr>
      <w:r>
        <w:rPr>
          <w:rFonts w:cs="Arial"/>
          <w:color w:val="000000"/>
          <w:szCs w:val="24"/>
        </w:rPr>
        <w:t>The Authority acknowledges that t</w:t>
      </w:r>
      <w:r w:rsidRPr="006846A4">
        <w:rPr>
          <w:rFonts w:cs="Arial"/>
          <w:color w:val="000000"/>
          <w:szCs w:val="24"/>
        </w:rPr>
        <w:t xml:space="preserve">he rate design directives in Conn. Gen. Stat. </w:t>
      </w:r>
      <w:r>
        <w:rPr>
          <w:rFonts w:cs="Arial"/>
          <w:bCs/>
          <w:iCs/>
        </w:rPr>
        <w:t>§</w:t>
      </w:r>
      <w:r w:rsidRPr="006846A4">
        <w:rPr>
          <w:rFonts w:cs="Arial"/>
          <w:color w:val="000000"/>
          <w:szCs w:val="24"/>
        </w:rPr>
        <w:t>16</w:t>
      </w:r>
      <w:r w:rsidRPr="006846A4">
        <w:rPr>
          <w:rFonts w:cs="Arial"/>
          <w:color w:val="000000"/>
          <w:szCs w:val="24"/>
        </w:rPr>
        <w:noBreakHyphen/>
        <w:t xml:space="preserve">243bb </w:t>
      </w:r>
      <w:r>
        <w:rPr>
          <w:rFonts w:cs="Arial"/>
          <w:color w:val="000000"/>
          <w:szCs w:val="24"/>
        </w:rPr>
        <w:t xml:space="preserve">do not conform to </w:t>
      </w:r>
      <w:r w:rsidRPr="006846A4">
        <w:rPr>
          <w:rFonts w:cs="Arial"/>
          <w:color w:val="000000"/>
          <w:szCs w:val="24"/>
        </w:rPr>
        <w:t>the typical functionalization and classification</w:t>
      </w:r>
      <w:r>
        <w:rPr>
          <w:rFonts w:cs="Arial"/>
          <w:color w:val="000000"/>
          <w:szCs w:val="24"/>
        </w:rPr>
        <w:t>s</w:t>
      </w:r>
      <w:r w:rsidRPr="006846A4">
        <w:rPr>
          <w:rFonts w:cs="Arial"/>
          <w:color w:val="000000"/>
          <w:szCs w:val="24"/>
        </w:rPr>
        <w:t xml:space="preserve"> of distribution plant and expenses</w:t>
      </w:r>
      <w:r>
        <w:rPr>
          <w:rFonts w:cs="Arial"/>
          <w:color w:val="000000"/>
          <w:szCs w:val="24"/>
        </w:rPr>
        <w:t xml:space="preserve">.  Traditionally, </w:t>
      </w:r>
      <w:r w:rsidRPr="006846A4">
        <w:rPr>
          <w:rFonts w:cs="Arial"/>
          <w:color w:val="000000"/>
          <w:szCs w:val="24"/>
        </w:rPr>
        <w:t xml:space="preserve">customer and demand </w:t>
      </w:r>
      <w:r>
        <w:rPr>
          <w:rFonts w:cs="Arial"/>
          <w:color w:val="000000"/>
          <w:szCs w:val="24"/>
        </w:rPr>
        <w:t>components</w:t>
      </w:r>
      <w:r w:rsidRPr="006846A4">
        <w:rPr>
          <w:rFonts w:cs="Arial"/>
          <w:color w:val="000000"/>
          <w:szCs w:val="24"/>
        </w:rPr>
        <w:t xml:space="preserve"> </w:t>
      </w:r>
      <w:r>
        <w:rPr>
          <w:rFonts w:cs="Arial"/>
          <w:color w:val="000000"/>
          <w:szCs w:val="24"/>
        </w:rPr>
        <w:t xml:space="preserve">were identified under the guidelines </w:t>
      </w:r>
      <w:r w:rsidRPr="006846A4">
        <w:rPr>
          <w:rFonts w:cs="Arial"/>
          <w:color w:val="000000"/>
          <w:szCs w:val="24"/>
        </w:rPr>
        <w:t>as outlined in the Electric Utility cost allocation manual of 1992 issued by the N</w:t>
      </w:r>
      <w:r>
        <w:rPr>
          <w:rFonts w:cs="Arial"/>
          <w:color w:val="000000"/>
          <w:szCs w:val="24"/>
        </w:rPr>
        <w:t xml:space="preserve">ARUC </w:t>
      </w:r>
      <w:r w:rsidRPr="006846A4">
        <w:rPr>
          <w:rFonts w:cs="Arial"/>
          <w:color w:val="000000"/>
          <w:szCs w:val="24"/>
        </w:rPr>
        <w:t xml:space="preserve">and </w:t>
      </w:r>
      <w:r>
        <w:rPr>
          <w:rFonts w:cs="Arial"/>
          <w:color w:val="000000"/>
          <w:szCs w:val="24"/>
        </w:rPr>
        <w:t>rates were designed to move closer to an allocated customer component of the EDC’s costs</w:t>
      </w:r>
      <w:r w:rsidR="00AA1D43">
        <w:rPr>
          <w:rFonts w:cs="Arial"/>
          <w:color w:val="000000"/>
          <w:szCs w:val="24"/>
        </w:rPr>
        <w:t xml:space="preserve">. </w:t>
      </w:r>
      <w:r>
        <w:rPr>
          <w:rFonts w:cs="Arial"/>
          <w:color w:val="000000"/>
          <w:szCs w:val="24"/>
        </w:rPr>
        <w:t xml:space="preserve"> Conn. Gen. Stat. §16-243bb limited the costs that can be included in the EDC’s MRCC calculation into </w:t>
      </w:r>
      <w:r w:rsidR="00AA1D43">
        <w:rPr>
          <w:rFonts w:cs="Arial"/>
          <w:color w:val="000000"/>
          <w:szCs w:val="24"/>
        </w:rPr>
        <w:t>four</w:t>
      </w:r>
      <w:r>
        <w:rPr>
          <w:rFonts w:cs="Arial"/>
          <w:color w:val="000000"/>
          <w:szCs w:val="24"/>
        </w:rPr>
        <w:t xml:space="preserve"> distinct functions.  </w:t>
      </w:r>
    </w:p>
    <w:p w14:paraId="6C1B5511" w14:textId="77777777" w:rsidR="00812DCE" w:rsidRPr="006846A4" w:rsidRDefault="00812DCE" w:rsidP="00812DCE">
      <w:pPr>
        <w:tabs>
          <w:tab w:val="left" w:pos="810"/>
        </w:tabs>
        <w:autoSpaceDE w:val="0"/>
        <w:autoSpaceDN w:val="0"/>
        <w:adjustRightInd w:val="0"/>
        <w:ind w:firstLine="720"/>
        <w:jc w:val="both"/>
        <w:rPr>
          <w:rFonts w:cs="Arial"/>
          <w:color w:val="000000"/>
          <w:szCs w:val="24"/>
        </w:rPr>
      </w:pPr>
    </w:p>
    <w:p w14:paraId="6F9B6A3B" w14:textId="43A3122B" w:rsidR="00812DCE" w:rsidRDefault="00812DCE" w:rsidP="00812DCE">
      <w:pPr>
        <w:tabs>
          <w:tab w:val="left" w:pos="810"/>
        </w:tabs>
        <w:ind w:firstLine="720"/>
        <w:jc w:val="both"/>
      </w:pPr>
      <w:r>
        <w:t xml:space="preserve">Use of allocations for the MRCC calculation is problematic in certain instances under the new methodology.  For example, shared assets and expenses need more of a detailed examination to ensure a particular cost is directly related to the statutory functions.  Direct cost assignments require the Companies to perform a granular examination of individual assets used and expenses incurred that are directly related to the statutory functions.  In the event direct assignment is not feasible or practical, the </w:t>
      </w:r>
      <w:r w:rsidR="00C143C2">
        <w:t xml:space="preserve">Authority </w:t>
      </w:r>
      <w:r>
        <w:t xml:space="preserve">will consider cost allocation proposals that conform to the requirements of </w:t>
      </w:r>
      <w:r>
        <w:rPr>
          <w:rFonts w:cs="Arial"/>
          <w:color w:val="000000"/>
          <w:szCs w:val="24"/>
        </w:rPr>
        <w:t>Conn. Gen. Stat. §16-243bb, where it is reasonable to conclude that only directly related costs are included</w:t>
      </w:r>
      <w:r>
        <w:t>.</w:t>
      </w:r>
      <w:r>
        <w:rPr>
          <w:rStyle w:val="CommentReference"/>
        </w:rPr>
        <w:t xml:space="preserve"> </w:t>
      </w:r>
    </w:p>
    <w:p w14:paraId="3847396B" w14:textId="77777777" w:rsidR="00812DCE" w:rsidRDefault="00812DCE" w:rsidP="00812DCE">
      <w:pPr>
        <w:tabs>
          <w:tab w:val="left" w:pos="810"/>
        </w:tabs>
        <w:ind w:firstLine="720"/>
        <w:jc w:val="both"/>
      </w:pPr>
    </w:p>
    <w:p w14:paraId="0EFCD7C1" w14:textId="77777777" w:rsidR="00136848" w:rsidRPr="00136848" w:rsidRDefault="00136848" w:rsidP="00E1092F">
      <w:pPr>
        <w:pStyle w:val="Heading3"/>
        <w:ind w:hanging="720"/>
      </w:pPr>
      <w:bookmarkStart w:id="47" w:name="_Toc501528270"/>
      <w:r w:rsidRPr="00136848">
        <w:t>MRCC Application</w:t>
      </w:r>
      <w:bookmarkEnd w:id="47"/>
    </w:p>
    <w:p w14:paraId="14EDC6CE" w14:textId="77777777" w:rsidR="00136848" w:rsidRDefault="00136848" w:rsidP="00136848">
      <w:pPr>
        <w:tabs>
          <w:tab w:val="left" w:pos="720"/>
        </w:tabs>
        <w:jc w:val="both"/>
      </w:pPr>
    </w:p>
    <w:p w14:paraId="1A72EA2C" w14:textId="1C66BBEE" w:rsidR="00812DCE" w:rsidRDefault="00812DCE" w:rsidP="00812DCE">
      <w:pPr>
        <w:tabs>
          <w:tab w:val="left" w:pos="810"/>
        </w:tabs>
        <w:autoSpaceDE w:val="0"/>
        <w:autoSpaceDN w:val="0"/>
        <w:adjustRightInd w:val="0"/>
        <w:ind w:firstLine="720"/>
        <w:jc w:val="both"/>
        <w:rPr>
          <w:rFonts w:cs="Arial"/>
          <w:bCs/>
          <w:szCs w:val="24"/>
        </w:rPr>
      </w:pPr>
      <w:bookmarkStart w:id="48" w:name="_Toc499050483"/>
      <w:r>
        <w:rPr>
          <w:rFonts w:cs="Arial"/>
          <w:color w:val="000000"/>
          <w:szCs w:val="24"/>
        </w:rPr>
        <w:t xml:space="preserve">The Authority reviewed the proposed cost methodologies of the Parties along with the USOA account descriptions to determine a reasonable and workable MRCC calculation that conforms to the limitations of </w:t>
      </w:r>
      <w:r w:rsidRPr="00183413">
        <w:rPr>
          <w:rFonts w:cs="Arial"/>
          <w:bCs/>
          <w:szCs w:val="24"/>
        </w:rPr>
        <w:t>Conn. Gen. Stat. §16-243bb</w:t>
      </w:r>
      <w:r>
        <w:rPr>
          <w:rFonts w:cs="Arial"/>
          <w:bCs/>
          <w:szCs w:val="24"/>
        </w:rPr>
        <w:t>.</w:t>
      </w:r>
      <w:r>
        <w:rPr>
          <w:rStyle w:val="FootnoteReference"/>
          <w:rFonts w:cs="Arial"/>
          <w:szCs w:val="24"/>
        </w:rPr>
        <w:footnoteReference w:id="6"/>
      </w:r>
      <w:r>
        <w:rPr>
          <w:rFonts w:cs="Arial"/>
          <w:bCs/>
          <w:szCs w:val="24"/>
        </w:rPr>
        <w:t xml:space="preserve">  The Authority identifies, in the section immediately below, the accounts that contain all or in part costs that are includable in the MRCC calculation.  </w:t>
      </w:r>
    </w:p>
    <w:p w14:paraId="458E6164" w14:textId="77777777" w:rsidR="00812DCE" w:rsidRDefault="00812DCE" w:rsidP="00812DCE">
      <w:pPr>
        <w:tabs>
          <w:tab w:val="left" w:pos="810"/>
        </w:tabs>
        <w:autoSpaceDE w:val="0"/>
        <w:autoSpaceDN w:val="0"/>
        <w:adjustRightInd w:val="0"/>
        <w:ind w:firstLine="720"/>
        <w:jc w:val="both"/>
        <w:rPr>
          <w:rFonts w:cs="Arial"/>
          <w:bCs/>
          <w:szCs w:val="24"/>
        </w:rPr>
      </w:pPr>
    </w:p>
    <w:p w14:paraId="023B1724" w14:textId="76444B11" w:rsidR="00812DCE" w:rsidRDefault="00812DCE" w:rsidP="00812DCE">
      <w:pPr>
        <w:tabs>
          <w:tab w:val="left" w:pos="810"/>
        </w:tabs>
        <w:autoSpaceDE w:val="0"/>
        <w:autoSpaceDN w:val="0"/>
        <w:adjustRightInd w:val="0"/>
        <w:ind w:firstLine="720"/>
        <w:jc w:val="both"/>
        <w:rPr>
          <w:rFonts w:cs="Arial"/>
          <w:bCs/>
          <w:szCs w:val="24"/>
        </w:rPr>
      </w:pPr>
      <w:r w:rsidRPr="0005033F">
        <w:rPr>
          <w:rFonts w:cs="Arial"/>
          <w:szCs w:val="24"/>
        </w:rPr>
        <w:lastRenderedPageBreak/>
        <w:t xml:space="preserve">The EDCs separated the residential non-heating customers from the other customer classes and allocated the customer component of the costs associated with the FERC accounts in their proposed </w:t>
      </w:r>
      <w:r>
        <w:rPr>
          <w:rFonts w:cs="Arial"/>
          <w:szCs w:val="24"/>
        </w:rPr>
        <w:t xml:space="preserve">MRCC </w:t>
      </w:r>
      <w:r w:rsidRPr="0005033F">
        <w:rPr>
          <w:rFonts w:cs="Arial"/>
          <w:szCs w:val="24"/>
        </w:rPr>
        <w:t xml:space="preserve">COSS. </w:t>
      </w:r>
      <w:r w:rsidR="00E84AF1">
        <w:rPr>
          <w:rFonts w:cs="Arial"/>
          <w:szCs w:val="24"/>
        </w:rPr>
        <w:t xml:space="preserve"> </w:t>
      </w:r>
      <w:r>
        <w:rPr>
          <w:rFonts w:cs="Arial"/>
          <w:szCs w:val="24"/>
        </w:rPr>
        <w:t>The Authority will not require any changes in the allocations currently used by the EDCs to classify the residential non-heating rate class portion of the includable costs.</w:t>
      </w:r>
    </w:p>
    <w:p w14:paraId="2FF38371" w14:textId="77777777" w:rsidR="00812DCE" w:rsidRDefault="00812DCE" w:rsidP="00812DCE">
      <w:pPr>
        <w:tabs>
          <w:tab w:val="left" w:pos="810"/>
        </w:tabs>
        <w:autoSpaceDE w:val="0"/>
        <w:autoSpaceDN w:val="0"/>
        <w:adjustRightInd w:val="0"/>
        <w:jc w:val="both"/>
        <w:rPr>
          <w:rFonts w:cs="Arial"/>
          <w:color w:val="000000"/>
          <w:szCs w:val="24"/>
        </w:rPr>
      </w:pPr>
    </w:p>
    <w:p w14:paraId="2C0644D8" w14:textId="111E05CD" w:rsidR="00812DCE" w:rsidRDefault="00812DCE" w:rsidP="00812DCE">
      <w:pPr>
        <w:tabs>
          <w:tab w:val="left" w:pos="810"/>
        </w:tabs>
        <w:autoSpaceDE w:val="0"/>
        <w:autoSpaceDN w:val="0"/>
        <w:adjustRightInd w:val="0"/>
        <w:ind w:firstLine="720"/>
        <w:jc w:val="both"/>
        <w:rPr>
          <w:rFonts w:cs="Arial"/>
          <w:color w:val="000000"/>
          <w:szCs w:val="24"/>
        </w:rPr>
      </w:pPr>
      <w:r w:rsidRPr="007A27AA">
        <w:rPr>
          <w:rFonts w:cs="Arial"/>
          <w:color w:val="000000"/>
          <w:szCs w:val="24"/>
        </w:rPr>
        <w:t xml:space="preserve">Unless otherwise directed in this </w:t>
      </w:r>
      <w:r>
        <w:rPr>
          <w:rFonts w:cs="Arial"/>
          <w:color w:val="000000"/>
          <w:szCs w:val="24"/>
        </w:rPr>
        <w:t>D</w:t>
      </w:r>
      <w:r w:rsidRPr="007A27AA">
        <w:rPr>
          <w:rFonts w:cs="Arial"/>
          <w:color w:val="000000"/>
          <w:szCs w:val="24"/>
        </w:rPr>
        <w:t xml:space="preserve">ecision, each company may continue to use its current methodology of assigning costs to the </w:t>
      </w:r>
      <w:r>
        <w:rPr>
          <w:rFonts w:cs="Arial"/>
          <w:color w:val="000000"/>
          <w:szCs w:val="24"/>
        </w:rPr>
        <w:t xml:space="preserve">statutory </w:t>
      </w:r>
      <w:r w:rsidRPr="007A27AA">
        <w:rPr>
          <w:rFonts w:cs="Arial"/>
          <w:color w:val="000000"/>
          <w:szCs w:val="24"/>
        </w:rPr>
        <w:t>functions</w:t>
      </w:r>
      <w:r>
        <w:rPr>
          <w:rFonts w:cs="Arial"/>
          <w:color w:val="000000"/>
          <w:szCs w:val="24"/>
        </w:rPr>
        <w:t xml:space="preserve">.  The Companies can include </w:t>
      </w:r>
      <w:r w:rsidRPr="007A27AA">
        <w:rPr>
          <w:rFonts w:cs="Arial"/>
          <w:color w:val="000000"/>
          <w:szCs w:val="24"/>
        </w:rPr>
        <w:t>a combination of direct assignment</w:t>
      </w:r>
      <w:r>
        <w:rPr>
          <w:rFonts w:cs="Arial"/>
          <w:color w:val="000000"/>
          <w:szCs w:val="24"/>
        </w:rPr>
        <w:t xml:space="preserve">, asset examination, and </w:t>
      </w:r>
      <w:r w:rsidRPr="007A27AA">
        <w:rPr>
          <w:rFonts w:cs="Arial"/>
          <w:color w:val="000000"/>
          <w:szCs w:val="24"/>
        </w:rPr>
        <w:t>external</w:t>
      </w:r>
      <w:r>
        <w:rPr>
          <w:rFonts w:cs="Arial"/>
          <w:color w:val="000000"/>
          <w:szCs w:val="24"/>
        </w:rPr>
        <w:t xml:space="preserve"> </w:t>
      </w:r>
      <w:r w:rsidRPr="007A27AA">
        <w:rPr>
          <w:rFonts w:cs="Arial"/>
          <w:color w:val="000000"/>
          <w:szCs w:val="24"/>
        </w:rPr>
        <w:t xml:space="preserve">and internal allocators to </w:t>
      </w:r>
      <w:r>
        <w:rPr>
          <w:rFonts w:cs="Arial"/>
          <w:color w:val="000000"/>
          <w:szCs w:val="24"/>
        </w:rPr>
        <w:t xml:space="preserve">determine </w:t>
      </w:r>
      <w:r w:rsidRPr="007A27AA">
        <w:rPr>
          <w:rFonts w:cs="Arial"/>
          <w:color w:val="000000"/>
          <w:szCs w:val="24"/>
        </w:rPr>
        <w:t>t</w:t>
      </w:r>
      <w:r>
        <w:rPr>
          <w:rFonts w:cs="Arial"/>
          <w:color w:val="000000"/>
          <w:szCs w:val="24"/>
        </w:rPr>
        <w:t>he includable costs for the MRCC calculation.</w:t>
      </w:r>
      <w:r w:rsidRPr="007A27AA">
        <w:rPr>
          <w:rFonts w:cs="Arial"/>
          <w:color w:val="000000"/>
          <w:szCs w:val="24"/>
        </w:rPr>
        <w:t xml:space="preserve"> </w:t>
      </w:r>
      <w:r>
        <w:rPr>
          <w:rFonts w:cs="Arial"/>
          <w:color w:val="000000"/>
          <w:szCs w:val="24"/>
        </w:rPr>
        <w:t xml:space="preserve"> </w:t>
      </w:r>
      <w:r w:rsidRPr="007A27AA">
        <w:rPr>
          <w:rFonts w:cs="Arial"/>
          <w:color w:val="000000"/>
          <w:szCs w:val="24"/>
        </w:rPr>
        <w:t xml:space="preserve">For </w:t>
      </w:r>
      <w:r w:rsidR="00430C33">
        <w:rPr>
          <w:rFonts w:cs="Arial"/>
          <w:color w:val="000000"/>
          <w:szCs w:val="24"/>
        </w:rPr>
        <w:t>specified</w:t>
      </w:r>
      <w:r w:rsidRPr="007A27AA">
        <w:rPr>
          <w:rFonts w:cs="Arial"/>
          <w:color w:val="000000"/>
          <w:szCs w:val="24"/>
        </w:rPr>
        <w:t xml:space="preserve"> accounts, the Authority will require direct assignment where </w:t>
      </w:r>
      <w:r>
        <w:rPr>
          <w:rFonts w:cs="Arial"/>
          <w:color w:val="000000"/>
          <w:szCs w:val="24"/>
        </w:rPr>
        <w:t xml:space="preserve">historically a company </w:t>
      </w:r>
      <w:r w:rsidRPr="007A27AA">
        <w:rPr>
          <w:rFonts w:cs="Arial"/>
          <w:color w:val="000000"/>
          <w:szCs w:val="24"/>
        </w:rPr>
        <w:t xml:space="preserve">would make an allocation.  </w:t>
      </w:r>
      <w:r>
        <w:rPr>
          <w:rFonts w:cs="Arial"/>
          <w:color w:val="000000"/>
          <w:szCs w:val="24"/>
        </w:rPr>
        <w:t>T</w:t>
      </w:r>
      <w:r w:rsidRPr="007A27AA">
        <w:rPr>
          <w:rFonts w:cs="Arial"/>
          <w:color w:val="000000"/>
          <w:szCs w:val="24"/>
        </w:rPr>
        <w:t xml:space="preserve">his is not meant to dispute </w:t>
      </w:r>
      <w:r>
        <w:rPr>
          <w:rFonts w:cs="Arial"/>
          <w:color w:val="000000"/>
          <w:szCs w:val="24"/>
        </w:rPr>
        <w:t>that</w:t>
      </w:r>
      <w:r w:rsidRPr="007A27AA">
        <w:rPr>
          <w:rFonts w:cs="Arial"/>
          <w:color w:val="000000"/>
          <w:szCs w:val="24"/>
        </w:rPr>
        <w:t xml:space="preserve"> costs from these accounts </w:t>
      </w:r>
      <w:r>
        <w:rPr>
          <w:rFonts w:cs="Arial"/>
          <w:color w:val="000000"/>
          <w:szCs w:val="24"/>
        </w:rPr>
        <w:t xml:space="preserve">may be </w:t>
      </w:r>
      <w:r w:rsidRPr="007A27AA">
        <w:rPr>
          <w:rFonts w:cs="Arial"/>
          <w:color w:val="000000"/>
          <w:szCs w:val="24"/>
        </w:rPr>
        <w:t>directly related</w:t>
      </w:r>
      <w:r>
        <w:rPr>
          <w:rFonts w:cs="Arial"/>
          <w:color w:val="000000"/>
          <w:szCs w:val="24"/>
        </w:rPr>
        <w:t xml:space="preserve"> to the statutory functions. </w:t>
      </w:r>
      <w:r w:rsidRPr="007A27AA">
        <w:rPr>
          <w:rFonts w:cs="Arial"/>
          <w:color w:val="000000"/>
          <w:szCs w:val="24"/>
        </w:rPr>
        <w:t xml:space="preserve"> </w:t>
      </w:r>
      <w:r>
        <w:rPr>
          <w:rFonts w:cs="Arial"/>
          <w:color w:val="000000"/>
          <w:szCs w:val="24"/>
        </w:rPr>
        <w:t xml:space="preserve">However, </w:t>
      </w:r>
      <w:r w:rsidRPr="007A27AA">
        <w:rPr>
          <w:rFonts w:cs="Arial"/>
          <w:color w:val="000000"/>
          <w:szCs w:val="24"/>
        </w:rPr>
        <w:t xml:space="preserve">to ensure that the </w:t>
      </w:r>
      <w:r>
        <w:rPr>
          <w:rFonts w:cs="Arial"/>
          <w:color w:val="000000"/>
          <w:szCs w:val="24"/>
        </w:rPr>
        <w:t>MRCC calculation</w:t>
      </w:r>
      <w:r w:rsidRPr="007A27AA">
        <w:rPr>
          <w:rFonts w:cs="Arial"/>
          <w:color w:val="000000"/>
          <w:szCs w:val="24"/>
        </w:rPr>
        <w:t xml:space="preserve"> recovers </w:t>
      </w:r>
      <w:r w:rsidRPr="0099082F">
        <w:rPr>
          <w:rFonts w:cs="Arial"/>
          <w:color w:val="000000"/>
          <w:szCs w:val="24"/>
        </w:rPr>
        <w:t xml:space="preserve">only </w:t>
      </w:r>
      <w:r w:rsidRPr="007A27AA">
        <w:rPr>
          <w:rFonts w:cs="Arial"/>
          <w:color w:val="000000"/>
          <w:szCs w:val="24"/>
        </w:rPr>
        <w:t xml:space="preserve">the fixed costs and </w:t>
      </w:r>
      <w:r>
        <w:rPr>
          <w:rFonts w:cs="Arial"/>
          <w:color w:val="000000"/>
          <w:szCs w:val="24"/>
        </w:rPr>
        <w:t xml:space="preserve">O&amp;M </w:t>
      </w:r>
      <w:r w:rsidRPr="007A27AA">
        <w:rPr>
          <w:rFonts w:cs="Arial"/>
          <w:color w:val="000000"/>
          <w:szCs w:val="24"/>
        </w:rPr>
        <w:t xml:space="preserve">expenses directly related to the </w:t>
      </w:r>
      <w:r>
        <w:rPr>
          <w:rFonts w:cs="Arial"/>
          <w:color w:val="000000"/>
          <w:szCs w:val="24"/>
        </w:rPr>
        <w:t xml:space="preserve">statutory functions, a direct examination and assignment of assets or expenses is necessary, where previously an allocation may have sufficed.  </w:t>
      </w:r>
    </w:p>
    <w:p w14:paraId="6A80DD1B" w14:textId="77777777" w:rsidR="00CF2AEE" w:rsidRDefault="00CF2AEE" w:rsidP="00812DCE">
      <w:pPr>
        <w:tabs>
          <w:tab w:val="left" w:pos="810"/>
        </w:tabs>
        <w:autoSpaceDE w:val="0"/>
        <w:autoSpaceDN w:val="0"/>
        <w:adjustRightInd w:val="0"/>
        <w:ind w:firstLine="720"/>
        <w:jc w:val="both"/>
        <w:rPr>
          <w:rFonts w:cs="Arial"/>
          <w:color w:val="000000"/>
          <w:szCs w:val="24"/>
        </w:rPr>
      </w:pPr>
    </w:p>
    <w:p w14:paraId="1ECEB0E1" w14:textId="6AC2687C" w:rsidR="00CF2AEE" w:rsidRPr="00150B0E" w:rsidRDefault="00CF2AEE" w:rsidP="00CF2AEE">
      <w:pPr>
        <w:tabs>
          <w:tab w:val="left" w:pos="810"/>
        </w:tabs>
        <w:autoSpaceDE w:val="0"/>
        <w:autoSpaceDN w:val="0"/>
        <w:adjustRightInd w:val="0"/>
        <w:ind w:firstLine="720"/>
        <w:jc w:val="both"/>
        <w:rPr>
          <w:rFonts w:cs="Arial"/>
          <w:color w:val="000000" w:themeColor="text1"/>
          <w:szCs w:val="24"/>
        </w:rPr>
      </w:pPr>
      <w:r>
        <w:rPr>
          <w:rFonts w:cs="Arial"/>
          <w:color w:val="000000"/>
          <w:szCs w:val="24"/>
        </w:rPr>
        <w:t xml:space="preserve">To the extent includable costs exist in certain accounts where direct assignment is required, cost allocation </w:t>
      </w:r>
      <w:r>
        <w:rPr>
          <w:rFonts w:cs="Arial"/>
          <w:szCs w:val="24"/>
        </w:rPr>
        <w:t xml:space="preserve">proposals will be considered by the Authority </w:t>
      </w:r>
      <w:r>
        <w:rPr>
          <w:rFonts w:cs="Arial"/>
        </w:rPr>
        <w:t xml:space="preserve">upon showing by the company </w:t>
      </w:r>
      <w:r>
        <w:rPr>
          <w:rFonts w:cs="Arial"/>
          <w:szCs w:val="24"/>
        </w:rPr>
        <w:t>that direct assignment is not feasible or practical</w:t>
      </w:r>
      <w:r>
        <w:rPr>
          <w:rFonts w:cs="Arial"/>
          <w:color w:val="000000"/>
          <w:szCs w:val="24"/>
        </w:rPr>
        <w:t>, and such allocation</w:t>
      </w:r>
      <w:r>
        <w:rPr>
          <w:rFonts w:cs="Arial"/>
          <w:szCs w:val="24"/>
        </w:rPr>
        <w:t xml:space="preserve"> conforms to the requirements of </w:t>
      </w:r>
      <w:r>
        <w:rPr>
          <w:rFonts w:cs="Arial"/>
          <w:color w:val="000000"/>
          <w:szCs w:val="24"/>
        </w:rPr>
        <w:t>Conn. Gen. Stat. §16-243bb and the methodology approved herein</w:t>
      </w:r>
      <w:r>
        <w:rPr>
          <w:rFonts w:cs="Arial"/>
        </w:rPr>
        <w:t>.</w:t>
      </w:r>
      <w:r>
        <w:rPr>
          <w:rFonts w:cs="Arial"/>
          <w:szCs w:val="24"/>
        </w:rPr>
        <w:t xml:space="preserve">  In such instances, the request shall </w:t>
      </w:r>
      <w:r>
        <w:rPr>
          <w:rFonts w:cs="Arial"/>
        </w:rPr>
        <w:t xml:space="preserve">be supported with a </w:t>
      </w:r>
      <w:r w:rsidRPr="00150B0E">
        <w:rPr>
          <w:rFonts w:cs="Arial"/>
          <w:color w:val="000000" w:themeColor="text1"/>
        </w:rPr>
        <w:t xml:space="preserve">summary worksheet detailing, by account, the total cost proposed for inclusion, the applicability to one or more of the statutory functions, the allocator used to assign shared cost amongst the operating companies as well as the functionalization and classification of said costs, and the unit rate of the collective adjustment.  Further, the proposed MRCC adjustment is subject to change, depending on whether the underlying costs are accepted, modified or rejected </w:t>
      </w:r>
      <w:r w:rsidR="00B81302" w:rsidRPr="00150B0E">
        <w:rPr>
          <w:rFonts w:cs="Arial"/>
          <w:color w:val="000000" w:themeColor="text1"/>
        </w:rPr>
        <w:t xml:space="preserve">by </w:t>
      </w:r>
      <w:r w:rsidRPr="00150B0E">
        <w:rPr>
          <w:rFonts w:cs="Arial"/>
          <w:color w:val="000000" w:themeColor="text1"/>
        </w:rPr>
        <w:t>the Authority</w:t>
      </w:r>
      <w:r w:rsidR="00B81302" w:rsidRPr="00150B0E">
        <w:rPr>
          <w:rFonts w:cs="Arial"/>
          <w:color w:val="000000" w:themeColor="text1"/>
        </w:rPr>
        <w:t xml:space="preserve"> in an EDC</w:t>
      </w:r>
      <w:r w:rsidRPr="00150B0E">
        <w:rPr>
          <w:rFonts w:cs="Arial"/>
          <w:color w:val="000000" w:themeColor="text1"/>
        </w:rPr>
        <w:t xml:space="preserve">’s rate case Decision.  Going forward, in rate plan filings submitted in compliance with future rate case Decisions, </w:t>
      </w:r>
      <w:r w:rsidR="00B81302" w:rsidRPr="00150B0E">
        <w:rPr>
          <w:rFonts w:cs="Arial"/>
          <w:color w:val="000000" w:themeColor="text1"/>
        </w:rPr>
        <w:t>each</w:t>
      </w:r>
      <w:r w:rsidRPr="00150B0E">
        <w:rPr>
          <w:rFonts w:cs="Arial"/>
          <w:color w:val="000000" w:themeColor="text1"/>
        </w:rPr>
        <w:t xml:space="preserve"> </w:t>
      </w:r>
      <w:r w:rsidR="00B81302" w:rsidRPr="00150B0E">
        <w:rPr>
          <w:rFonts w:cs="Arial"/>
          <w:color w:val="000000" w:themeColor="text1"/>
        </w:rPr>
        <w:t>c</w:t>
      </w:r>
      <w:r w:rsidRPr="00150B0E">
        <w:rPr>
          <w:rFonts w:cs="Arial"/>
          <w:color w:val="000000" w:themeColor="text1"/>
        </w:rPr>
        <w:t xml:space="preserve">ompany shall make and identify the required changes. </w:t>
      </w:r>
    </w:p>
    <w:p w14:paraId="6CAF390F" w14:textId="77777777" w:rsidR="00CF2AEE" w:rsidRDefault="00CF2AEE" w:rsidP="00812DCE">
      <w:pPr>
        <w:tabs>
          <w:tab w:val="left" w:pos="810"/>
        </w:tabs>
        <w:autoSpaceDE w:val="0"/>
        <w:autoSpaceDN w:val="0"/>
        <w:adjustRightInd w:val="0"/>
        <w:ind w:firstLine="720"/>
        <w:jc w:val="both"/>
        <w:rPr>
          <w:rFonts w:cs="Arial"/>
          <w:color w:val="000000"/>
          <w:szCs w:val="24"/>
        </w:rPr>
      </w:pPr>
    </w:p>
    <w:p w14:paraId="5E085656" w14:textId="7DE02185" w:rsidR="007A0456" w:rsidRPr="00935791" w:rsidRDefault="007A0456" w:rsidP="00812DCE">
      <w:pPr>
        <w:pStyle w:val="Heading2"/>
        <w:jc w:val="both"/>
      </w:pPr>
      <w:bookmarkStart w:id="49" w:name="_Toc501528271"/>
      <w:r>
        <w:t>FERC</w:t>
      </w:r>
      <w:r w:rsidRPr="0005033F">
        <w:t xml:space="preserve"> Accounts</w:t>
      </w:r>
      <w:bookmarkEnd w:id="48"/>
      <w:bookmarkEnd w:id="49"/>
    </w:p>
    <w:p w14:paraId="00E51011" w14:textId="77777777" w:rsidR="007A0456" w:rsidRPr="00176EF1" w:rsidRDefault="007A0456" w:rsidP="007A0456">
      <w:pPr>
        <w:jc w:val="both"/>
      </w:pPr>
    </w:p>
    <w:p w14:paraId="6EA60216" w14:textId="799DF7AF" w:rsidR="007A0456" w:rsidRDefault="007A0456" w:rsidP="007A0456">
      <w:pPr>
        <w:ind w:firstLine="720"/>
        <w:jc w:val="both"/>
        <w:rPr>
          <w:rFonts w:cs="Arial"/>
          <w:szCs w:val="24"/>
        </w:rPr>
      </w:pPr>
      <w:r w:rsidRPr="00935791">
        <w:rPr>
          <w:rFonts w:cs="Arial"/>
          <w:szCs w:val="24"/>
        </w:rPr>
        <w:t>The Authority reviewed the EDCs</w:t>
      </w:r>
      <w:r>
        <w:rPr>
          <w:rFonts w:cs="Arial"/>
          <w:szCs w:val="24"/>
        </w:rPr>
        <w:t>’</w:t>
      </w:r>
      <w:r w:rsidRPr="00935791">
        <w:rPr>
          <w:rFonts w:cs="Arial"/>
          <w:szCs w:val="24"/>
        </w:rPr>
        <w:t xml:space="preserve"> testimony and COSS </w:t>
      </w:r>
      <w:r w:rsidR="00AA1D43" w:rsidRPr="00935791">
        <w:rPr>
          <w:rFonts w:cs="Arial"/>
          <w:szCs w:val="24"/>
        </w:rPr>
        <w:t xml:space="preserve">filed </w:t>
      </w:r>
      <w:r w:rsidRPr="00935791">
        <w:rPr>
          <w:rFonts w:cs="Arial"/>
          <w:szCs w:val="24"/>
        </w:rPr>
        <w:t xml:space="preserve">data and considered the relationship of the individual </w:t>
      </w:r>
      <w:r w:rsidRPr="0053300A">
        <w:rPr>
          <w:rFonts w:cs="Arial"/>
          <w:szCs w:val="24"/>
        </w:rPr>
        <w:t xml:space="preserve">FERC </w:t>
      </w:r>
      <w:r w:rsidRPr="00935791">
        <w:rPr>
          <w:rFonts w:cs="Arial"/>
          <w:szCs w:val="24"/>
        </w:rPr>
        <w:t>account</w:t>
      </w:r>
      <w:r w:rsidRPr="0053300A">
        <w:rPr>
          <w:rFonts w:cs="Arial"/>
          <w:szCs w:val="24"/>
        </w:rPr>
        <w:t>s</w:t>
      </w:r>
      <w:r w:rsidRPr="00935791">
        <w:rPr>
          <w:rFonts w:cs="Arial"/>
          <w:szCs w:val="24"/>
        </w:rPr>
        <w:t xml:space="preserve"> to the statutory functions.  Includable costs </w:t>
      </w:r>
      <w:r>
        <w:rPr>
          <w:rFonts w:cs="Arial"/>
          <w:szCs w:val="24"/>
        </w:rPr>
        <w:t xml:space="preserve">span a wide array of cost categories </w:t>
      </w:r>
      <w:r w:rsidRPr="00935791">
        <w:rPr>
          <w:rFonts w:cs="Arial"/>
          <w:szCs w:val="24"/>
        </w:rPr>
        <w:t>includ</w:t>
      </w:r>
      <w:r>
        <w:rPr>
          <w:rFonts w:cs="Arial"/>
          <w:szCs w:val="24"/>
        </w:rPr>
        <w:t>ing</w:t>
      </w:r>
      <w:r w:rsidR="000B3217">
        <w:rPr>
          <w:rFonts w:cs="Arial"/>
          <w:szCs w:val="24"/>
        </w:rPr>
        <w:t xml:space="preserve">: </w:t>
      </w:r>
      <w:r>
        <w:rPr>
          <w:rFonts w:cs="Arial"/>
          <w:szCs w:val="24"/>
        </w:rPr>
        <w:t xml:space="preserve"> </w:t>
      </w:r>
      <w:r w:rsidR="00AA1D43">
        <w:rPr>
          <w:rFonts w:cs="Arial"/>
          <w:szCs w:val="24"/>
        </w:rPr>
        <w:t>Rate Base additions and deductions</w:t>
      </w:r>
      <w:r w:rsidR="000B3217">
        <w:rPr>
          <w:rFonts w:cs="Arial"/>
          <w:szCs w:val="24"/>
        </w:rPr>
        <w:t>;</w:t>
      </w:r>
      <w:r w:rsidR="00AA1D43">
        <w:rPr>
          <w:rFonts w:cs="Arial"/>
          <w:szCs w:val="24"/>
        </w:rPr>
        <w:t xml:space="preserve"> </w:t>
      </w:r>
      <w:r>
        <w:rPr>
          <w:rFonts w:cs="Arial"/>
          <w:bCs/>
          <w:szCs w:val="24"/>
        </w:rPr>
        <w:t>Electric Plant including Intangible, Distribution, and General Plant</w:t>
      </w:r>
      <w:r w:rsidR="000B3217">
        <w:rPr>
          <w:rFonts w:cs="Arial"/>
          <w:bCs/>
          <w:szCs w:val="24"/>
        </w:rPr>
        <w:t>;</w:t>
      </w:r>
      <w:r>
        <w:rPr>
          <w:rFonts w:cs="Arial"/>
          <w:bCs/>
          <w:szCs w:val="24"/>
        </w:rPr>
        <w:t xml:space="preserve"> O&amp;M Expense</w:t>
      </w:r>
      <w:r w:rsidR="000B3217">
        <w:rPr>
          <w:rFonts w:cs="Arial"/>
          <w:bCs/>
          <w:szCs w:val="24"/>
        </w:rPr>
        <w:t>;</w:t>
      </w:r>
      <w:r>
        <w:rPr>
          <w:rFonts w:cs="Arial"/>
          <w:bCs/>
          <w:szCs w:val="24"/>
        </w:rPr>
        <w:t xml:space="preserve"> </w:t>
      </w:r>
      <w:r w:rsidR="000B3217">
        <w:rPr>
          <w:rFonts w:cs="Arial"/>
          <w:bCs/>
          <w:szCs w:val="24"/>
        </w:rPr>
        <w:t xml:space="preserve">and </w:t>
      </w:r>
      <w:r>
        <w:rPr>
          <w:rFonts w:cs="Arial"/>
          <w:bCs/>
          <w:szCs w:val="24"/>
        </w:rPr>
        <w:t>Customer Expense and Sales Expenses.</w:t>
      </w:r>
      <w:r w:rsidRPr="00935791">
        <w:rPr>
          <w:rFonts w:cs="Arial"/>
          <w:szCs w:val="24"/>
        </w:rPr>
        <w:t xml:space="preserve"> </w:t>
      </w:r>
      <w:r w:rsidRPr="0053300A">
        <w:rPr>
          <w:rFonts w:cs="Arial"/>
          <w:szCs w:val="24"/>
        </w:rPr>
        <w:t xml:space="preserve"> </w:t>
      </w:r>
      <w:r w:rsidRPr="00935791">
        <w:rPr>
          <w:rFonts w:cs="Arial"/>
          <w:szCs w:val="24"/>
        </w:rPr>
        <w:t xml:space="preserve">The Authority’s </w:t>
      </w:r>
      <w:r>
        <w:rPr>
          <w:rFonts w:cs="Arial"/>
          <w:szCs w:val="24"/>
        </w:rPr>
        <w:t>analysis will address classification of costs individually at the account level</w:t>
      </w:r>
      <w:r w:rsidRPr="00935791">
        <w:rPr>
          <w:rFonts w:cs="Arial"/>
          <w:szCs w:val="24"/>
        </w:rPr>
        <w:t xml:space="preserve">.  </w:t>
      </w:r>
    </w:p>
    <w:p w14:paraId="71AB02BF" w14:textId="77777777" w:rsidR="007A0456" w:rsidRDefault="007A0456" w:rsidP="007A0456">
      <w:pPr>
        <w:ind w:firstLine="720"/>
        <w:jc w:val="both"/>
        <w:rPr>
          <w:rFonts w:cs="Arial"/>
          <w:szCs w:val="24"/>
        </w:rPr>
      </w:pPr>
    </w:p>
    <w:p w14:paraId="48954F66" w14:textId="2F2E5475" w:rsidR="007A0456" w:rsidRPr="00935791" w:rsidRDefault="007A0456" w:rsidP="007A0456">
      <w:pPr>
        <w:ind w:firstLine="720"/>
        <w:jc w:val="both"/>
        <w:rPr>
          <w:rFonts w:cs="Arial"/>
          <w:szCs w:val="24"/>
        </w:rPr>
      </w:pPr>
      <w:r w:rsidRPr="0053300A">
        <w:rPr>
          <w:rFonts w:cs="Arial"/>
          <w:szCs w:val="24"/>
        </w:rPr>
        <w:t xml:space="preserve">The Authority finds that </w:t>
      </w:r>
      <w:r>
        <w:rPr>
          <w:rFonts w:cs="Arial"/>
          <w:szCs w:val="24"/>
        </w:rPr>
        <w:t xml:space="preserve">in some instances, the </w:t>
      </w:r>
      <w:r w:rsidRPr="0053300A">
        <w:rPr>
          <w:rFonts w:cs="Arial"/>
          <w:szCs w:val="24"/>
        </w:rPr>
        <w:t xml:space="preserve">FERC </w:t>
      </w:r>
      <w:r w:rsidRPr="00935791">
        <w:rPr>
          <w:rFonts w:cs="Arial"/>
          <w:szCs w:val="24"/>
        </w:rPr>
        <w:t>account</w:t>
      </w:r>
      <w:r w:rsidRPr="0053300A">
        <w:rPr>
          <w:rFonts w:cs="Arial"/>
          <w:szCs w:val="24"/>
        </w:rPr>
        <w:t>s</w:t>
      </w:r>
      <w:r>
        <w:rPr>
          <w:rFonts w:cs="Arial"/>
          <w:szCs w:val="24"/>
        </w:rPr>
        <w:t xml:space="preserve"> fully encompass</w:t>
      </w:r>
      <w:r w:rsidRPr="00935791">
        <w:rPr>
          <w:rFonts w:cs="Arial"/>
          <w:szCs w:val="24"/>
        </w:rPr>
        <w:t xml:space="preserve"> one </w:t>
      </w:r>
      <w:r>
        <w:rPr>
          <w:rFonts w:cs="Arial"/>
          <w:szCs w:val="24"/>
        </w:rPr>
        <w:t>of</w:t>
      </w:r>
      <w:r w:rsidRPr="00935791">
        <w:rPr>
          <w:rFonts w:cs="Arial"/>
          <w:szCs w:val="24"/>
        </w:rPr>
        <w:t xml:space="preserve"> the four statutory functions.</w:t>
      </w:r>
      <w:r w:rsidRPr="0053300A">
        <w:rPr>
          <w:rFonts w:cs="Arial"/>
          <w:szCs w:val="24"/>
        </w:rPr>
        <w:t xml:space="preserve"> </w:t>
      </w:r>
      <w:r w:rsidRPr="00935791">
        <w:rPr>
          <w:rFonts w:cs="Arial"/>
          <w:szCs w:val="24"/>
        </w:rPr>
        <w:t xml:space="preserve"> For example, </w:t>
      </w:r>
      <w:r w:rsidRPr="0053300A">
        <w:rPr>
          <w:rFonts w:cs="Arial"/>
          <w:szCs w:val="24"/>
        </w:rPr>
        <w:t xml:space="preserve">FERC </w:t>
      </w:r>
      <w:r>
        <w:rPr>
          <w:rFonts w:cs="Arial"/>
          <w:szCs w:val="24"/>
        </w:rPr>
        <w:t xml:space="preserve">Account </w:t>
      </w:r>
      <w:r w:rsidRPr="00935791">
        <w:rPr>
          <w:rFonts w:cs="Arial"/>
          <w:szCs w:val="24"/>
        </w:rPr>
        <w:t>370</w:t>
      </w:r>
      <w:r w:rsidRPr="0053300A">
        <w:rPr>
          <w:rFonts w:cs="Arial"/>
          <w:szCs w:val="24"/>
        </w:rPr>
        <w:t xml:space="preserve"> </w:t>
      </w:r>
      <w:r w:rsidRPr="0053300A">
        <w:rPr>
          <w:rFonts w:cs="Arial"/>
          <w:szCs w:val="24"/>
          <w:u w:val="single"/>
        </w:rPr>
        <w:t>Meters</w:t>
      </w:r>
      <w:r w:rsidRPr="00935791">
        <w:rPr>
          <w:rFonts w:cs="Arial"/>
          <w:szCs w:val="24"/>
        </w:rPr>
        <w:t xml:space="preserve"> </w:t>
      </w:r>
      <w:r>
        <w:rPr>
          <w:rFonts w:cs="Arial"/>
          <w:szCs w:val="24"/>
        </w:rPr>
        <w:t>is includable</w:t>
      </w:r>
      <w:r w:rsidRPr="0053300A">
        <w:rPr>
          <w:rFonts w:cs="Arial"/>
          <w:szCs w:val="24"/>
        </w:rPr>
        <w:t xml:space="preserve"> in the MRCC calculation because</w:t>
      </w:r>
      <w:r>
        <w:rPr>
          <w:rFonts w:cs="Arial"/>
          <w:szCs w:val="24"/>
        </w:rPr>
        <w:t xml:space="preserve"> the recorded costs represent</w:t>
      </w:r>
      <w:r w:rsidRPr="0053300A">
        <w:rPr>
          <w:rFonts w:cs="Arial"/>
          <w:szCs w:val="24"/>
        </w:rPr>
        <w:t xml:space="preserve"> </w:t>
      </w:r>
      <w:r w:rsidRPr="00935791">
        <w:rPr>
          <w:rFonts w:cs="Arial"/>
          <w:szCs w:val="24"/>
        </w:rPr>
        <w:t>the physical meter</w:t>
      </w:r>
      <w:r>
        <w:rPr>
          <w:rFonts w:cs="Arial"/>
          <w:szCs w:val="24"/>
        </w:rPr>
        <w:t>s</w:t>
      </w:r>
      <w:r w:rsidRPr="00935791">
        <w:rPr>
          <w:rFonts w:cs="Arial"/>
          <w:szCs w:val="24"/>
        </w:rPr>
        <w:t xml:space="preserve"> and associated labor.  </w:t>
      </w:r>
      <w:r>
        <w:rPr>
          <w:rFonts w:cs="Arial"/>
          <w:szCs w:val="24"/>
        </w:rPr>
        <w:t>In many</w:t>
      </w:r>
      <w:r w:rsidRPr="0053300A">
        <w:rPr>
          <w:rFonts w:cs="Arial"/>
          <w:szCs w:val="24"/>
        </w:rPr>
        <w:t xml:space="preserve"> FERC accounts</w:t>
      </w:r>
      <w:r>
        <w:rPr>
          <w:rFonts w:cs="Arial"/>
          <w:szCs w:val="24"/>
        </w:rPr>
        <w:t>,</w:t>
      </w:r>
      <w:r w:rsidRPr="00935791">
        <w:rPr>
          <w:rFonts w:cs="Arial"/>
          <w:szCs w:val="24"/>
        </w:rPr>
        <w:t xml:space="preserve"> the account description does not </w:t>
      </w:r>
      <w:r>
        <w:rPr>
          <w:rFonts w:cs="Arial"/>
          <w:szCs w:val="24"/>
        </w:rPr>
        <w:t>specifically</w:t>
      </w:r>
      <w:r w:rsidRPr="00935791">
        <w:rPr>
          <w:rFonts w:cs="Arial"/>
          <w:szCs w:val="24"/>
        </w:rPr>
        <w:t xml:space="preserve"> apply to the four statutory functions</w:t>
      </w:r>
      <w:r w:rsidRPr="0053300A">
        <w:rPr>
          <w:rFonts w:cs="Arial"/>
          <w:szCs w:val="24"/>
        </w:rPr>
        <w:t xml:space="preserve">.  </w:t>
      </w:r>
      <w:r>
        <w:rPr>
          <w:rFonts w:cs="Arial"/>
          <w:szCs w:val="24"/>
        </w:rPr>
        <w:t>These</w:t>
      </w:r>
      <w:r w:rsidRPr="0053300A">
        <w:rPr>
          <w:rFonts w:cs="Arial"/>
          <w:szCs w:val="24"/>
        </w:rPr>
        <w:t xml:space="preserve"> </w:t>
      </w:r>
      <w:r w:rsidRPr="00935791">
        <w:rPr>
          <w:rFonts w:cs="Arial"/>
          <w:szCs w:val="24"/>
        </w:rPr>
        <w:t>FERC account</w:t>
      </w:r>
      <w:r w:rsidRPr="0053300A">
        <w:rPr>
          <w:rFonts w:cs="Arial"/>
          <w:szCs w:val="24"/>
        </w:rPr>
        <w:t>s</w:t>
      </w:r>
      <w:r w:rsidRPr="00935791">
        <w:rPr>
          <w:rFonts w:cs="Arial"/>
          <w:szCs w:val="24"/>
        </w:rPr>
        <w:t xml:space="preserve"> </w:t>
      </w:r>
      <w:r>
        <w:rPr>
          <w:rFonts w:cs="Arial"/>
          <w:szCs w:val="24"/>
        </w:rPr>
        <w:t xml:space="preserve">may still, however, </w:t>
      </w:r>
      <w:r w:rsidRPr="00935791">
        <w:rPr>
          <w:rFonts w:cs="Arial"/>
          <w:szCs w:val="24"/>
        </w:rPr>
        <w:t xml:space="preserve">include costs that are necessary </w:t>
      </w:r>
      <w:r w:rsidRPr="0053300A">
        <w:rPr>
          <w:rFonts w:cs="Arial"/>
          <w:szCs w:val="24"/>
        </w:rPr>
        <w:t xml:space="preserve">for the </w:t>
      </w:r>
      <w:r w:rsidRPr="00935791">
        <w:rPr>
          <w:rFonts w:cs="Arial"/>
          <w:szCs w:val="24"/>
        </w:rPr>
        <w:t xml:space="preserve">provision </w:t>
      </w:r>
      <w:r w:rsidRPr="0053300A">
        <w:rPr>
          <w:rFonts w:cs="Arial"/>
          <w:szCs w:val="24"/>
        </w:rPr>
        <w:t xml:space="preserve">of </w:t>
      </w:r>
      <w:r w:rsidRPr="00935791">
        <w:rPr>
          <w:rFonts w:cs="Arial"/>
          <w:szCs w:val="24"/>
        </w:rPr>
        <w:t>one or more of the statutory functions for residential non</w:t>
      </w:r>
      <w:r w:rsidRPr="00935791">
        <w:rPr>
          <w:rFonts w:cs="Arial"/>
          <w:szCs w:val="24"/>
        </w:rPr>
        <w:noBreakHyphen/>
        <w:t xml:space="preserve">heating customers.  For example, FERC </w:t>
      </w:r>
      <w:r>
        <w:rPr>
          <w:rFonts w:cs="Arial"/>
          <w:szCs w:val="24"/>
        </w:rPr>
        <w:t xml:space="preserve">Account </w:t>
      </w:r>
      <w:r w:rsidRPr="00935791">
        <w:rPr>
          <w:rFonts w:cs="Arial"/>
          <w:szCs w:val="24"/>
        </w:rPr>
        <w:t>303</w:t>
      </w:r>
      <w:r w:rsidRPr="0053300A">
        <w:rPr>
          <w:rFonts w:cs="Arial"/>
          <w:szCs w:val="24"/>
        </w:rPr>
        <w:t>,</w:t>
      </w:r>
      <w:r w:rsidRPr="00935791">
        <w:rPr>
          <w:rFonts w:cs="Arial"/>
          <w:szCs w:val="24"/>
        </w:rPr>
        <w:t xml:space="preserve"> </w:t>
      </w:r>
      <w:r w:rsidRPr="0053300A">
        <w:rPr>
          <w:rFonts w:cs="Arial"/>
          <w:szCs w:val="24"/>
          <w:u w:val="single"/>
        </w:rPr>
        <w:t>Miscellaneous and Intangible Plant</w:t>
      </w:r>
      <w:r w:rsidRPr="00935791">
        <w:rPr>
          <w:rFonts w:cs="Arial"/>
          <w:szCs w:val="24"/>
        </w:rPr>
        <w:t>,</w:t>
      </w:r>
      <w:r>
        <w:rPr>
          <w:rFonts w:cs="Arial"/>
          <w:szCs w:val="24"/>
        </w:rPr>
        <w:t xml:space="preserve"> may contain</w:t>
      </w:r>
      <w:r w:rsidRPr="00935791">
        <w:rPr>
          <w:rFonts w:cs="Arial"/>
          <w:szCs w:val="24"/>
        </w:rPr>
        <w:t xml:space="preserve"> </w:t>
      </w:r>
      <w:r>
        <w:rPr>
          <w:rFonts w:cs="Arial"/>
          <w:szCs w:val="24"/>
        </w:rPr>
        <w:t>includable costs for metering or customer service</w:t>
      </w:r>
      <w:r w:rsidR="00AA1D43">
        <w:rPr>
          <w:rFonts w:cs="Arial"/>
          <w:szCs w:val="24"/>
        </w:rPr>
        <w:t xml:space="preserve"> </w:t>
      </w:r>
      <w:r>
        <w:rPr>
          <w:rFonts w:cs="Arial"/>
          <w:szCs w:val="24"/>
        </w:rPr>
        <w:t xml:space="preserve">related </w:t>
      </w:r>
      <w:r w:rsidRPr="00935791">
        <w:rPr>
          <w:rFonts w:cs="Arial"/>
          <w:szCs w:val="24"/>
        </w:rPr>
        <w:t>software</w:t>
      </w:r>
      <w:r>
        <w:rPr>
          <w:rFonts w:cs="Arial"/>
          <w:szCs w:val="24"/>
        </w:rPr>
        <w:t xml:space="preserve">, along with non-includable software for cybersecurity </w:t>
      </w:r>
      <w:r>
        <w:rPr>
          <w:rFonts w:cs="Arial"/>
          <w:szCs w:val="24"/>
        </w:rPr>
        <w:lastRenderedPageBreak/>
        <w:t>or accounting</w:t>
      </w:r>
      <w:r w:rsidRPr="00935791">
        <w:rPr>
          <w:rFonts w:cs="Arial"/>
          <w:szCs w:val="24"/>
        </w:rPr>
        <w:t>.  Without this software, an order</w:t>
      </w:r>
      <w:r w:rsidRPr="0053300A">
        <w:rPr>
          <w:rFonts w:cs="Arial"/>
          <w:szCs w:val="24"/>
        </w:rPr>
        <w:t xml:space="preserve"> for service</w:t>
      </w:r>
      <w:r w:rsidRPr="00935791">
        <w:rPr>
          <w:rFonts w:cs="Arial"/>
          <w:szCs w:val="24"/>
        </w:rPr>
        <w:t xml:space="preserve"> cannot be processed</w:t>
      </w:r>
      <w:r w:rsidRPr="0053300A">
        <w:rPr>
          <w:rFonts w:cs="Arial"/>
          <w:szCs w:val="24"/>
        </w:rPr>
        <w:t xml:space="preserve"> and</w:t>
      </w:r>
      <w:r w:rsidRPr="00935791">
        <w:rPr>
          <w:rFonts w:cs="Arial"/>
          <w:szCs w:val="24"/>
        </w:rPr>
        <w:t xml:space="preserve"> a meter could not be read. </w:t>
      </w:r>
      <w:r w:rsidRPr="0053300A">
        <w:rPr>
          <w:rFonts w:cs="Arial"/>
          <w:szCs w:val="24"/>
        </w:rPr>
        <w:t xml:space="preserve"> </w:t>
      </w:r>
      <w:r>
        <w:rPr>
          <w:rFonts w:cs="Arial"/>
          <w:szCs w:val="24"/>
        </w:rPr>
        <w:t>In other instances, the FERC accounts do not have any relationship to the statutory functions.</w:t>
      </w:r>
    </w:p>
    <w:p w14:paraId="2313D931" w14:textId="77777777" w:rsidR="007A0456" w:rsidRPr="00935791" w:rsidRDefault="007A0456" w:rsidP="007A0456">
      <w:pPr>
        <w:ind w:firstLine="720"/>
        <w:jc w:val="both"/>
        <w:rPr>
          <w:rFonts w:cs="Arial"/>
          <w:szCs w:val="24"/>
        </w:rPr>
      </w:pPr>
    </w:p>
    <w:p w14:paraId="1D8819FF" w14:textId="7BA81DE8" w:rsidR="007A0456" w:rsidRPr="002247B1" w:rsidRDefault="007A0456" w:rsidP="007A0456">
      <w:pPr>
        <w:ind w:firstLine="720"/>
        <w:jc w:val="both"/>
        <w:rPr>
          <w:rFonts w:cs="Arial"/>
          <w:szCs w:val="24"/>
        </w:rPr>
      </w:pPr>
      <w:r w:rsidRPr="0053300A">
        <w:rPr>
          <w:rFonts w:cs="Arial"/>
          <w:szCs w:val="24"/>
        </w:rPr>
        <w:t>The Authority also determined that a</w:t>
      </w:r>
      <w:r w:rsidRPr="00935791">
        <w:rPr>
          <w:rFonts w:cs="Arial"/>
          <w:szCs w:val="24"/>
        </w:rPr>
        <w:t xml:space="preserve"> limited number of </w:t>
      </w:r>
      <w:r w:rsidRPr="0053300A">
        <w:rPr>
          <w:rFonts w:cs="Arial"/>
          <w:szCs w:val="24"/>
        </w:rPr>
        <w:t>administrative and general</w:t>
      </w:r>
      <w:r w:rsidR="00430C33">
        <w:rPr>
          <w:rFonts w:cs="Arial"/>
          <w:szCs w:val="24"/>
        </w:rPr>
        <w:t xml:space="preserve"> (A&amp;G)</w:t>
      </w:r>
      <w:r w:rsidRPr="0053300A">
        <w:rPr>
          <w:rFonts w:cs="Arial"/>
          <w:szCs w:val="24"/>
        </w:rPr>
        <w:t xml:space="preserve"> expense FERC accounts, such as property insurance, damages and injury and benefits, were </w:t>
      </w:r>
      <w:r>
        <w:rPr>
          <w:rFonts w:cs="Arial"/>
          <w:szCs w:val="24"/>
        </w:rPr>
        <w:t>appropriate for inclusion</w:t>
      </w:r>
      <w:r w:rsidRPr="0053300A">
        <w:rPr>
          <w:rFonts w:cs="Arial"/>
          <w:szCs w:val="24"/>
        </w:rPr>
        <w:t xml:space="preserve"> in the MRCC</w:t>
      </w:r>
      <w:r w:rsidRPr="00935791">
        <w:rPr>
          <w:rFonts w:cs="Arial"/>
          <w:szCs w:val="24"/>
        </w:rPr>
        <w:t xml:space="preserve">.  </w:t>
      </w:r>
      <w:r>
        <w:rPr>
          <w:rFonts w:cs="Arial"/>
          <w:szCs w:val="24"/>
        </w:rPr>
        <w:t>This determination is based largely on whether the A&amp;G cost is tied to an includable asset or expense item.  For example, costs related to</w:t>
      </w:r>
      <w:r w:rsidRPr="00935791">
        <w:rPr>
          <w:rFonts w:cs="Arial"/>
          <w:szCs w:val="24"/>
        </w:rPr>
        <w:t xml:space="preserve"> property insurance for </w:t>
      </w:r>
      <w:r w:rsidRPr="0053300A">
        <w:rPr>
          <w:rFonts w:cs="Arial"/>
          <w:szCs w:val="24"/>
        </w:rPr>
        <w:t>the</w:t>
      </w:r>
      <w:r w:rsidRPr="00935791">
        <w:rPr>
          <w:rFonts w:cs="Arial"/>
          <w:szCs w:val="24"/>
        </w:rPr>
        <w:t xml:space="preserve"> assets </w:t>
      </w:r>
      <w:r>
        <w:rPr>
          <w:rFonts w:cs="Arial"/>
          <w:szCs w:val="24"/>
        </w:rPr>
        <w:t>necessary to perform</w:t>
      </w:r>
      <w:r w:rsidRPr="00935791">
        <w:rPr>
          <w:rFonts w:cs="Arial"/>
          <w:szCs w:val="24"/>
        </w:rPr>
        <w:t xml:space="preserve"> the statutory function</w:t>
      </w:r>
      <w:r w:rsidRPr="0053300A">
        <w:rPr>
          <w:rFonts w:cs="Arial"/>
          <w:szCs w:val="24"/>
        </w:rPr>
        <w:t>s</w:t>
      </w:r>
      <w:r>
        <w:rPr>
          <w:rFonts w:cs="Arial"/>
          <w:szCs w:val="24"/>
        </w:rPr>
        <w:t>, such as service connections</w:t>
      </w:r>
      <w:r w:rsidRPr="0053300A">
        <w:rPr>
          <w:rFonts w:cs="Arial"/>
          <w:szCs w:val="24"/>
        </w:rPr>
        <w:t xml:space="preserve">.  </w:t>
      </w:r>
      <w:r>
        <w:rPr>
          <w:rFonts w:cs="Arial"/>
          <w:szCs w:val="24"/>
        </w:rPr>
        <w:t>Similarly</w:t>
      </w:r>
      <w:r w:rsidRPr="0053300A">
        <w:rPr>
          <w:rFonts w:cs="Arial"/>
          <w:szCs w:val="24"/>
        </w:rPr>
        <w:t xml:space="preserve">, </w:t>
      </w:r>
      <w:r>
        <w:rPr>
          <w:rFonts w:cs="Arial"/>
          <w:szCs w:val="24"/>
        </w:rPr>
        <w:t>costs</w:t>
      </w:r>
      <w:r w:rsidRPr="0053300A">
        <w:rPr>
          <w:rFonts w:cs="Arial"/>
          <w:szCs w:val="24"/>
        </w:rPr>
        <w:t xml:space="preserve"> </w:t>
      </w:r>
      <w:r>
        <w:rPr>
          <w:rFonts w:cs="Arial"/>
          <w:szCs w:val="24"/>
        </w:rPr>
        <w:t>of</w:t>
      </w:r>
      <w:r w:rsidRPr="0053300A">
        <w:rPr>
          <w:rFonts w:cs="Arial"/>
          <w:szCs w:val="24"/>
        </w:rPr>
        <w:t xml:space="preserve"> </w:t>
      </w:r>
      <w:r w:rsidRPr="00935791">
        <w:rPr>
          <w:rFonts w:cs="Arial"/>
          <w:szCs w:val="24"/>
        </w:rPr>
        <w:t xml:space="preserve">benefits </w:t>
      </w:r>
      <w:r w:rsidR="00430C33">
        <w:rPr>
          <w:rFonts w:cs="Arial"/>
          <w:szCs w:val="24"/>
        </w:rPr>
        <w:t>and</w:t>
      </w:r>
      <w:r w:rsidRPr="00935791">
        <w:rPr>
          <w:rFonts w:cs="Arial"/>
          <w:szCs w:val="24"/>
        </w:rPr>
        <w:t xml:space="preserve"> insurance for damages and injury for employees who perform work related to any of </w:t>
      </w:r>
      <w:r w:rsidRPr="00E748A9">
        <w:rPr>
          <w:rFonts w:cs="Arial"/>
          <w:szCs w:val="24"/>
        </w:rPr>
        <w:t xml:space="preserve">the </w:t>
      </w:r>
      <w:r>
        <w:rPr>
          <w:rFonts w:cs="Arial"/>
          <w:szCs w:val="24"/>
        </w:rPr>
        <w:t xml:space="preserve">four </w:t>
      </w:r>
      <w:r w:rsidRPr="0053300A">
        <w:rPr>
          <w:rFonts w:cs="Arial"/>
          <w:szCs w:val="24"/>
        </w:rPr>
        <w:t>statutory</w:t>
      </w:r>
      <w:r w:rsidRPr="00E748A9">
        <w:rPr>
          <w:rFonts w:cs="Arial"/>
          <w:szCs w:val="24"/>
        </w:rPr>
        <w:t xml:space="preserve"> functions</w:t>
      </w:r>
      <w:r w:rsidRPr="0053300A">
        <w:rPr>
          <w:rFonts w:cs="Arial"/>
          <w:szCs w:val="24"/>
        </w:rPr>
        <w:t xml:space="preserve"> </w:t>
      </w:r>
      <w:r>
        <w:rPr>
          <w:rFonts w:cs="Arial"/>
          <w:szCs w:val="24"/>
        </w:rPr>
        <w:t xml:space="preserve">are includable </w:t>
      </w:r>
      <w:r w:rsidRPr="0053300A">
        <w:rPr>
          <w:rFonts w:cs="Arial"/>
          <w:szCs w:val="24"/>
        </w:rPr>
        <w:t>in the MRCC calculation</w:t>
      </w:r>
      <w:r w:rsidRPr="00E748A9">
        <w:rPr>
          <w:rFonts w:cs="Arial"/>
          <w:szCs w:val="24"/>
        </w:rPr>
        <w:t>.  The Authority f</w:t>
      </w:r>
      <w:r w:rsidRPr="0053300A">
        <w:rPr>
          <w:rFonts w:cs="Arial"/>
          <w:szCs w:val="24"/>
        </w:rPr>
        <w:t>inds</w:t>
      </w:r>
      <w:r w:rsidRPr="00E748A9">
        <w:rPr>
          <w:rFonts w:cs="Arial"/>
          <w:szCs w:val="24"/>
        </w:rPr>
        <w:t xml:space="preserve"> that there is a</w:t>
      </w:r>
      <w:r>
        <w:rPr>
          <w:rFonts w:cs="Arial"/>
          <w:szCs w:val="24"/>
        </w:rPr>
        <w:t xml:space="preserve"> direct </w:t>
      </w:r>
      <w:r w:rsidRPr="00E748A9">
        <w:rPr>
          <w:rFonts w:cs="Arial"/>
          <w:szCs w:val="24"/>
        </w:rPr>
        <w:t xml:space="preserve">relationship </w:t>
      </w:r>
      <w:r w:rsidRPr="0053300A">
        <w:rPr>
          <w:rFonts w:cs="Arial"/>
          <w:szCs w:val="24"/>
        </w:rPr>
        <w:t xml:space="preserve">between </w:t>
      </w:r>
      <w:r w:rsidRPr="00E748A9">
        <w:rPr>
          <w:rFonts w:cs="Arial"/>
          <w:szCs w:val="24"/>
        </w:rPr>
        <w:t>th</w:t>
      </w:r>
      <w:r>
        <w:rPr>
          <w:rFonts w:cs="Arial"/>
          <w:szCs w:val="24"/>
        </w:rPr>
        <w:t xml:space="preserve">ose kinds of A&amp;G </w:t>
      </w:r>
      <w:r w:rsidRPr="00E748A9">
        <w:rPr>
          <w:rFonts w:cs="Arial"/>
          <w:szCs w:val="24"/>
        </w:rPr>
        <w:t xml:space="preserve">expenses </w:t>
      </w:r>
      <w:r w:rsidRPr="0053300A">
        <w:rPr>
          <w:rFonts w:cs="Arial"/>
          <w:szCs w:val="24"/>
        </w:rPr>
        <w:t xml:space="preserve">and other </w:t>
      </w:r>
      <w:r w:rsidRPr="00E748A9">
        <w:rPr>
          <w:rFonts w:cs="Arial"/>
          <w:szCs w:val="24"/>
        </w:rPr>
        <w:t xml:space="preserve">includable </w:t>
      </w:r>
      <w:r w:rsidRPr="0053300A">
        <w:rPr>
          <w:rFonts w:cs="Arial"/>
          <w:szCs w:val="24"/>
        </w:rPr>
        <w:t>costs</w:t>
      </w:r>
      <w:r w:rsidRPr="00E748A9">
        <w:rPr>
          <w:rFonts w:cs="Arial"/>
          <w:szCs w:val="24"/>
        </w:rPr>
        <w:t xml:space="preserve">. </w:t>
      </w:r>
      <w:r w:rsidRPr="0053300A">
        <w:rPr>
          <w:rFonts w:cs="Arial"/>
          <w:szCs w:val="24"/>
        </w:rPr>
        <w:t xml:space="preserve"> </w:t>
      </w:r>
      <w:r>
        <w:rPr>
          <w:rFonts w:cs="Arial"/>
          <w:szCs w:val="24"/>
        </w:rPr>
        <w:t xml:space="preserve">Certain other A&amp;G expenses, such as Land, Structures and </w:t>
      </w:r>
      <w:r w:rsidR="00AA1D43">
        <w:rPr>
          <w:rFonts w:cs="Arial"/>
          <w:szCs w:val="24"/>
        </w:rPr>
        <w:t>M</w:t>
      </w:r>
      <w:r>
        <w:rPr>
          <w:rFonts w:cs="Arial"/>
          <w:szCs w:val="24"/>
        </w:rPr>
        <w:t xml:space="preserve">iscellaneous </w:t>
      </w:r>
      <w:r w:rsidR="00AA1D43">
        <w:rPr>
          <w:rFonts w:cs="Arial"/>
          <w:szCs w:val="24"/>
        </w:rPr>
        <w:t>E</w:t>
      </w:r>
      <w:r>
        <w:rPr>
          <w:rFonts w:cs="Arial"/>
          <w:szCs w:val="24"/>
        </w:rPr>
        <w:t>quipment/</w:t>
      </w:r>
      <w:r w:rsidR="00AA1D43">
        <w:rPr>
          <w:rFonts w:cs="Arial"/>
          <w:szCs w:val="24"/>
        </w:rPr>
        <w:t>S</w:t>
      </w:r>
      <w:r>
        <w:rPr>
          <w:rFonts w:cs="Arial"/>
          <w:szCs w:val="24"/>
        </w:rPr>
        <w:t xml:space="preserve">torage, relate to many </w:t>
      </w:r>
      <w:r w:rsidR="000B3217">
        <w:rPr>
          <w:rFonts w:cs="Arial"/>
          <w:szCs w:val="24"/>
        </w:rPr>
        <w:t xml:space="preserve">EDC </w:t>
      </w:r>
      <w:r>
        <w:rPr>
          <w:rFonts w:cs="Arial"/>
          <w:szCs w:val="24"/>
        </w:rPr>
        <w:t>operations and are considered overhead expenses for the purposes of the MRCC</w:t>
      </w:r>
      <w:r w:rsidR="00AA1D43">
        <w:rPr>
          <w:rFonts w:cs="Arial"/>
          <w:szCs w:val="24"/>
        </w:rPr>
        <w:t xml:space="preserve"> calculation</w:t>
      </w:r>
      <w:r>
        <w:rPr>
          <w:rFonts w:cs="Arial"/>
          <w:szCs w:val="24"/>
        </w:rPr>
        <w:t>.  T</w:t>
      </w:r>
      <w:r w:rsidRPr="00E748A9">
        <w:rPr>
          <w:rFonts w:cs="Arial"/>
          <w:szCs w:val="24"/>
        </w:rPr>
        <w:t xml:space="preserve">he Authority determined that </w:t>
      </w:r>
      <w:r>
        <w:rPr>
          <w:rFonts w:cs="Arial"/>
          <w:szCs w:val="24"/>
        </w:rPr>
        <w:t xml:space="preserve">Conn. Gen. Stat. §16-243bb compels the exclusion of </w:t>
      </w:r>
      <w:r w:rsidRPr="0053300A">
        <w:rPr>
          <w:rFonts w:cs="Arial"/>
          <w:szCs w:val="24"/>
        </w:rPr>
        <w:t>general plant</w:t>
      </w:r>
      <w:r>
        <w:rPr>
          <w:rFonts w:cs="Arial"/>
          <w:szCs w:val="24"/>
        </w:rPr>
        <w:t>/</w:t>
      </w:r>
      <w:r w:rsidRPr="0053300A">
        <w:rPr>
          <w:rFonts w:cs="Arial"/>
          <w:szCs w:val="24"/>
        </w:rPr>
        <w:t>overhead</w:t>
      </w:r>
      <w:r>
        <w:rPr>
          <w:rFonts w:cs="Arial"/>
          <w:szCs w:val="24"/>
        </w:rPr>
        <w:t xml:space="preserve"> expenses</w:t>
      </w:r>
      <w:r w:rsidRPr="0053300A">
        <w:rPr>
          <w:rFonts w:cs="Arial"/>
          <w:szCs w:val="24"/>
        </w:rPr>
        <w:t xml:space="preserve"> </w:t>
      </w:r>
      <w:r>
        <w:rPr>
          <w:rFonts w:cs="Arial"/>
          <w:szCs w:val="24"/>
        </w:rPr>
        <w:t>or</w:t>
      </w:r>
      <w:r w:rsidRPr="0053300A">
        <w:rPr>
          <w:rFonts w:cs="Arial"/>
          <w:szCs w:val="24"/>
        </w:rPr>
        <w:t xml:space="preserve"> </w:t>
      </w:r>
      <w:r>
        <w:rPr>
          <w:rFonts w:cs="Arial"/>
          <w:szCs w:val="24"/>
        </w:rPr>
        <w:t>costs shared amongst many</w:t>
      </w:r>
      <w:r w:rsidRPr="0053300A">
        <w:rPr>
          <w:rFonts w:cs="Arial"/>
          <w:szCs w:val="24"/>
        </w:rPr>
        <w:t xml:space="preserve"> </w:t>
      </w:r>
      <w:r w:rsidRPr="0005033F">
        <w:rPr>
          <w:rFonts w:cs="Arial"/>
          <w:szCs w:val="24"/>
        </w:rPr>
        <w:t>operating functions</w:t>
      </w:r>
      <w:r>
        <w:rPr>
          <w:rFonts w:cs="Arial"/>
          <w:szCs w:val="24"/>
        </w:rPr>
        <w:t xml:space="preserve"> with no direct relationship to the statutory functions</w:t>
      </w:r>
      <w:r w:rsidRPr="0053300A">
        <w:rPr>
          <w:rFonts w:cs="Arial"/>
          <w:szCs w:val="24"/>
        </w:rPr>
        <w:t xml:space="preserve">. </w:t>
      </w:r>
      <w:r w:rsidR="004826AA">
        <w:rPr>
          <w:rFonts w:cs="Arial"/>
          <w:szCs w:val="24"/>
        </w:rPr>
        <w:t xml:space="preserve"> </w:t>
      </w:r>
      <w:r w:rsidRPr="002247B1">
        <w:rPr>
          <w:rFonts w:cs="Arial"/>
          <w:szCs w:val="24"/>
        </w:rPr>
        <w:t>A summary of the includable FERC accounts for the MRCC calculation is found in Section III.</w:t>
      </w:r>
      <w:r w:rsidR="002662C5">
        <w:rPr>
          <w:rFonts w:cs="Arial"/>
          <w:szCs w:val="24"/>
        </w:rPr>
        <w:t>E</w:t>
      </w:r>
      <w:r w:rsidRPr="002247B1">
        <w:rPr>
          <w:rFonts w:cs="Arial"/>
          <w:szCs w:val="24"/>
        </w:rPr>
        <w:t xml:space="preserve">. </w:t>
      </w:r>
      <w:r w:rsidR="002662C5" w:rsidRPr="002662C5">
        <w:rPr>
          <w:rFonts w:cs="Arial"/>
          <w:szCs w:val="24"/>
          <w:u w:val="single"/>
        </w:rPr>
        <w:t xml:space="preserve">MRCC </w:t>
      </w:r>
      <w:r w:rsidRPr="002662C5">
        <w:rPr>
          <w:rFonts w:cs="Arial"/>
          <w:szCs w:val="24"/>
          <w:u w:val="single"/>
        </w:rPr>
        <w:t>C</w:t>
      </w:r>
      <w:r w:rsidRPr="002247B1">
        <w:rPr>
          <w:rFonts w:cs="Arial"/>
          <w:szCs w:val="24"/>
          <w:u w:val="single"/>
        </w:rPr>
        <w:t>alculation</w:t>
      </w:r>
      <w:r w:rsidRPr="002247B1">
        <w:rPr>
          <w:rFonts w:cs="Arial"/>
          <w:szCs w:val="24"/>
        </w:rPr>
        <w:t>.</w:t>
      </w:r>
    </w:p>
    <w:p w14:paraId="095A15E5" w14:textId="77777777" w:rsidR="007A0456" w:rsidRPr="009A5726" w:rsidRDefault="007A0456" w:rsidP="007A0456">
      <w:pPr>
        <w:ind w:firstLine="720"/>
        <w:jc w:val="both"/>
        <w:rPr>
          <w:rFonts w:cs="Arial"/>
          <w:sz w:val="22"/>
          <w:szCs w:val="22"/>
        </w:rPr>
      </w:pPr>
    </w:p>
    <w:p w14:paraId="6006A5E4" w14:textId="10EA75ED" w:rsidR="007A0456" w:rsidRPr="005A507C" w:rsidRDefault="007A0456" w:rsidP="00E1092F">
      <w:pPr>
        <w:pStyle w:val="Heading3"/>
        <w:ind w:hanging="720"/>
      </w:pPr>
      <w:bookmarkStart w:id="50" w:name="_Toc499050484"/>
      <w:bookmarkStart w:id="51" w:name="_Toc501528272"/>
      <w:r w:rsidRPr="005A507C">
        <w:t xml:space="preserve">Balance Sheet </w:t>
      </w:r>
      <w:r w:rsidR="005A4ADA">
        <w:t>Accounts</w:t>
      </w:r>
      <w:r w:rsidRPr="005A507C">
        <w:t xml:space="preserve"> 100-299</w:t>
      </w:r>
      <w:bookmarkEnd w:id="50"/>
      <w:bookmarkEnd w:id="51"/>
    </w:p>
    <w:p w14:paraId="7A170267" w14:textId="77777777" w:rsidR="007A0456" w:rsidRPr="009A5726" w:rsidRDefault="007A0456" w:rsidP="009A5726">
      <w:pPr>
        <w:ind w:firstLine="720"/>
        <w:jc w:val="both"/>
        <w:rPr>
          <w:rFonts w:cs="Arial"/>
          <w:sz w:val="22"/>
          <w:szCs w:val="22"/>
        </w:rPr>
      </w:pPr>
    </w:p>
    <w:p w14:paraId="5FC41CCE" w14:textId="4373D595" w:rsidR="007A0456" w:rsidRDefault="007A0456" w:rsidP="007A0456">
      <w:pPr>
        <w:jc w:val="both"/>
        <w:rPr>
          <w:rFonts w:cs="Arial"/>
          <w:szCs w:val="24"/>
        </w:rPr>
      </w:pPr>
      <w:r>
        <w:rPr>
          <w:rFonts w:cs="Arial"/>
          <w:szCs w:val="24"/>
        </w:rPr>
        <w:tab/>
        <w:t>This series of FERC Accounts include several hundred titles.  T</w:t>
      </w:r>
      <w:r w:rsidRPr="008053D8">
        <w:rPr>
          <w:rFonts w:cs="Arial"/>
          <w:szCs w:val="24"/>
        </w:rPr>
        <w:t xml:space="preserve">he Authority will limit the scope </w:t>
      </w:r>
      <w:r>
        <w:rPr>
          <w:rFonts w:cs="Arial"/>
          <w:szCs w:val="24"/>
        </w:rPr>
        <w:t xml:space="preserve">of </w:t>
      </w:r>
      <w:r w:rsidR="00AA1D43">
        <w:rPr>
          <w:rFonts w:cs="Arial"/>
          <w:szCs w:val="24"/>
        </w:rPr>
        <w:t xml:space="preserve">the </w:t>
      </w:r>
      <w:r>
        <w:rPr>
          <w:rFonts w:cs="Arial"/>
          <w:szCs w:val="24"/>
        </w:rPr>
        <w:t xml:space="preserve">discussion </w:t>
      </w:r>
      <w:r w:rsidRPr="008053D8">
        <w:rPr>
          <w:rFonts w:cs="Arial"/>
          <w:szCs w:val="24"/>
        </w:rPr>
        <w:t xml:space="preserve">to </w:t>
      </w:r>
      <w:r>
        <w:rPr>
          <w:rFonts w:cs="Arial"/>
          <w:szCs w:val="24"/>
        </w:rPr>
        <w:t>FERC Accounts identified by the Parties as directly related to one or more of the statutory functions.</w:t>
      </w:r>
    </w:p>
    <w:p w14:paraId="0192008D" w14:textId="77777777" w:rsidR="007A0456" w:rsidRPr="009A5726" w:rsidRDefault="007A0456" w:rsidP="009A5726">
      <w:pPr>
        <w:ind w:firstLine="720"/>
        <w:jc w:val="both"/>
        <w:rPr>
          <w:rFonts w:cs="Arial"/>
          <w:sz w:val="22"/>
          <w:szCs w:val="22"/>
        </w:rPr>
      </w:pPr>
    </w:p>
    <w:p w14:paraId="592BE269" w14:textId="77777777" w:rsidR="007A0456" w:rsidRDefault="007A0456" w:rsidP="00E1092F">
      <w:pPr>
        <w:pStyle w:val="Heading4"/>
        <w:tabs>
          <w:tab w:val="clear" w:pos="2520"/>
          <w:tab w:val="num" w:pos="2160"/>
        </w:tabs>
        <w:ind w:left="1440"/>
      </w:pPr>
      <w:bookmarkStart w:id="52" w:name="_Toc499050485"/>
      <w:bookmarkStart w:id="53" w:name="_Toc501528273"/>
      <w:r>
        <w:t>Rate Base Additions</w:t>
      </w:r>
      <w:bookmarkEnd w:id="52"/>
      <w:bookmarkEnd w:id="53"/>
    </w:p>
    <w:p w14:paraId="0399B10A" w14:textId="77777777" w:rsidR="007A0456" w:rsidRPr="009A5726" w:rsidRDefault="007A0456" w:rsidP="009A5726">
      <w:pPr>
        <w:ind w:firstLine="720"/>
        <w:jc w:val="both"/>
        <w:rPr>
          <w:rFonts w:cs="Arial"/>
          <w:sz w:val="22"/>
          <w:szCs w:val="22"/>
        </w:rPr>
      </w:pPr>
    </w:p>
    <w:p w14:paraId="3A2971DF" w14:textId="77777777" w:rsidR="007A0456" w:rsidRDefault="007A0456" w:rsidP="007A0456">
      <w:pPr>
        <w:autoSpaceDE w:val="0"/>
        <w:autoSpaceDN w:val="0"/>
        <w:adjustRightInd w:val="0"/>
        <w:ind w:firstLine="720"/>
        <w:jc w:val="both"/>
        <w:rPr>
          <w:rFonts w:cs="Arial"/>
          <w:color w:val="000000"/>
          <w:szCs w:val="24"/>
        </w:rPr>
      </w:pPr>
      <w:r>
        <w:rPr>
          <w:rFonts w:cs="Arial"/>
          <w:color w:val="000000"/>
          <w:szCs w:val="24"/>
        </w:rPr>
        <w:t>Rate base additions proposed to be included in the MRCC calculation by one or more of the Parties in the instant proceeding</w:t>
      </w:r>
      <w:r w:rsidRPr="00CE751A">
        <w:rPr>
          <w:rFonts w:cs="Arial"/>
          <w:color w:val="000000"/>
          <w:szCs w:val="24"/>
        </w:rPr>
        <w:t xml:space="preserve"> </w:t>
      </w:r>
      <w:r>
        <w:rPr>
          <w:rFonts w:cs="Arial"/>
          <w:color w:val="000000"/>
          <w:szCs w:val="24"/>
        </w:rPr>
        <w:t>are</w:t>
      </w:r>
      <w:r w:rsidRPr="00CE751A">
        <w:rPr>
          <w:rFonts w:cs="Arial"/>
          <w:color w:val="000000"/>
          <w:szCs w:val="24"/>
        </w:rPr>
        <w:t xml:space="preserve"> recorded in </w:t>
      </w:r>
      <w:r>
        <w:rPr>
          <w:rFonts w:cs="Arial"/>
          <w:color w:val="000000"/>
          <w:szCs w:val="24"/>
        </w:rPr>
        <w:t xml:space="preserve">USOA </w:t>
      </w:r>
      <w:r w:rsidRPr="00CE751A">
        <w:rPr>
          <w:rFonts w:cs="Arial"/>
          <w:color w:val="000000"/>
          <w:szCs w:val="24"/>
        </w:rPr>
        <w:t>as follows:</w:t>
      </w:r>
    </w:p>
    <w:p w14:paraId="63025C6A" w14:textId="77777777" w:rsidR="007A0456" w:rsidRPr="009A5726" w:rsidRDefault="007A0456" w:rsidP="007A0456">
      <w:pPr>
        <w:autoSpaceDE w:val="0"/>
        <w:autoSpaceDN w:val="0"/>
        <w:adjustRightInd w:val="0"/>
        <w:ind w:firstLine="720"/>
        <w:jc w:val="both"/>
        <w:rPr>
          <w:rFonts w:cs="Arial"/>
          <w:color w:val="000000"/>
          <w:sz w:val="22"/>
          <w:szCs w:val="22"/>
        </w:rPr>
      </w:pPr>
    </w:p>
    <w:p w14:paraId="6CA037A1" w14:textId="77777777" w:rsidR="007A0456" w:rsidRPr="00CE751A" w:rsidRDefault="007A0456" w:rsidP="00E84AF1">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154</w:t>
      </w:r>
      <w:r w:rsidRPr="00CE751A">
        <w:rPr>
          <w:rFonts w:cs="Arial"/>
          <w:color w:val="000000"/>
          <w:szCs w:val="24"/>
        </w:rPr>
        <w:t xml:space="preserve">, </w:t>
      </w:r>
      <w:r w:rsidRPr="00015679">
        <w:rPr>
          <w:rFonts w:cs="Arial"/>
          <w:color w:val="000000"/>
          <w:szCs w:val="24"/>
          <w:u w:val="single"/>
        </w:rPr>
        <w:t>Plant Materials and Operating Supplies</w:t>
      </w:r>
      <w:r w:rsidRPr="00CE751A">
        <w:rPr>
          <w:rFonts w:cs="Arial"/>
          <w:color w:val="000000"/>
          <w:szCs w:val="24"/>
        </w:rPr>
        <w:t xml:space="preserve">, includes </w:t>
      </w:r>
      <w:r>
        <w:rPr>
          <w:rFonts w:cs="Arial"/>
          <w:color w:val="000000"/>
          <w:szCs w:val="24"/>
        </w:rPr>
        <w:t>the cost of materials purchased primarily for use in the utility business for construction O&amp;M purposes.</w:t>
      </w:r>
    </w:p>
    <w:p w14:paraId="5983159F" w14:textId="1DFEE8D2" w:rsidR="007A0456" w:rsidRPr="00CE751A" w:rsidRDefault="007A0456" w:rsidP="00E84AF1">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163</w:t>
      </w:r>
      <w:r w:rsidRPr="00CE751A">
        <w:rPr>
          <w:rFonts w:cs="Arial"/>
          <w:color w:val="000000"/>
          <w:szCs w:val="24"/>
        </w:rPr>
        <w:t xml:space="preserve">, </w:t>
      </w:r>
      <w:r w:rsidR="0062772A" w:rsidRPr="00D102DC">
        <w:rPr>
          <w:rFonts w:cs="Arial"/>
          <w:color w:val="000000"/>
          <w:szCs w:val="24"/>
          <w:u w:val="single"/>
        </w:rPr>
        <w:t xml:space="preserve">Stores Expense Undistributed </w:t>
      </w:r>
      <w:r w:rsidR="00B85D32" w:rsidRPr="00D102DC">
        <w:rPr>
          <w:rFonts w:cs="Arial"/>
          <w:color w:val="000000"/>
          <w:szCs w:val="24"/>
          <w:u w:val="single"/>
        </w:rPr>
        <w:t xml:space="preserve">(major </w:t>
      </w:r>
      <w:r w:rsidR="00B81302" w:rsidRPr="00D102DC">
        <w:rPr>
          <w:rFonts w:cs="Arial"/>
          <w:color w:val="000000"/>
          <w:szCs w:val="24"/>
          <w:u w:val="single"/>
        </w:rPr>
        <w:t>o</w:t>
      </w:r>
      <w:r w:rsidR="00B85D32" w:rsidRPr="00D102DC">
        <w:rPr>
          <w:rFonts w:cs="Arial"/>
          <w:color w:val="000000"/>
          <w:szCs w:val="24"/>
          <w:u w:val="single"/>
        </w:rPr>
        <w:t>nly)</w:t>
      </w:r>
      <w:r w:rsidR="00B85D32">
        <w:rPr>
          <w:rFonts w:cs="Arial"/>
          <w:color w:val="000000"/>
          <w:szCs w:val="24"/>
        </w:rPr>
        <w:t xml:space="preserve"> </w:t>
      </w:r>
      <w:r w:rsidRPr="00CE751A">
        <w:rPr>
          <w:rFonts w:cs="Arial"/>
          <w:color w:val="000000"/>
          <w:szCs w:val="24"/>
        </w:rPr>
        <w:t xml:space="preserve">, includes the </w:t>
      </w:r>
      <w:r>
        <w:rPr>
          <w:rFonts w:cs="Arial"/>
          <w:color w:val="000000"/>
          <w:szCs w:val="24"/>
        </w:rPr>
        <w:t xml:space="preserve">cost of </w:t>
      </w:r>
      <w:r w:rsidR="00B85D32">
        <w:rPr>
          <w:rFonts w:cs="Arial"/>
          <w:color w:val="000000"/>
          <w:szCs w:val="24"/>
        </w:rPr>
        <w:t xml:space="preserve">supervision, labor and expenses incurred in the operation of general storerooms, including purchasing, storage, handling and distribution of materials and supplies. </w:t>
      </w:r>
    </w:p>
    <w:p w14:paraId="14E1519A" w14:textId="77777777" w:rsidR="007A0456" w:rsidRDefault="007A0456" w:rsidP="00E84AF1">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165</w:t>
      </w:r>
      <w:r w:rsidRPr="00CE751A">
        <w:rPr>
          <w:rFonts w:cs="Arial"/>
          <w:color w:val="000000"/>
          <w:szCs w:val="24"/>
        </w:rPr>
        <w:t xml:space="preserve">, </w:t>
      </w:r>
      <w:r>
        <w:rPr>
          <w:rFonts w:cs="Arial"/>
          <w:color w:val="000000"/>
          <w:szCs w:val="24"/>
          <w:u w:val="single"/>
        </w:rPr>
        <w:t>Prepayments</w:t>
      </w:r>
      <w:r w:rsidRPr="00CE751A">
        <w:rPr>
          <w:rFonts w:cs="Arial"/>
          <w:color w:val="000000"/>
          <w:szCs w:val="24"/>
        </w:rPr>
        <w:t xml:space="preserve">, includes </w:t>
      </w:r>
      <w:r>
        <w:rPr>
          <w:rFonts w:cs="Arial"/>
          <w:color w:val="000000"/>
          <w:szCs w:val="24"/>
        </w:rPr>
        <w:t>amounts representing prepayments of insurance, rents, taxes, interest and miscellaneous items, and shall be kept or supported in such a manner as to disclose the amount of each class of prepayment</w:t>
      </w:r>
      <w:r w:rsidRPr="00CE751A">
        <w:rPr>
          <w:rFonts w:cs="Arial"/>
          <w:color w:val="000000"/>
          <w:szCs w:val="24"/>
        </w:rPr>
        <w:t>.</w:t>
      </w:r>
    </w:p>
    <w:p w14:paraId="23043672" w14:textId="434DB1A0" w:rsidR="007A0456" w:rsidRDefault="007A0456" w:rsidP="007E4DE4">
      <w:pPr>
        <w:pStyle w:val="ListParagraph"/>
        <w:numPr>
          <w:ilvl w:val="0"/>
          <w:numId w:val="6"/>
        </w:numPr>
        <w:autoSpaceDE w:val="0"/>
        <w:autoSpaceDN w:val="0"/>
        <w:adjustRightInd w:val="0"/>
        <w:ind w:left="1080"/>
        <w:jc w:val="both"/>
        <w:rPr>
          <w:rFonts w:cs="Arial"/>
          <w:color w:val="000000"/>
          <w:szCs w:val="24"/>
        </w:rPr>
      </w:pPr>
      <w:r>
        <w:rPr>
          <w:rFonts w:cs="Arial"/>
          <w:color w:val="000000"/>
          <w:szCs w:val="24"/>
        </w:rPr>
        <w:t xml:space="preserve">Account 253, </w:t>
      </w:r>
      <w:r w:rsidRPr="000E3F3B">
        <w:rPr>
          <w:rFonts w:cs="Arial"/>
          <w:color w:val="000000"/>
          <w:szCs w:val="24"/>
          <w:u w:val="single"/>
        </w:rPr>
        <w:t>Other Deferred Credits</w:t>
      </w:r>
      <w:r w:rsidR="00B81302">
        <w:rPr>
          <w:rFonts w:cs="Arial"/>
          <w:color w:val="000000"/>
          <w:szCs w:val="24"/>
          <w:u w:val="single"/>
        </w:rPr>
        <w:t>,</w:t>
      </w:r>
      <w:r>
        <w:rPr>
          <w:rFonts w:cs="Arial"/>
          <w:color w:val="000000"/>
          <w:szCs w:val="24"/>
        </w:rPr>
        <w:t xml:space="preserve"> includes advance billings and receipts and other deferred credit items, not provided for elsewhere.</w:t>
      </w:r>
      <w:r w:rsidR="001F79E1" w:rsidRPr="001F79E1">
        <w:rPr>
          <w:rStyle w:val="FootnoteReference"/>
          <w:rFonts w:cs="Arial"/>
          <w:color w:val="000000"/>
          <w:szCs w:val="24"/>
          <w:u w:val="single"/>
        </w:rPr>
        <w:t xml:space="preserve"> </w:t>
      </w:r>
      <w:r w:rsidR="001F79E1">
        <w:rPr>
          <w:rStyle w:val="FootnoteReference"/>
          <w:rFonts w:cs="Arial"/>
          <w:color w:val="000000"/>
          <w:szCs w:val="24"/>
          <w:u w:val="single"/>
        </w:rPr>
        <w:footnoteReference w:id="7"/>
      </w:r>
      <w:r>
        <w:rPr>
          <w:rFonts w:cs="Arial"/>
          <w:color w:val="000000"/>
          <w:szCs w:val="24"/>
        </w:rPr>
        <w:t xml:space="preserve"> </w:t>
      </w:r>
    </w:p>
    <w:p w14:paraId="48D69CB8" w14:textId="173B816C" w:rsidR="007A0456" w:rsidRDefault="007A0456" w:rsidP="007A0456">
      <w:pPr>
        <w:autoSpaceDE w:val="0"/>
        <w:autoSpaceDN w:val="0"/>
        <w:adjustRightInd w:val="0"/>
        <w:ind w:left="90" w:firstLine="630"/>
        <w:jc w:val="both"/>
        <w:rPr>
          <w:rFonts w:cs="Arial"/>
          <w:color w:val="000000"/>
          <w:szCs w:val="24"/>
        </w:rPr>
      </w:pPr>
      <w:r>
        <w:rPr>
          <w:rFonts w:cs="Arial"/>
          <w:color w:val="000000"/>
          <w:szCs w:val="24"/>
        </w:rPr>
        <w:lastRenderedPageBreak/>
        <w:t xml:space="preserve">Under its fully allocated COSS, UI included costs for working capital, prepaid expenses, storm reserve, and customer deposits.  Under its proposed direct assignment methodology, UI had </w:t>
      </w:r>
      <w:r w:rsidR="00C143C2">
        <w:rPr>
          <w:rFonts w:cs="Arial"/>
          <w:color w:val="000000"/>
          <w:szCs w:val="24"/>
        </w:rPr>
        <w:t xml:space="preserve">delineated </w:t>
      </w:r>
      <w:r>
        <w:rPr>
          <w:rFonts w:cs="Arial"/>
          <w:color w:val="000000"/>
          <w:szCs w:val="24"/>
        </w:rPr>
        <w:t>zero costs for working capital allowance, plant materials and supplies, prepayments, or other deferred credits in its MRCC calculation.  Late Filed Exhibit No. 3, Attachment, Supplement 2.</w:t>
      </w:r>
    </w:p>
    <w:p w14:paraId="129A0C44" w14:textId="77777777" w:rsidR="00347BF6" w:rsidRDefault="00347BF6" w:rsidP="007A0456">
      <w:pPr>
        <w:autoSpaceDE w:val="0"/>
        <w:autoSpaceDN w:val="0"/>
        <w:adjustRightInd w:val="0"/>
        <w:ind w:left="90" w:firstLine="630"/>
        <w:jc w:val="both"/>
        <w:rPr>
          <w:rFonts w:cs="Arial"/>
          <w:color w:val="000000"/>
          <w:szCs w:val="24"/>
        </w:rPr>
      </w:pPr>
    </w:p>
    <w:p w14:paraId="7E5145D4" w14:textId="5736775C" w:rsidR="007A0456" w:rsidRDefault="007A0456" w:rsidP="007A0456">
      <w:pPr>
        <w:autoSpaceDE w:val="0"/>
        <w:autoSpaceDN w:val="0"/>
        <w:adjustRightInd w:val="0"/>
        <w:jc w:val="both"/>
        <w:rPr>
          <w:rFonts w:cs="Arial"/>
          <w:color w:val="000000"/>
          <w:szCs w:val="24"/>
        </w:rPr>
      </w:pPr>
      <w:r>
        <w:rPr>
          <w:rFonts w:cs="Arial"/>
          <w:color w:val="000000"/>
          <w:szCs w:val="24"/>
        </w:rPr>
        <w:tab/>
        <w:t xml:space="preserve">CL&amp;P proposed to include costs related to its working capital allowance in Account 154 as it supports </w:t>
      </w:r>
      <w:r w:rsidR="00AA1D43">
        <w:rPr>
          <w:rFonts w:cs="Arial"/>
          <w:color w:val="000000"/>
          <w:szCs w:val="24"/>
        </w:rPr>
        <w:t xml:space="preserve">the </w:t>
      </w:r>
      <w:r>
        <w:rPr>
          <w:rFonts w:cs="Arial"/>
          <w:color w:val="000000"/>
          <w:szCs w:val="24"/>
        </w:rPr>
        <w:t xml:space="preserve">liquidity needed for expenses.  The company included costs related to Account 163 in a similar manner to other general plant items, citing the costs as necessary to operate the business.  Various prepayments related to Account 165 were included that specifically relate to deferred revenue, prepaid insurance, deferred medicare tax asset, deferred manhole inspections, deferred rate case expenses, prepaid regulatory assessment, deferred regulatory system upgrades, deferred storm cost reserve recovery and prepaid vehicles and registrations.  CL&amp;P cited that these costs relate to billing or general plant.  The company also proposed to include deferred taxes related to </w:t>
      </w:r>
      <w:r w:rsidR="001F097C">
        <w:rPr>
          <w:rFonts w:cs="Arial"/>
          <w:color w:val="000000"/>
          <w:szCs w:val="24"/>
        </w:rPr>
        <w:t xml:space="preserve">Account 253, </w:t>
      </w:r>
      <w:r>
        <w:rPr>
          <w:rFonts w:cs="Arial"/>
          <w:color w:val="000000"/>
          <w:szCs w:val="24"/>
        </w:rPr>
        <w:t>contribution-in-aid-of-construction (CIAC)</w:t>
      </w:r>
      <w:r w:rsidR="001F097C">
        <w:rPr>
          <w:rFonts w:cs="Arial"/>
          <w:color w:val="000000"/>
          <w:szCs w:val="24"/>
        </w:rPr>
        <w:t xml:space="preserve">, </w:t>
      </w:r>
      <w:r>
        <w:rPr>
          <w:rFonts w:cs="Arial"/>
          <w:color w:val="000000"/>
          <w:szCs w:val="24"/>
        </w:rPr>
        <w:t>citing a general deduction.  Late Filed Exhibit No. 9, Attachment 1, p. 3.</w:t>
      </w:r>
    </w:p>
    <w:p w14:paraId="0EF0DB9E" w14:textId="77777777" w:rsidR="007A0456" w:rsidRDefault="007A0456" w:rsidP="007A0456">
      <w:pPr>
        <w:autoSpaceDE w:val="0"/>
        <w:autoSpaceDN w:val="0"/>
        <w:adjustRightInd w:val="0"/>
        <w:jc w:val="both"/>
        <w:rPr>
          <w:rFonts w:cs="Arial"/>
          <w:color w:val="000000"/>
          <w:szCs w:val="24"/>
        </w:rPr>
      </w:pPr>
    </w:p>
    <w:p w14:paraId="4925EAC7" w14:textId="77777777" w:rsidR="007A0456" w:rsidRDefault="007A0456" w:rsidP="007A0456">
      <w:pPr>
        <w:autoSpaceDE w:val="0"/>
        <w:autoSpaceDN w:val="0"/>
        <w:adjustRightInd w:val="0"/>
        <w:ind w:firstLine="720"/>
        <w:jc w:val="both"/>
        <w:rPr>
          <w:rFonts w:cs="Arial"/>
          <w:color w:val="000000"/>
          <w:szCs w:val="24"/>
        </w:rPr>
      </w:pPr>
      <w:r>
        <w:rPr>
          <w:rFonts w:cs="Arial"/>
          <w:color w:val="000000"/>
          <w:szCs w:val="24"/>
        </w:rPr>
        <w:t>The OCC stated that there is no basis to include all other accounts where any amount is functionalized as partially-customer related.  This includes miscellaneous rate base additions such as working capital, miscellaneous prepayments and reserves, and deferred CIAC taxes.  The OCC determined these accounts as excludable and outside of the statutory functions.  Brief, pp.16 and 17.</w:t>
      </w:r>
    </w:p>
    <w:p w14:paraId="4EACBED7" w14:textId="77777777" w:rsidR="007A0456" w:rsidRDefault="007A0456" w:rsidP="007A0456">
      <w:pPr>
        <w:autoSpaceDE w:val="0"/>
        <w:autoSpaceDN w:val="0"/>
        <w:adjustRightInd w:val="0"/>
        <w:jc w:val="both"/>
        <w:rPr>
          <w:rFonts w:cs="Arial"/>
          <w:color w:val="000000"/>
          <w:szCs w:val="24"/>
        </w:rPr>
      </w:pPr>
    </w:p>
    <w:p w14:paraId="5422232F" w14:textId="6AE0D648" w:rsidR="007A0456" w:rsidRDefault="007A0456" w:rsidP="00AF3867">
      <w:pPr>
        <w:autoSpaceDE w:val="0"/>
        <w:autoSpaceDN w:val="0"/>
        <w:adjustRightInd w:val="0"/>
        <w:ind w:firstLine="720"/>
        <w:jc w:val="both"/>
        <w:rPr>
          <w:rFonts w:cs="Arial"/>
          <w:szCs w:val="24"/>
        </w:rPr>
      </w:pPr>
      <w:r>
        <w:rPr>
          <w:rFonts w:cs="Arial"/>
          <w:color w:val="000000"/>
          <w:szCs w:val="24"/>
        </w:rPr>
        <w:t xml:space="preserve">The Authority will allow the inclusion of rate base additions only to the extent that the costs clearly follow the approved rate base and expense items discussed herein </w:t>
      </w:r>
      <w:r w:rsidRPr="000A4C02">
        <w:t xml:space="preserve">in </w:t>
      </w:r>
      <w:r>
        <w:t>Section</w:t>
      </w:r>
      <w:r w:rsidRPr="000A4C02">
        <w:rPr>
          <w:rFonts w:cs="Arial"/>
          <w:szCs w:val="24"/>
        </w:rPr>
        <w:t xml:space="preserve"> III</w:t>
      </w:r>
      <w:r>
        <w:rPr>
          <w:rFonts w:cs="Arial"/>
          <w:szCs w:val="24"/>
        </w:rPr>
        <w:t>.</w:t>
      </w:r>
      <w:r w:rsidR="002662C5">
        <w:rPr>
          <w:rFonts w:cs="Arial"/>
          <w:szCs w:val="24"/>
        </w:rPr>
        <w:t>C</w:t>
      </w:r>
      <w:r w:rsidRPr="000A4C02">
        <w:rPr>
          <w:rFonts w:cs="Arial"/>
          <w:szCs w:val="24"/>
        </w:rPr>
        <w:t>.</w:t>
      </w:r>
      <w:r>
        <w:rPr>
          <w:rFonts w:cs="Arial"/>
          <w:szCs w:val="24"/>
        </w:rPr>
        <w:t xml:space="preserve"> </w:t>
      </w:r>
      <w:r>
        <w:rPr>
          <w:rFonts w:cs="Arial"/>
          <w:szCs w:val="24"/>
          <w:u w:val="single"/>
        </w:rPr>
        <w:t xml:space="preserve">FERC </w:t>
      </w:r>
      <w:r w:rsidRPr="0099082F">
        <w:rPr>
          <w:rFonts w:cs="Arial"/>
          <w:szCs w:val="24"/>
          <w:u w:val="single"/>
        </w:rPr>
        <w:t>Accounts</w:t>
      </w:r>
      <w:r>
        <w:rPr>
          <w:rFonts w:cs="Arial"/>
          <w:color w:val="000000"/>
          <w:szCs w:val="24"/>
        </w:rPr>
        <w:t xml:space="preserve">.  The Companies should identify costs </w:t>
      </w:r>
      <w:r w:rsidRPr="008053D8">
        <w:rPr>
          <w:rFonts w:cs="Arial"/>
          <w:szCs w:val="24"/>
        </w:rPr>
        <w:t>related to the statutory functions</w:t>
      </w:r>
      <w:r>
        <w:rPr>
          <w:rFonts w:cs="Arial"/>
          <w:color w:val="000000"/>
          <w:szCs w:val="24"/>
        </w:rPr>
        <w:t xml:space="preserve"> using the direct assignment methodology</w:t>
      </w:r>
      <w:r w:rsidRPr="008053D8">
        <w:rPr>
          <w:rFonts w:cs="Arial"/>
          <w:szCs w:val="24"/>
        </w:rPr>
        <w:t>.</w:t>
      </w:r>
      <w:r>
        <w:rPr>
          <w:rFonts w:cs="Arial"/>
          <w:szCs w:val="24"/>
        </w:rPr>
        <w:t xml:space="preserve">  For example, prepayments of property insurance in Account 165 related to includable plant, such as service connections and meters, is appropriate for inclusion in the MRCC calculation.  </w:t>
      </w:r>
      <w:r w:rsidR="00996BFE">
        <w:rPr>
          <w:rFonts w:cs="Arial"/>
          <w:szCs w:val="24"/>
        </w:rPr>
        <w:t>Costs proposed for inclusion must be identified</w:t>
      </w:r>
      <w:r w:rsidR="00E86EC5">
        <w:rPr>
          <w:rFonts w:cs="Arial"/>
          <w:szCs w:val="24"/>
        </w:rPr>
        <w:t xml:space="preserve"> through direct assignment </w:t>
      </w:r>
      <w:r w:rsidR="00B81302">
        <w:rPr>
          <w:rFonts w:cs="Arial"/>
          <w:szCs w:val="24"/>
        </w:rPr>
        <w:t>or if not possible through cost allocation as described in Section</w:t>
      </w:r>
      <w:r w:rsidR="000C026F">
        <w:rPr>
          <w:rFonts w:cs="Arial"/>
          <w:szCs w:val="24"/>
        </w:rPr>
        <w:t xml:space="preserve"> III.B.</w:t>
      </w:r>
      <w:r w:rsidR="009A5726">
        <w:rPr>
          <w:rFonts w:cs="Arial"/>
          <w:szCs w:val="24"/>
        </w:rPr>
        <w:t>4</w:t>
      </w:r>
      <w:r w:rsidR="000C026F">
        <w:rPr>
          <w:rFonts w:cs="Arial"/>
          <w:szCs w:val="24"/>
        </w:rPr>
        <w:t xml:space="preserve">. </w:t>
      </w:r>
      <w:r w:rsidR="000C026F" w:rsidRPr="000844FD">
        <w:rPr>
          <w:rFonts w:cs="Arial"/>
          <w:szCs w:val="24"/>
          <w:u w:val="single"/>
        </w:rPr>
        <w:t>MRCC Application</w:t>
      </w:r>
      <w:r w:rsidR="000C026F">
        <w:rPr>
          <w:rFonts w:cs="Arial"/>
          <w:szCs w:val="24"/>
        </w:rPr>
        <w:t xml:space="preserve">.  </w:t>
      </w:r>
      <w:r w:rsidR="00A33234">
        <w:rPr>
          <w:rFonts w:cs="Arial"/>
          <w:szCs w:val="24"/>
        </w:rPr>
        <w:t xml:space="preserve">Any cost proposals </w:t>
      </w:r>
      <w:r w:rsidR="000C026F">
        <w:rPr>
          <w:rFonts w:cs="Arial"/>
          <w:szCs w:val="24"/>
        </w:rPr>
        <w:t xml:space="preserve">must be </w:t>
      </w:r>
      <w:r w:rsidR="00E86EC5">
        <w:rPr>
          <w:rFonts w:cs="Arial"/>
          <w:szCs w:val="24"/>
        </w:rPr>
        <w:t xml:space="preserve">clearly presented in a rate case application to ensure that only the costs associated with the statutory functions are included in the MRCC calculation.  </w:t>
      </w:r>
      <w:r>
        <w:rPr>
          <w:rFonts w:cs="Arial"/>
          <w:szCs w:val="24"/>
        </w:rPr>
        <w:t>Conversely, prepayments related to general plant items and general expense categories, such as rate case expenses</w:t>
      </w:r>
      <w:r w:rsidR="000C026F">
        <w:rPr>
          <w:rFonts w:cs="Arial"/>
          <w:szCs w:val="24"/>
        </w:rPr>
        <w:t>,</w:t>
      </w:r>
      <w:r>
        <w:rPr>
          <w:rFonts w:cs="Arial"/>
          <w:szCs w:val="24"/>
        </w:rPr>
        <w:t xml:space="preserve"> storm costs, </w:t>
      </w:r>
      <w:r w:rsidR="001F097C">
        <w:rPr>
          <w:rFonts w:cs="Arial"/>
          <w:szCs w:val="24"/>
        </w:rPr>
        <w:t xml:space="preserve">and deferred taxes on CIAC </w:t>
      </w:r>
      <w:r>
        <w:rPr>
          <w:rFonts w:cs="Arial"/>
          <w:szCs w:val="24"/>
        </w:rPr>
        <w:t>are not includable.</w:t>
      </w:r>
      <w:r w:rsidR="00AF3867">
        <w:rPr>
          <w:rFonts w:cs="Arial"/>
          <w:szCs w:val="24"/>
        </w:rPr>
        <w:t xml:space="preserve">  </w:t>
      </w:r>
      <w:r w:rsidR="00D87478">
        <w:rPr>
          <w:rFonts w:cs="Arial"/>
          <w:szCs w:val="24"/>
        </w:rPr>
        <w:t>The Authority finds that Account 163 relate</w:t>
      </w:r>
      <w:r w:rsidR="00A33234">
        <w:rPr>
          <w:rFonts w:cs="Arial"/>
          <w:szCs w:val="24"/>
        </w:rPr>
        <w:t>s</w:t>
      </w:r>
      <w:r w:rsidR="00D87478">
        <w:rPr>
          <w:rFonts w:cs="Arial"/>
          <w:szCs w:val="24"/>
        </w:rPr>
        <w:t xml:space="preserve"> to general storage operations and distribution of supplies</w:t>
      </w:r>
      <w:r w:rsidR="000C026F">
        <w:rPr>
          <w:rFonts w:cs="Arial"/>
          <w:szCs w:val="24"/>
        </w:rPr>
        <w:t xml:space="preserve"> </w:t>
      </w:r>
      <w:r w:rsidR="00A33234">
        <w:rPr>
          <w:rFonts w:cs="Arial"/>
          <w:szCs w:val="24"/>
        </w:rPr>
        <w:t xml:space="preserve">and </w:t>
      </w:r>
      <w:r w:rsidR="000C026F">
        <w:rPr>
          <w:rFonts w:cs="Arial"/>
          <w:szCs w:val="24"/>
        </w:rPr>
        <w:t>is outside of the statutory functions</w:t>
      </w:r>
      <w:r w:rsidR="00A33234">
        <w:rPr>
          <w:rFonts w:cs="Arial"/>
          <w:szCs w:val="24"/>
        </w:rPr>
        <w:t xml:space="preserve">. </w:t>
      </w:r>
      <w:r w:rsidR="00E86EC5">
        <w:rPr>
          <w:rFonts w:cs="Arial"/>
          <w:szCs w:val="24"/>
        </w:rPr>
        <w:t xml:space="preserve"> </w:t>
      </w:r>
      <w:r w:rsidR="00A33234">
        <w:rPr>
          <w:rFonts w:cs="Arial"/>
          <w:szCs w:val="24"/>
        </w:rPr>
        <w:t>T</w:t>
      </w:r>
      <w:r w:rsidR="000C026F">
        <w:rPr>
          <w:rFonts w:cs="Arial"/>
          <w:szCs w:val="24"/>
        </w:rPr>
        <w:t>herefore,</w:t>
      </w:r>
      <w:r w:rsidR="00D87478">
        <w:rPr>
          <w:rFonts w:cs="Arial"/>
          <w:szCs w:val="24"/>
        </w:rPr>
        <w:t xml:space="preserve"> </w:t>
      </w:r>
      <w:r w:rsidR="00A33234">
        <w:rPr>
          <w:rFonts w:cs="Arial"/>
          <w:szCs w:val="24"/>
        </w:rPr>
        <w:t xml:space="preserve">it is </w:t>
      </w:r>
      <w:r w:rsidR="00D87478">
        <w:rPr>
          <w:rFonts w:cs="Arial"/>
          <w:szCs w:val="24"/>
        </w:rPr>
        <w:t xml:space="preserve">excludable from the MRCC formula. </w:t>
      </w:r>
      <w:r w:rsidR="000C026F">
        <w:rPr>
          <w:rFonts w:cs="Arial"/>
          <w:szCs w:val="24"/>
        </w:rPr>
        <w:t xml:space="preserve"> </w:t>
      </w:r>
      <w:r w:rsidR="00FA4664">
        <w:rPr>
          <w:rFonts w:cs="Arial"/>
          <w:szCs w:val="24"/>
        </w:rPr>
        <w:t xml:space="preserve">Account 253 is </w:t>
      </w:r>
      <w:r w:rsidR="00D87478">
        <w:rPr>
          <w:rFonts w:cs="Arial"/>
          <w:szCs w:val="24"/>
        </w:rPr>
        <w:t xml:space="preserve">also </w:t>
      </w:r>
      <w:r w:rsidR="00FA4664">
        <w:rPr>
          <w:rFonts w:cs="Arial"/>
          <w:szCs w:val="24"/>
        </w:rPr>
        <w:t xml:space="preserve">excluded from the MRCC calculation because it is </w:t>
      </w:r>
      <w:r w:rsidR="00D87478">
        <w:rPr>
          <w:rFonts w:cs="Arial"/>
          <w:szCs w:val="24"/>
        </w:rPr>
        <w:t xml:space="preserve">related to </w:t>
      </w:r>
      <w:r w:rsidR="00FA4664">
        <w:rPr>
          <w:rFonts w:cs="Arial"/>
          <w:szCs w:val="24"/>
        </w:rPr>
        <w:t xml:space="preserve">network distribution </w:t>
      </w:r>
      <w:r w:rsidR="00D87478">
        <w:rPr>
          <w:rFonts w:cs="Arial"/>
          <w:szCs w:val="24"/>
        </w:rPr>
        <w:t xml:space="preserve">builds for specific customers </w:t>
      </w:r>
      <w:r w:rsidR="00FA4664">
        <w:rPr>
          <w:rFonts w:cs="Arial"/>
          <w:szCs w:val="24"/>
        </w:rPr>
        <w:t>and is outside of the statutory</w:t>
      </w:r>
      <w:r w:rsidR="00D87478">
        <w:rPr>
          <w:rFonts w:cs="Arial"/>
          <w:szCs w:val="24"/>
        </w:rPr>
        <w:t xml:space="preserve"> functions</w:t>
      </w:r>
      <w:r w:rsidR="00E86EC5">
        <w:rPr>
          <w:rFonts w:cs="Arial"/>
          <w:szCs w:val="24"/>
        </w:rPr>
        <w:t>.</w:t>
      </w:r>
    </w:p>
    <w:p w14:paraId="3CAC9D30" w14:textId="77777777" w:rsidR="007A0456" w:rsidRDefault="007A0456" w:rsidP="007A0456">
      <w:pPr>
        <w:tabs>
          <w:tab w:val="left" w:pos="720"/>
        </w:tabs>
        <w:autoSpaceDE w:val="0"/>
        <w:autoSpaceDN w:val="0"/>
        <w:adjustRightInd w:val="0"/>
        <w:jc w:val="both"/>
        <w:rPr>
          <w:rFonts w:cs="Arial"/>
          <w:szCs w:val="24"/>
        </w:rPr>
      </w:pPr>
    </w:p>
    <w:p w14:paraId="45170F7B" w14:textId="670E016B" w:rsidR="007A0456" w:rsidRDefault="007A0456" w:rsidP="007A0456">
      <w:pPr>
        <w:autoSpaceDE w:val="0"/>
        <w:autoSpaceDN w:val="0"/>
        <w:adjustRightInd w:val="0"/>
        <w:jc w:val="both"/>
        <w:rPr>
          <w:rFonts w:cs="Arial"/>
          <w:szCs w:val="24"/>
        </w:rPr>
      </w:pPr>
      <w:r>
        <w:rPr>
          <w:rFonts w:cs="Arial"/>
          <w:szCs w:val="24"/>
        </w:rPr>
        <w:tab/>
        <w:t xml:space="preserve">The Authority will require that the cash working capital (CWC) allowance be excluded from the MRCC calculation as it is not directly related to the statutory functions.  The CWC allowance is not a direct expense incurred in the process of collecting customer data, issuing customer bills or pursuing credit and collection activities.  The CWC allowance is approved in a general rate case </w:t>
      </w:r>
      <w:r w:rsidRPr="00CF27BF">
        <w:rPr>
          <w:rFonts w:cs="Arial"/>
          <w:szCs w:val="24"/>
        </w:rPr>
        <w:t>in recognition of the timing difference between when revenues are received and when expenses are paid out</w:t>
      </w:r>
      <w:r>
        <w:rPr>
          <w:rFonts w:cs="Arial"/>
          <w:szCs w:val="24"/>
        </w:rPr>
        <w:t xml:space="preserve">.  </w:t>
      </w:r>
      <w:r w:rsidR="00AA1D43">
        <w:rPr>
          <w:rFonts w:cs="Arial"/>
          <w:szCs w:val="24"/>
        </w:rPr>
        <w:t>T</w:t>
      </w:r>
      <w:r>
        <w:rPr>
          <w:rFonts w:cs="Arial"/>
          <w:szCs w:val="24"/>
        </w:rPr>
        <w:t xml:space="preserve">his cost is typically based on the length of time that revenue is realized after bills </w:t>
      </w:r>
      <w:r>
        <w:rPr>
          <w:rFonts w:cs="Arial"/>
          <w:szCs w:val="24"/>
        </w:rPr>
        <w:lastRenderedPageBreak/>
        <w:t>are collectively sent to customers</w:t>
      </w:r>
      <w:r w:rsidR="00AA1D43">
        <w:rPr>
          <w:rFonts w:cs="Arial"/>
          <w:szCs w:val="24"/>
        </w:rPr>
        <w:t>.  However,</w:t>
      </w:r>
      <w:r>
        <w:rPr>
          <w:rFonts w:cs="Arial"/>
          <w:szCs w:val="24"/>
        </w:rPr>
        <w:t xml:space="preserve"> the purpose of the actual CWC allowance is to provide enough free cash flow for the utility to properly maintain its operations until the revenues have been collected from customers.  As such, the CWC is not directly related to metering, billing or the provision of customer service, and must be excluded from the MRCC calculation.</w:t>
      </w:r>
    </w:p>
    <w:p w14:paraId="20B9C1BE" w14:textId="77777777" w:rsidR="007A0456" w:rsidRPr="00626561" w:rsidRDefault="007A0456" w:rsidP="007A0456">
      <w:pPr>
        <w:autoSpaceDE w:val="0"/>
        <w:autoSpaceDN w:val="0"/>
        <w:adjustRightInd w:val="0"/>
        <w:jc w:val="both"/>
        <w:rPr>
          <w:rFonts w:cs="Arial"/>
          <w:color w:val="000000"/>
          <w:szCs w:val="24"/>
        </w:rPr>
      </w:pPr>
    </w:p>
    <w:p w14:paraId="114A6A9F" w14:textId="77777777" w:rsidR="007A0456" w:rsidRDefault="007A0456" w:rsidP="00E1092F">
      <w:pPr>
        <w:pStyle w:val="Heading4"/>
        <w:tabs>
          <w:tab w:val="clear" w:pos="2520"/>
          <w:tab w:val="num" w:pos="2160"/>
        </w:tabs>
        <w:ind w:left="1440"/>
      </w:pPr>
      <w:bookmarkStart w:id="54" w:name="_Toc499050486"/>
      <w:bookmarkStart w:id="55" w:name="_Toc501528274"/>
      <w:r>
        <w:t>Rate Base Deductions</w:t>
      </w:r>
      <w:bookmarkEnd w:id="54"/>
      <w:bookmarkEnd w:id="55"/>
    </w:p>
    <w:p w14:paraId="0ECEF57E" w14:textId="77777777" w:rsidR="00A33234" w:rsidRPr="00A33234" w:rsidRDefault="00A33234" w:rsidP="00A33234"/>
    <w:p w14:paraId="7D7E960B" w14:textId="77777777" w:rsidR="007A0456" w:rsidRDefault="007A0456" w:rsidP="007A0456">
      <w:pPr>
        <w:autoSpaceDE w:val="0"/>
        <w:autoSpaceDN w:val="0"/>
        <w:adjustRightInd w:val="0"/>
        <w:jc w:val="both"/>
        <w:rPr>
          <w:rFonts w:cs="Arial"/>
          <w:color w:val="000000"/>
          <w:szCs w:val="24"/>
        </w:rPr>
      </w:pPr>
      <w:r>
        <w:rPr>
          <w:rFonts w:cs="Arial"/>
          <w:color w:val="000000"/>
          <w:szCs w:val="24"/>
        </w:rPr>
        <w:tab/>
        <w:t>Rate base deductions proposed to be included in the MRCC calculation by one or more of the Parties in the instant proceeding</w:t>
      </w:r>
      <w:r w:rsidRPr="00CE751A">
        <w:rPr>
          <w:rFonts w:cs="Arial"/>
          <w:color w:val="000000"/>
          <w:szCs w:val="24"/>
        </w:rPr>
        <w:t xml:space="preserve"> </w:t>
      </w:r>
      <w:r>
        <w:rPr>
          <w:rFonts w:cs="Arial"/>
          <w:color w:val="000000"/>
          <w:szCs w:val="24"/>
        </w:rPr>
        <w:t>are</w:t>
      </w:r>
      <w:r w:rsidRPr="00CE751A">
        <w:rPr>
          <w:rFonts w:cs="Arial"/>
          <w:color w:val="000000"/>
          <w:szCs w:val="24"/>
        </w:rPr>
        <w:t xml:space="preserve"> recorded in the</w:t>
      </w:r>
      <w:r w:rsidRPr="008B4B5D">
        <w:rPr>
          <w:rFonts w:cs="Arial"/>
          <w:color w:val="000000"/>
          <w:szCs w:val="24"/>
        </w:rPr>
        <w:t xml:space="preserve"> </w:t>
      </w:r>
      <w:r>
        <w:rPr>
          <w:rFonts w:cs="Arial"/>
          <w:color w:val="000000"/>
          <w:szCs w:val="24"/>
        </w:rPr>
        <w:t>FERC Accounts as follows:</w:t>
      </w:r>
    </w:p>
    <w:p w14:paraId="7C4F24CB" w14:textId="77777777" w:rsidR="007A0456" w:rsidRPr="000E3F3B" w:rsidRDefault="007A0456" w:rsidP="007A0456">
      <w:pPr>
        <w:autoSpaceDE w:val="0"/>
        <w:autoSpaceDN w:val="0"/>
        <w:adjustRightInd w:val="0"/>
        <w:jc w:val="both"/>
        <w:rPr>
          <w:rFonts w:cs="Arial"/>
          <w:color w:val="000000"/>
          <w:szCs w:val="24"/>
        </w:rPr>
      </w:pPr>
    </w:p>
    <w:p w14:paraId="0343893E"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228.1</w:t>
      </w:r>
      <w:r w:rsidRPr="00CE751A">
        <w:rPr>
          <w:rFonts w:cs="Arial"/>
          <w:color w:val="000000"/>
          <w:szCs w:val="24"/>
        </w:rPr>
        <w:t xml:space="preserve">, </w:t>
      </w:r>
      <w:r>
        <w:rPr>
          <w:rFonts w:cs="Arial"/>
          <w:color w:val="000000"/>
          <w:szCs w:val="24"/>
          <w:u w:val="single"/>
        </w:rPr>
        <w:t>Accumulated Provision for Property Insurance</w:t>
      </w:r>
      <w:r w:rsidRPr="00CE751A">
        <w:rPr>
          <w:rFonts w:cs="Arial"/>
          <w:color w:val="000000"/>
          <w:szCs w:val="24"/>
        </w:rPr>
        <w:t xml:space="preserve">, includes </w:t>
      </w:r>
      <w:r>
        <w:rPr>
          <w:rFonts w:cs="Arial"/>
          <w:color w:val="000000"/>
          <w:szCs w:val="24"/>
        </w:rPr>
        <w:t xml:space="preserve">amounts reserved by the utility for losses through accident, fire, flood or other hazards to its own property or property leased to others, not covered by insurance. </w:t>
      </w:r>
    </w:p>
    <w:p w14:paraId="50F4CEFD"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228.2</w:t>
      </w:r>
      <w:r w:rsidRPr="00CE751A">
        <w:rPr>
          <w:rFonts w:cs="Arial"/>
          <w:color w:val="000000"/>
          <w:szCs w:val="24"/>
        </w:rPr>
        <w:t xml:space="preserve">, </w:t>
      </w:r>
      <w:r>
        <w:rPr>
          <w:rFonts w:cs="Arial"/>
          <w:color w:val="000000"/>
          <w:szCs w:val="24"/>
          <w:u w:val="single"/>
        </w:rPr>
        <w:t>Accumulated Provision for Injuries and Damages</w:t>
      </w:r>
      <w:r w:rsidRPr="00CE751A">
        <w:rPr>
          <w:rFonts w:cs="Arial"/>
          <w:color w:val="000000"/>
          <w:szCs w:val="24"/>
        </w:rPr>
        <w:t xml:space="preserve">, includes </w:t>
      </w:r>
      <w:r>
        <w:rPr>
          <w:rFonts w:cs="Arial"/>
          <w:color w:val="000000"/>
          <w:szCs w:val="24"/>
        </w:rPr>
        <w:t xml:space="preserve">amounts charged to Account 928, </w:t>
      </w:r>
      <w:r w:rsidRPr="00A25386">
        <w:rPr>
          <w:rFonts w:cs="Arial"/>
          <w:color w:val="000000"/>
          <w:szCs w:val="24"/>
          <w:u w:val="single"/>
        </w:rPr>
        <w:t>Injuries and Damages</w:t>
      </w:r>
      <w:r>
        <w:rPr>
          <w:rFonts w:cs="Arial"/>
          <w:color w:val="000000"/>
          <w:szCs w:val="24"/>
        </w:rPr>
        <w:t>, or other appropriate account to meet probable liabilities, not covered by insurance, for deaths or injuries to employees and others for damages to property neither owned nor held under lease by the utility</w:t>
      </w:r>
      <w:r w:rsidRPr="00CE751A">
        <w:rPr>
          <w:rFonts w:cs="Arial"/>
          <w:color w:val="000000"/>
          <w:szCs w:val="24"/>
        </w:rPr>
        <w:t>.</w:t>
      </w:r>
    </w:p>
    <w:p w14:paraId="5AB593FB" w14:textId="77777777" w:rsidR="007A0456"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228.3</w:t>
      </w:r>
      <w:r w:rsidRPr="00CE751A">
        <w:rPr>
          <w:rFonts w:cs="Arial"/>
          <w:color w:val="000000"/>
          <w:szCs w:val="24"/>
        </w:rPr>
        <w:t xml:space="preserve">, </w:t>
      </w:r>
      <w:r>
        <w:rPr>
          <w:rFonts w:cs="Arial"/>
          <w:color w:val="000000"/>
          <w:szCs w:val="24"/>
          <w:u w:val="single"/>
        </w:rPr>
        <w:t>Accumulated Provision for Pensions and Benefits</w:t>
      </w:r>
      <w:r w:rsidRPr="00CE751A">
        <w:rPr>
          <w:rFonts w:cs="Arial"/>
          <w:color w:val="000000"/>
          <w:szCs w:val="24"/>
        </w:rPr>
        <w:t xml:space="preserve">, includes </w:t>
      </w:r>
      <w:r>
        <w:rPr>
          <w:rFonts w:cs="Arial"/>
          <w:color w:val="000000"/>
          <w:szCs w:val="24"/>
        </w:rPr>
        <w:t>provisions made by the utility and amounts contributed by employees for pensions</w:t>
      </w:r>
      <w:r w:rsidRPr="00CE751A">
        <w:rPr>
          <w:rFonts w:cs="Arial"/>
          <w:color w:val="000000"/>
          <w:szCs w:val="24"/>
        </w:rPr>
        <w:t>.</w:t>
      </w:r>
    </w:p>
    <w:p w14:paraId="02FAED63" w14:textId="77777777" w:rsidR="007A0456"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 xml:space="preserve">Account 228.4, </w:t>
      </w:r>
      <w:r w:rsidRPr="00185655">
        <w:rPr>
          <w:rFonts w:cs="Arial"/>
          <w:color w:val="000000"/>
          <w:szCs w:val="24"/>
          <w:u w:val="single"/>
        </w:rPr>
        <w:t>Accumulated Miscellaneous Operating Income</w:t>
      </w:r>
      <w:r w:rsidRPr="00185655">
        <w:rPr>
          <w:rFonts w:cs="Arial"/>
          <w:color w:val="000000"/>
          <w:szCs w:val="24"/>
        </w:rPr>
        <w:t>,</w:t>
      </w:r>
      <w:r>
        <w:rPr>
          <w:rFonts w:cs="Arial"/>
          <w:color w:val="000000"/>
          <w:szCs w:val="24"/>
        </w:rPr>
        <w:t xml:space="preserve"> includes all operating provisions that are not provided elsewhere.</w:t>
      </w:r>
    </w:p>
    <w:p w14:paraId="6F71A356" w14:textId="174A7F52" w:rsidR="007A0456"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Account 252</w:t>
      </w:r>
      <w:r w:rsidR="00AA1D43">
        <w:rPr>
          <w:rFonts w:cs="Arial"/>
          <w:color w:val="000000"/>
          <w:szCs w:val="24"/>
        </w:rPr>
        <w:t>,</w:t>
      </w:r>
      <w:r>
        <w:rPr>
          <w:rFonts w:cs="Arial"/>
          <w:color w:val="000000"/>
          <w:szCs w:val="24"/>
        </w:rPr>
        <w:t xml:space="preserve"> </w:t>
      </w:r>
      <w:r w:rsidRPr="00E1092F">
        <w:rPr>
          <w:rFonts w:cs="Arial"/>
          <w:color w:val="000000"/>
          <w:szCs w:val="24"/>
          <w:u w:val="single"/>
        </w:rPr>
        <w:t>Customer Advances for Construction</w:t>
      </w:r>
      <w:r>
        <w:rPr>
          <w:rFonts w:cs="Arial"/>
          <w:color w:val="000000"/>
          <w:szCs w:val="24"/>
        </w:rPr>
        <w:t>, includes advances by customers for construction which are to be refunded either wholly or in part.</w:t>
      </w:r>
    </w:p>
    <w:p w14:paraId="7594192C" w14:textId="77777777" w:rsidR="007A0456"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 xml:space="preserve">Account </w:t>
      </w:r>
      <w:r w:rsidRPr="008F7C81">
        <w:rPr>
          <w:rFonts w:cs="Arial"/>
          <w:color w:val="000000"/>
          <w:szCs w:val="24"/>
        </w:rPr>
        <w:t>28</w:t>
      </w:r>
      <w:r>
        <w:rPr>
          <w:rFonts w:cs="Arial"/>
          <w:color w:val="000000"/>
          <w:szCs w:val="24"/>
        </w:rPr>
        <w:t>1</w:t>
      </w:r>
      <w:r w:rsidRPr="008F7C81">
        <w:rPr>
          <w:rFonts w:cs="Arial"/>
          <w:color w:val="000000"/>
          <w:szCs w:val="24"/>
        </w:rPr>
        <w:t xml:space="preserve">, </w:t>
      </w:r>
      <w:r w:rsidRPr="008F7C81">
        <w:rPr>
          <w:rFonts w:cs="Arial"/>
          <w:color w:val="000000"/>
          <w:szCs w:val="24"/>
          <w:u w:val="single"/>
        </w:rPr>
        <w:t>Accumulated Deferred Income Taxes-</w:t>
      </w:r>
      <w:r>
        <w:rPr>
          <w:rFonts w:cs="Arial"/>
          <w:color w:val="000000"/>
          <w:szCs w:val="24"/>
          <w:u w:val="single"/>
        </w:rPr>
        <w:t xml:space="preserve">Accelerated Amortization </w:t>
      </w:r>
      <w:r w:rsidRPr="008F7C81">
        <w:rPr>
          <w:rFonts w:cs="Arial"/>
          <w:color w:val="000000"/>
          <w:szCs w:val="24"/>
          <w:u w:val="single"/>
        </w:rPr>
        <w:t>Property</w:t>
      </w:r>
      <w:r w:rsidRPr="008F7C81">
        <w:rPr>
          <w:rFonts w:cs="Arial"/>
          <w:color w:val="000000"/>
          <w:szCs w:val="24"/>
        </w:rPr>
        <w:t xml:space="preserve">, includes the tax deferrals resulting from the adoption of the principles of comprehensive interperiod income tax allocation which </w:t>
      </w:r>
      <w:r>
        <w:rPr>
          <w:rFonts w:cs="Arial"/>
          <w:color w:val="000000"/>
          <w:szCs w:val="24"/>
        </w:rPr>
        <w:t xml:space="preserve">the utility had availed itself of the use of accelerated depreciation (5 year) and certified defense utilities. </w:t>
      </w:r>
    </w:p>
    <w:p w14:paraId="4D96925D" w14:textId="77777777" w:rsidR="007A0456" w:rsidRPr="0005033F"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szCs w:val="24"/>
        </w:rPr>
        <w:t xml:space="preserve">Account </w:t>
      </w:r>
      <w:r w:rsidRPr="0005033F">
        <w:rPr>
          <w:rFonts w:cs="Arial"/>
          <w:szCs w:val="24"/>
        </w:rPr>
        <w:t xml:space="preserve">282, </w:t>
      </w:r>
      <w:r w:rsidRPr="0005033F">
        <w:rPr>
          <w:rFonts w:cs="Arial"/>
          <w:szCs w:val="24"/>
          <w:u w:val="single"/>
        </w:rPr>
        <w:t>Accumulated Deferred Income Taxes-Other Property</w:t>
      </w:r>
      <w:r w:rsidRPr="0005033F">
        <w:rPr>
          <w:rFonts w:cs="Arial"/>
          <w:szCs w:val="24"/>
        </w:rPr>
        <w:t>, includes the tax deferrals resulting from the adoption of the principles of comprehensive interperiod income tax allocation which are related to all property other than accelerated amortization property.</w:t>
      </w:r>
    </w:p>
    <w:p w14:paraId="2479CA7C" w14:textId="5086C2B8" w:rsidR="007A0456" w:rsidRPr="00670E01" w:rsidRDefault="007A0456" w:rsidP="007E4DE4">
      <w:pPr>
        <w:pStyle w:val="ListParagraph"/>
        <w:numPr>
          <w:ilvl w:val="0"/>
          <w:numId w:val="6"/>
        </w:numPr>
        <w:autoSpaceDE w:val="0"/>
        <w:autoSpaceDN w:val="0"/>
        <w:adjustRightInd w:val="0"/>
        <w:ind w:left="1080"/>
        <w:jc w:val="both"/>
        <w:rPr>
          <w:rFonts w:cs="Arial"/>
          <w:szCs w:val="24"/>
        </w:rPr>
      </w:pPr>
      <w:r>
        <w:rPr>
          <w:rFonts w:cs="Arial"/>
          <w:szCs w:val="24"/>
        </w:rPr>
        <w:t xml:space="preserve">Account </w:t>
      </w:r>
      <w:r w:rsidRPr="0005033F">
        <w:rPr>
          <w:rFonts w:cs="Arial"/>
          <w:szCs w:val="24"/>
        </w:rPr>
        <w:t xml:space="preserve">283, </w:t>
      </w:r>
      <w:r w:rsidRPr="0005033F">
        <w:rPr>
          <w:rFonts w:cs="Arial"/>
          <w:szCs w:val="24"/>
          <w:u w:val="single"/>
        </w:rPr>
        <w:t>Accumulated Deferred Income Taxes – Other</w:t>
      </w:r>
      <w:r w:rsidRPr="0005033F">
        <w:rPr>
          <w:rFonts w:cs="Arial"/>
          <w:szCs w:val="24"/>
        </w:rPr>
        <w:t xml:space="preserve">, includes all credit tax referrals resulting from the adoption of the principles of comprehensive interperiod income tax allocation, other than those deferrals </w:t>
      </w:r>
      <w:r w:rsidRPr="00670E01">
        <w:rPr>
          <w:rFonts w:cs="Arial"/>
          <w:szCs w:val="24"/>
        </w:rPr>
        <w:t xml:space="preserve">included in </w:t>
      </w:r>
      <w:r w:rsidR="005A4ADA">
        <w:rPr>
          <w:rFonts w:cs="Arial"/>
          <w:szCs w:val="24"/>
        </w:rPr>
        <w:t>Accounts</w:t>
      </w:r>
      <w:r w:rsidRPr="00670E01">
        <w:rPr>
          <w:rFonts w:cs="Arial"/>
          <w:szCs w:val="24"/>
        </w:rPr>
        <w:t xml:space="preserve"> 281 and 282.</w:t>
      </w:r>
    </w:p>
    <w:p w14:paraId="6F59C292" w14:textId="77777777" w:rsidR="007A0456" w:rsidRPr="0005033F" w:rsidRDefault="007A0456" w:rsidP="007A0456">
      <w:pPr>
        <w:pStyle w:val="ListParagraph"/>
        <w:autoSpaceDE w:val="0"/>
        <w:autoSpaceDN w:val="0"/>
        <w:adjustRightInd w:val="0"/>
        <w:ind w:left="990"/>
        <w:jc w:val="both"/>
        <w:rPr>
          <w:rFonts w:cs="Arial"/>
          <w:szCs w:val="24"/>
        </w:rPr>
      </w:pPr>
    </w:p>
    <w:p w14:paraId="618A5ED6" w14:textId="1416DBBF" w:rsidR="007A0456" w:rsidRDefault="007A0456" w:rsidP="007A0456">
      <w:pPr>
        <w:autoSpaceDE w:val="0"/>
        <w:autoSpaceDN w:val="0"/>
        <w:adjustRightInd w:val="0"/>
        <w:jc w:val="both"/>
        <w:rPr>
          <w:rFonts w:cs="Arial"/>
          <w:color w:val="000000"/>
          <w:szCs w:val="24"/>
        </w:rPr>
      </w:pPr>
      <w:r w:rsidRPr="0005033F">
        <w:rPr>
          <w:rFonts w:cs="Arial"/>
          <w:szCs w:val="24"/>
        </w:rPr>
        <w:tab/>
        <w:t>UI proposed to deduct costs reserved for pensions and benefits</w:t>
      </w:r>
      <w:r>
        <w:rPr>
          <w:rFonts w:cs="Arial"/>
          <w:color w:val="000000"/>
          <w:szCs w:val="24"/>
        </w:rPr>
        <w:t>, vacation accruals, and injuries and damages under its direct assignment proposed methodology.  Late Filed Exhibit No. 1, Revised Attachment 1.</w:t>
      </w:r>
    </w:p>
    <w:p w14:paraId="074BB12E" w14:textId="3C0EDD4B" w:rsidR="007A0456" w:rsidRDefault="007A0456" w:rsidP="007A0456">
      <w:pPr>
        <w:autoSpaceDE w:val="0"/>
        <w:autoSpaceDN w:val="0"/>
        <w:adjustRightInd w:val="0"/>
        <w:jc w:val="both"/>
        <w:rPr>
          <w:rFonts w:cs="Arial"/>
          <w:color w:val="000000"/>
          <w:szCs w:val="24"/>
        </w:rPr>
      </w:pPr>
      <w:r>
        <w:rPr>
          <w:rFonts w:cs="Arial"/>
          <w:color w:val="000000"/>
          <w:szCs w:val="24"/>
        </w:rPr>
        <w:lastRenderedPageBreak/>
        <w:tab/>
        <w:t xml:space="preserve">CL&amp;P proposed to deduct costs reserved for benefits and insurance items covering all employees, such as public liability, long-term disability, medical, and retirement benefits.  Additionally, the company proposed to deduct gross plant-related accumulated deferred income tax, Accounts 282 and 283.  Late Filed Exhibit No. 9, Attachment 1, p. 3.  </w:t>
      </w:r>
    </w:p>
    <w:p w14:paraId="38DBA407" w14:textId="77777777" w:rsidR="00B5636E" w:rsidRDefault="00B5636E" w:rsidP="007A0456">
      <w:pPr>
        <w:autoSpaceDE w:val="0"/>
        <w:autoSpaceDN w:val="0"/>
        <w:adjustRightInd w:val="0"/>
        <w:jc w:val="both"/>
        <w:rPr>
          <w:rFonts w:cs="Arial"/>
          <w:color w:val="000000"/>
          <w:szCs w:val="24"/>
        </w:rPr>
      </w:pPr>
    </w:p>
    <w:p w14:paraId="0533703C" w14:textId="56EB9DCD" w:rsidR="007A0456" w:rsidRDefault="007A0456" w:rsidP="007A0456">
      <w:pPr>
        <w:autoSpaceDE w:val="0"/>
        <w:autoSpaceDN w:val="0"/>
        <w:adjustRightInd w:val="0"/>
        <w:jc w:val="both"/>
        <w:rPr>
          <w:rFonts w:cs="Arial"/>
          <w:color w:val="000000"/>
          <w:szCs w:val="24"/>
        </w:rPr>
      </w:pPr>
      <w:r>
        <w:rPr>
          <w:rFonts w:cs="Arial"/>
          <w:color w:val="000000"/>
          <w:szCs w:val="24"/>
        </w:rPr>
        <w:tab/>
        <w:t xml:space="preserve">The OCC identified pension-related assets and liabilities allocated to includable labor expense, Account 252 (allocated to services and meters), and </w:t>
      </w:r>
      <w:r w:rsidR="005A4ADA">
        <w:rPr>
          <w:rFonts w:cs="Arial"/>
          <w:color w:val="000000"/>
          <w:szCs w:val="24"/>
        </w:rPr>
        <w:t>Accounts</w:t>
      </w:r>
      <w:r>
        <w:rPr>
          <w:rFonts w:cs="Arial"/>
          <w:color w:val="000000"/>
          <w:szCs w:val="24"/>
        </w:rPr>
        <w:t xml:space="preserve"> 281 and 282 (allocated to services and meters) as accounts not in dispute by the </w:t>
      </w:r>
      <w:r w:rsidR="00C143C2">
        <w:rPr>
          <w:rFonts w:cs="Arial"/>
          <w:color w:val="000000"/>
          <w:szCs w:val="24"/>
        </w:rPr>
        <w:t>P</w:t>
      </w:r>
      <w:r>
        <w:rPr>
          <w:rFonts w:cs="Arial"/>
          <w:color w:val="000000"/>
          <w:szCs w:val="24"/>
        </w:rPr>
        <w:t>arties and, therefore, includable in the MRCC calculation.</w:t>
      </w:r>
    </w:p>
    <w:p w14:paraId="21655849" w14:textId="77777777" w:rsidR="007A0456" w:rsidRDefault="007A0456" w:rsidP="007A0456">
      <w:pPr>
        <w:autoSpaceDE w:val="0"/>
        <w:autoSpaceDN w:val="0"/>
        <w:adjustRightInd w:val="0"/>
        <w:jc w:val="both"/>
        <w:rPr>
          <w:rFonts w:cs="Arial"/>
          <w:color w:val="000000"/>
          <w:szCs w:val="24"/>
        </w:rPr>
      </w:pPr>
    </w:p>
    <w:p w14:paraId="47F89B9F" w14:textId="54087316" w:rsidR="007A0456" w:rsidRDefault="007A0456" w:rsidP="007A0456">
      <w:pPr>
        <w:autoSpaceDE w:val="0"/>
        <w:autoSpaceDN w:val="0"/>
        <w:adjustRightInd w:val="0"/>
        <w:jc w:val="both"/>
        <w:rPr>
          <w:rFonts w:cs="Arial"/>
          <w:szCs w:val="24"/>
        </w:rPr>
      </w:pPr>
      <w:r w:rsidRPr="0005033F">
        <w:rPr>
          <w:rFonts w:cs="Arial"/>
          <w:szCs w:val="24"/>
        </w:rPr>
        <w:tab/>
        <w:t>The Authority will allow the inclusion of the proposed rate base deductions of costs that clearly follow the approved rate base and expense items in Section</w:t>
      </w:r>
      <w:r w:rsidRPr="00B537A6">
        <w:rPr>
          <w:rFonts w:cs="Arial"/>
          <w:szCs w:val="24"/>
        </w:rPr>
        <w:t xml:space="preserve"> III.</w:t>
      </w:r>
      <w:r w:rsidR="002662C5">
        <w:rPr>
          <w:rFonts w:cs="Arial"/>
          <w:szCs w:val="24"/>
        </w:rPr>
        <w:t>C</w:t>
      </w:r>
      <w:r w:rsidRPr="00B537A6">
        <w:rPr>
          <w:rFonts w:cs="Arial"/>
          <w:szCs w:val="24"/>
        </w:rPr>
        <w:t xml:space="preserve">. </w:t>
      </w:r>
      <w:r w:rsidRPr="0005033F">
        <w:rPr>
          <w:rFonts w:cs="Arial"/>
          <w:szCs w:val="24"/>
          <w:u w:val="single"/>
        </w:rPr>
        <w:t>FERC</w:t>
      </w:r>
      <w:r>
        <w:rPr>
          <w:rFonts w:cs="Arial"/>
          <w:szCs w:val="24"/>
          <w:u w:val="single"/>
        </w:rPr>
        <w:t xml:space="preserve"> </w:t>
      </w:r>
      <w:r w:rsidRPr="0005033F">
        <w:rPr>
          <w:rFonts w:cs="Arial"/>
          <w:szCs w:val="24"/>
          <w:u w:val="single"/>
        </w:rPr>
        <w:t>Accounts</w:t>
      </w:r>
      <w:r w:rsidRPr="0005033F">
        <w:rPr>
          <w:rFonts w:cs="Arial"/>
          <w:szCs w:val="24"/>
        </w:rPr>
        <w:t xml:space="preserve">.  Each </w:t>
      </w:r>
      <w:r>
        <w:rPr>
          <w:rFonts w:cs="Arial"/>
          <w:szCs w:val="24"/>
        </w:rPr>
        <w:t>EDC</w:t>
      </w:r>
      <w:r w:rsidRPr="0005033F">
        <w:rPr>
          <w:rFonts w:cs="Arial"/>
          <w:szCs w:val="24"/>
        </w:rPr>
        <w:t xml:space="preserve"> </w:t>
      </w:r>
      <w:r>
        <w:rPr>
          <w:rFonts w:cs="Arial"/>
          <w:szCs w:val="24"/>
        </w:rPr>
        <w:t>must</w:t>
      </w:r>
      <w:r w:rsidRPr="0005033F">
        <w:rPr>
          <w:rFonts w:cs="Arial"/>
          <w:szCs w:val="24"/>
        </w:rPr>
        <w:t xml:space="preserve"> identify these costs using the direct assignment methodology related to the statutory functions.</w:t>
      </w:r>
      <w:r w:rsidRPr="00B537A6">
        <w:rPr>
          <w:rFonts w:cs="Arial"/>
          <w:szCs w:val="24"/>
        </w:rPr>
        <w:t xml:space="preserve">  For example, the costs in </w:t>
      </w:r>
      <w:r>
        <w:rPr>
          <w:rFonts w:cs="Arial"/>
          <w:szCs w:val="24"/>
        </w:rPr>
        <w:t xml:space="preserve">Account </w:t>
      </w:r>
      <w:r w:rsidRPr="00B537A6">
        <w:rPr>
          <w:rFonts w:cs="Arial"/>
          <w:szCs w:val="24"/>
        </w:rPr>
        <w:t xml:space="preserve">228.3, </w:t>
      </w:r>
      <w:r w:rsidRPr="0005033F">
        <w:rPr>
          <w:rFonts w:cs="Arial"/>
          <w:szCs w:val="24"/>
          <w:u w:val="single"/>
        </w:rPr>
        <w:t>Accumulated Provision for Pensions and Benefits,</w:t>
      </w:r>
      <w:r w:rsidRPr="00B537A6">
        <w:rPr>
          <w:rFonts w:cs="Arial"/>
          <w:szCs w:val="24"/>
        </w:rPr>
        <w:t xml:space="preserve"> </w:t>
      </w:r>
      <w:r w:rsidR="00AA1D43">
        <w:rPr>
          <w:rFonts w:cs="Arial"/>
          <w:szCs w:val="24"/>
        </w:rPr>
        <w:t xml:space="preserve">are </w:t>
      </w:r>
      <w:r w:rsidRPr="00B537A6">
        <w:rPr>
          <w:rFonts w:cs="Arial"/>
          <w:szCs w:val="24"/>
        </w:rPr>
        <w:t>related to includable employees</w:t>
      </w:r>
      <w:r w:rsidR="00AA1D43">
        <w:rPr>
          <w:rFonts w:cs="Arial"/>
          <w:szCs w:val="24"/>
        </w:rPr>
        <w:t xml:space="preserve"> and are </w:t>
      </w:r>
      <w:r w:rsidRPr="00B537A6">
        <w:rPr>
          <w:rFonts w:cs="Arial"/>
          <w:szCs w:val="24"/>
        </w:rPr>
        <w:t xml:space="preserve">appropriate for inclusion in the MRCC calculation.  </w:t>
      </w:r>
      <w:r w:rsidRPr="0005033F">
        <w:rPr>
          <w:rFonts w:cs="Arial"/>
          <w:szCs w:val="24"/>
        </w:rPr>
        <w:t xml:space="preserve">Accumulated deferred income tax on gross plant, with the exception of includable plant as identified below, is </w:t>
      </w:r>
      <w:r>
        <w:rPr>
          <w:rFonts w:cs="Arial"/>
          <w:szCs w:val="24"/>
        </w:rPr>
        <w:t>not to be included in</w:t>
      </w:r>
      <w:r w:rsidRPr="0005033F">
        <w:rPr>
          <w:rFonts w:cs="Arial"/>
          <w:szCs w:val="24"/>
        </w:rPr>
        <w:t xml:space="preserve"> the MRCC calculation.  </w:t>
      </w:r>
    </w:p>
    <w:p w14:paraId="200327E9" w14:textId="77777777" w:rsidR="00AA1D43" w:rsidRPr="0005033F" w:rsidRDefault="00AA1D43" w:rsidP="007A0456">
      <w:pPr>
        <w:autoSpaceDE w:val="0"/>
        <w:autoSpaceDN w:val="0"/>
        <w:adjustRightInd w:val="0"/>
        <w:jc w:val="both"/>
        <w:rPr>
          <w:rFonts w:cs="Arial"/>
          <w:szCs w:val="24"/>
        </w:rPr>
      </w:pPr>
    </w:p>
    <w:p w14:paraId="1A1339A3" w14:textId="5E05CBDC" w:rsidR="007A0456" w:rsidRDefault="007A0456" w:rsidP="00E1092F">
      <w:pPr>
        <w:pStyle w:val="Heading3"/>
        <w:tabs>
          <w:tab w:val="clear" w:pos="1800"/>
        </w:tabs>
        <w:ind w:left="720"/>
      </w:pPr>
      <w:bookmarkStart w:id="56" w:name="_Toc499050487"/>
      <w:bookmarkStart w:id="57" w:name="_Toc501528275"/>
      <w:r>
        <w:t xml:space="preserve">Electric </w:t>
      </w:r>
      <w:r w:rsidRPr="00367710">
        <w:t xml:space="preserve">Plant </w:t>
      </w:r>
      <w:r w:rsidR="005A4ADA">
        <w:t>Accounts</w:t>
      </w:r>
      <w:r>
        <w:t xml:space="preserve"> 301 – 399.1</w:t>
      </w:r>
      <w:bookmarkEnd w:id="56"/>
      <w:bookmarkEnd w:id="57"/>
    </w:p>
    <w:p w14:paraId="6E96EE90" w14:textId="77777777" w:rsidR="007A0456" w:rsidRPr="0060236C" w:rsidRDefault="007A0456" w:rsidP="007A0456">
      <w:pPr>
        <w:jc w:val="both"/>
      </w:pPr>
    </w:p>
    <w:p w14:paraId="2F4B0E0A" w14:textId="5B3F4B78" w:rsidR="007A0456" w:rsidRDefault="007A0456" w:rsidP="007A0456">
      <w:pPr>
        <w:jc w:val="both"/>
        <w:rPr>
          <w:rFonts w:cs="Arial"/>
          <w:szCs w:val="24"/>
        </w:rPr>
      </w:pPr>
      <w:r w:rsidRPr="008053D8">
        <w:rPr>
          <w:rFonts w:cs="Arial"/>
          <w:szCs w:val="24"/>
        </w:rPr>
        <w:tab/>
        <w:t>For the purposes of th</w:t>
      </w:r>
      <w:r w:rsidR="00AB5F2E">
        <w:rPr>
          <w:rFonts w:cs="Arial"/>
          <w:szCs w:val="24"/>
        </w:rPr>
        <w:t xml:space="preserve">e instant </w:t>
      </w:r>
      <w:r w:rsidRPr="008053D8">
        <w:rPr>
          <w:rFonts w:cs="Arial"/>
          <w:szCs w:val="24"/>
        </w:rPr>
        <w:t xml:space="preserve">Decision, </w:t>
      </w:r>
      <w:r>
        <w:rPr>
          <w:rFonts w:cs="Arial"/>
          <w:szCs w:val="24"/>
        </w:rPr>
        <w:t>t</w:t>
      </w:r>
      <w:r w:rsidRPr="008053D8">
        <w:rPr>
          <w:rFonts w:cs="Arial"/>
          <w:szCs w:val="24"/>
        </w:rPr>
        <w:t>he Authority will limit the scope</w:t>
      </w:r>
      <w:r>
        <w:rPr>
          <w:rFonts w:cs="Arial"/>
          <w:szCs w:val="24"/>
        </w:rPr>
        <w:t xml:space="preserve"> of this discussion </w:t>
      </w:r>
      <w:r w:rsidRPr="008053D8">
        <w:rPr>
          <w:rFonts w:cs="Arial"/>
          <w:szCs w:val="24"/>
        </w:rPr>
        <w:t xml:space="preserve">to </w:t>
      </w:r>
      <w:r>
        <w:rPr>
          <w:rFonts w:cs="Arial"/>
          <w:szCs w:val="24"/>
        </w:rPr>
        <w:t>FERC Accounts identified by the Parties as directly related to one or more of the statutory functions</w:t>
      </w:r>
      <w:r>
        <w:rPr>
          <w:rStyle w:val="CommentReference"/>
        </w:rPr>
        <w:t xml:space="preserve">.  </w:t>
      </w:r>
      <w:r>
        <w:rPr>
          <w:rFonts w:cs="Arial"/>
          <w:szCs w:val="24"/>
        </w:rPr>
        <w:t>E</w:t>
      </w:r>
      <w:r w:rsidRPr="008053D8">
        <w:rPr>
          <w:rFonts w:cs="Arial"/>
          <w:szCs w:val="24"/>
        </w:rPr>
        <w:t xml:space="preserve">lectric plant accounts related to generation or transmission </w:t>
      </w:r>
      <w:r>
        <w:rPr>
          <w:rFonts w:cs="Arial"/>
          <w:szCs w:val="24"/>
        </w:rPr>
        <w:t>are not applicable to the MRCC, and will not be addressed</w:t>
      </w:r>
      <w:r w:rsidRPr="008053D8">
        <w:rPr>
          <w:rFonts w:cs="Arial"/>
          <w:szCs w:val="24"/>
        </w:rPr>
        <w:t xml:space="preserve">. </w:t>
      </w:r>
    </w:p>
    <w:p w14:paraId="6D6655B2" w14:textId="77777777" w:rsidR="007A0456" w:rsidRPr="008053D8" w:rsidRDefault="007A0456" w:rsidP="007A0456">
      <w:pPr>
        <w:jc w:val="both"/>
        <w:rPr>
          <w:rFonts w:cs="Arial"/>
          <w:szCs w:val="24"/>
        </w:rPr>
      </w:pPr>
    </w:p>
    <w:p w14:paraId="09F2731F" w14:textId="56125C94" w:rsidR="007A0456" w:rsidRPr="00CE751A" w:rsidRDefault="007A0456" w:rsidP="00E1092F">
      <w:pPr>
        <w:pStyle w:val="Heading4"/>
        <w:tabs>
          <w:tab w:val="clear" w:pos="2520"/>
          <w:tab w:val="num" w:pos="2160"/>
        </w:tabs>
        <w:ind w:left="1440"/>
      </w:pPr>
      <w:bookmarkStart w:id="58" w:name="_Toc499050488"/>
      <w:bookmarkStart w:id="59" w:name="_Toc501528276"/>
      <w:r w:rsidRPr="00CE751A">
        <w:t>Intangible Plant</w:t>
      </w:r>
      <w:r>
        <w:t xml:space="preserve"> </w:t>
      </w:r>
      <w:r w:rsidR="005A4ADA">
        <w:t>Accounts</w:t>
      </w:r>
      <w:r>
        <w:t xml:space="preserve"> 301-303</w:t>
      </w:r>
      <w:bookmarkEnd w:id="58"/>
      <w:bookmarkEnd w:id="59"/>
    </w:p>
    <w:p w14:paraId="35371DA4" w14:textId="77777777" w:rsidR="007A0456" w:rsidRDefault="007A0456" w:rsidP="007A0456">
      <w:pPr>
        <w:autoSpaceDE w:val="0"/>
        <w:autoSpaceDN w:val="0"/>
        <w:adjustRightInd w:val="0"/>
        <w:jc w:val="both"/>
        <w:rPr>
          <w:rFonts w:cs="Arial"/>
          <w:color w:val="000000"/>
          <w:szCs w:val="24"/>
        </w:rPr>
      </w:pPr>
    </w:p>
    <w:p w14:paraId="1E78EAF5" w14:textId="77777777" w:rsidR="007A0456" w:rsidRDefault="007A0456" w:rsidP="007A0456">
      <w:pPr>
        <w:autoSpaceDE w:val="0"/>
        <w:autoSpaceDN w:val="0"/>
        <w:adjustRightInd w:val="0"/>
        <w:ind w:firstLine="720"/>
        <w:jc w:val="both"/>
        <w:rPr>
          <w:rFonts w:cs="Arial"/>
          <w:color w:val="000000"/>
          <w:szCs w:val="24"/>
        </w:rPr>
      </w:pPr>
      <w:r>
        <w:rPr>
          <w:rFonts w:cs="Arial"/>
          <w:color w:val="000000"/>
          <w:szCs w:val="24"/>
        </w:rPr>
        <w:t xml:space="preserve">Certain </w:t>
      </w:r>
      <w:r w:rsidRPr="00CE751A">
        <w:rPr>
          <w:rFonts w:cs="Arial"/>
          <w:color w:val="000000"/>
          <w:szCs w:val="24"/>
        </w:rPr>
        <w:t>Intangible plant is recorded in the</w:t>
      </w:r>
      <w:r w:rsidRPr="008B4B5D">
        <w:rPr>
          <w:rFonts w:cs="Arial"/>
          <w:color w:val="000000"/>
          <w:szCs w:val="24"/>
        </w:rPr>
        <w:t xml:space="preserve"> </w:t>
      </w:r>
      <w:r>
        <w:rPr>
          <w:rFonts w:cs="Arial"/>
          <w:color w:val="000000"/>
          <w:szCs w:val="24"/>
        </w:rPr>
        <w:t xml:space="preserve">FERC Accounts </w:t>
      </w:r>
      <w:r w:rsidRPr="00CE751A">
        <w:rPr>
          <w:rFonts w:cs="Arial"/>
          <w:color w:val="000000"/>
          <w:szCs w:val="24"/>
        </w:rPr>
        <w:t>as follows:</w:t>
      </w:r>
    </w:p>
    <w:p w14:paraId="1FDA6C55" w14:textId="77777777" w:rsidR="007A0456" w:rsidRPr="00CE751A" w:rsidRDefault="007A0456" w:rsidP="007A0456">
      <w:pPr>
        <w:autoSpaceDE w:val="0"/>
        <w:autoSpaceDN w:val="0"/>
        <w:adjustRightInd w:val="0"/>
        <w:jc w:val="both"/>
        <w:rPr>
          <w:rFonts w:cs="Arial"/>
          <w:color w:val="000000"/>
          <w:szCs w:val="24"/>
        </w:rPr>
      </w:pPr>
    </w:p>
    <w:p w14:paraId="197ABC9E" w14:textId="77777777" w:rsidR="007A0456" w:rsidRDefault="007A0456" w:rsidP="007E4DE4">
      <w:pPr>
        <w:pStyle w:val="ListParagraph"/>
        <w:numPr>
          <w:ilvl w:val="0"/>
          <w:numId w:val="6"/>
        </w:numPr>
        <w:autoSpaceDE w:val="0"/>
        <w:autoSpaceDN w:val="0"/>
        <w:adjustRightInd w:val="0"/>
        <w:ind w:left="1080"/>
        <w:jc w:val="both"/>
        <w:rPr>
          <w:rFonts w:cs="Arial"/>
          <w:color w:val="000000"/>
          <w:szCs w:val="24"/>
        </w:rPr>
      </w:pPr>
      <w:r>
        <w:rPr>
          <w:rFonts w:cs="Arial"/>
          <w:color w:val="000000"/>
          <w:szCs w:val="24"/>
        </w:rPr>
        <w:t xml:space="preserve">Account </w:t>
      </w:r>
      <w:r w:rsidRPr="00CE751A">
        <w:rPr>
          <w:rFonts w:cs="Arial"/>
          <w:color w:val="000000"/>
          <w:szCs w:val="24"/>
        </w:rPr>
        <w:t xml:space="preserve">303, </w:t>
      </w:r>
      <w:r w:rsidRPr="00CE751A">
        <w:rPr>
          <w:rFonts w:cs="Arial"/>
          <w:color w:val="000000"/>
          <w:szCs w:val="24"/>
          <w:u w:val="single"/>
        </w:rPr>
        <w:t>Miscellaneous Intangible Plant</w:t>
      </w:r>
      <w:r w:rsidRPr="00CE751A">
        <w:rPr>
          <w:rFonts w:cs="Arial"/>
          <w:color w:val="000000"/>
          <w:szCs w:val="24"/>
        </w:rPr>
        <w:t>, includes the cost of patents rights, licenses, privileges and other intangible property necessary or valuable in the conduct of utility operations and not specifically chargeable to any other account.</w:t>
      </w:r>
    </w:p>
    <w:p w14:paraId="14A2B4AB" w14:textId="77777777" w:rsidR="007A0456" w:rsidRPr="000C1650" w:rsidRDefault="007A0456" w:rsidP="007A0456">
      <w:pPr>
        <w:autoSpaceDE w:val="0"/>
        <w:autoSpaceDN w:val="0"/>
        <w:adjustRightInd w:val="0"/>
        <w:ind w:left="810"/>
        <w:jc w:val="both"/>
        <w:rPr>
          <w:rFonts w:cs="Arial"/>
          <w:color w:val="000000"/>
          <w:szCs w:val="24"/>
        </w:rPr>
      </w:pPr>
    </w:p>
    <w:p w14:paraId="280A3111" w14:textId="42819349" w:rsidR="007A0456" w:rsidRDefault="007A0456" w:rsidP="007A0456">
      <w:pPr>
        <w:autoSpaceDE w:val="0"/>
        <w:autoSpaceDN w:val="0"/>
        <w:adjustRightInd w:val="0"/>
        <w:ind w:firstLine="720"/>
        <w:jc w:val="both"/>
        <w:rPr>
          <w:rFonts w:cs="Arial"/>
          <w:szCs w:val="24"/>
        </w:rPr>
      </w:pPr>
      <w:r>
        <w:rPr>
          <w:rFonts w:cs="Arial"/>
          <w:szCs w:val="24"/>
        </w:rPr>
        <w:t>UI proposed that Account 303</w:t>
      </w:r>
      <w:r>
        <w:rPr>
          <w:rFonts w:cs="Arial"/>
          <w:color w:val="000000"/>
          <w:szCs w:val="24"/>
        </w:rPr>
        <w:t xml:space="preserve"> be includable in the MRCC calculation because there are costs booked to that account that are necessary to the provision of the statutory functions.  </w:t>
      </w:r>
      <w:r>
        <w:rPr>
          <w:rFonts w:cs="Arial"/>
          <w:szCs w:val="24"/>
        </w:rPr>
        <w:t xml:space="preserve">Some assets used exclusively for a specific service are booked directly to a FERC account dedicated to that service.  Other assets, which are specific to one or more of the statutory functions, must be booked to an allocated FERC account due to the accounting requirements of the USOA.  For example, UI indicated that it utilizes software to perform automated metering.  UI testified that the Meter Data Management system (MDM) software system is vital to the provision of automated metering.  Without the data system, there is no automated metering.  Tr. 08/16/17, p. 42.  The software costs associated with the MDM system must be booked to Account 303, </w:t>
      </w:r>
      <w:r w:rsidRPr="00367710">
        <w:rPr>
          <w:rFonts w:cs="Arial"/>
          <w:szCs w:val="24"/>
          <w:u w:val="single"/>
        </w:rPr>
        <w:t>Miscellaneous Intangible Plant</w:t>
      </w:r>
      <w:r>
        <w:rPr>
          <w:rFonts w:cs="Arial"/>
          <w:szCs w:val="24"/>
        </w:rPr>
        <w:t xml:space="preserve">, based on the USOA requirements.  UI provided a list of all the software applications and costs booked to Account 303, </w:t>
      </w:r>
      <w:r w:rsidRPr="00367710">
        <w:rPr>
          <w:rFonts w:cs="Arial"/>
          <w:szCs w:val="24"/>
          <w:u w:val="single"/>
        </w:rPr>
        <w:t xml:space="preserve">Miscellaneous </w:t>
      </w:r>
      <w:r w:rsidRPr="00367710">
        <w:rPr>
          <w:rFonts w:cs="Arial"/>
          <w:szCs w:val="24"/>
          <w:u w:val="single"/>
        </w:rPr>
        <w:lastRenderedPageBreak/>
        <w:t>Intangible Plan</w:t>
      </w:r>
      <w:r>
        <w:rPr>
          <w:rFonts w:cs="Arial"/>
          <w:szCs w:val="24"/>
          <w:u w:val="single"/>
        </w:rPr>
        <w:t>t</w:t>
      </w:r>
      <w:r w:rsidRPr="0099082F">
        <w:rPr>
          <w:rFonts w:cs="Arial"/>
          <w:szCs w:val="24"/>
        </w:rPr>
        <w:t>,</w:t>
      </w:r>
      <w:r>
        <w:rPr>
          <w:rFonts w:cs="Arial"/>
          <w:szCs w:val="24"/>
        </w:rPr>
        <w:t xml:space="preserve"> and the statutory functions for which each application is used.  Brief, p.</w:t>
      </w:r>
      <w:r w:rsidR="00AB5F2E">
        <w:rPr>
          <w:rFonts w:cs="Arial"/>
          <w:szCs w:val="24"/>
        </w:rPr>
        <w:t> </w:t>
      </w:r>
      <w:r>
        <w:rPr>
          <w:rFonts w:cs="Arial"/>
          <w:szCs w:val="24"/>
        </w:rPr>
        <w:t>22; UI Response to Interrogatory RA-7, Attachment.</w:t>
      </w:r>
      <w:r w:rsidR="00AB5F2E">
        <w:rPr>
          <w:rFonts w:cs="Arial"/>
          <w:szCs w:val="24"/>
        </w:rPr>
        <w:t xml:space="preserve">  </w:t>
      </w:r>
      <w:r>
        <w:rPr>
          <w:rFonts w:cs="Arial"/>
          <w:szCs w:val="24"/>
        </w:rPr>
        <w:t xml:space="preserve">UI further testified that the amount for Account 303, </w:t>
      </w:r>
      <w:r w:rsidRPr="00367710">
        <w:rPr>
          <w:rFonts w:cs="Arial"/>
          <w:szCs w:val="24"/>
          <w:u w:val="single"/>
        </w:rPr>
        <w:t>Miscellaneous Intangible Plan</w:t>
      </w:r>
      <w:r>
        <w:rPr>
          <w:rFonts w:cs="Arial"/>
          <w:szCs w:val="24"/>
          <w:u w:val="single"/>
        </w:rPr>
        <w:t>t</w:t>
      </w:r>
      <w:r>
        <w:rPr>
          <w:rFonts w:cs="Arial"/>
          <w:szCs w:val="24"/>
        </w:rPr>
        <w:t>, can vary from year to year since a major software implementation will increase the amount of costs in that account in any given year.  For example, costs will decline quickly when there is a short, three-year life for software.  Tr. 08/16/17, p. 427.</w:t>
      </w:r>
      <w:r w:rsidR="003F6BF8">
        <w:rPr>
          <w:rFonts w:cs="Arial"/>
          <w:szCs w:val="24"/>
        </w:rPr>
        <w:t xml:space="preserve">  </w:t>
      </w:r>
      <w:r>
        <w:rPr>
          <w:rFonts w:cs="Arial"/>
          <w:szCs w:val="24"/>
        </w:rPr>
        <w:t xml:space="preserve"> </w:t>
      </w:r>
    </w:p>
    <w:p w14:paraId="5D306A59" w14:textId="77777777" w:rsidR="00B5636E" w:rsidRDefault="00B5636E" w:rsidP="007A0456">
      <w:pPr>
        <w:autoSpaceDE w:val="0"/>
        <w:autoSpaceDN w:val="0"/>
        <w:adjustRightInd w:val="0"/>
        <w:ind w:firstLine="720"/>
        <w:jc w:val="both"/>
        <w:rPr>
          <w:rFonts w:cs="Arial"/>
          <w:color w:val="000000"/>
          <w:szCs w:val="24"/>
        </w:rPr>
      </w:pPr>
    </w:p>
    <w:p w14:paraId="38B5AEA6" w14:textId="77777777" w:rsidR="007A0456" w:rsidRDefault="007A0456" w:rsidP="007A0456">
      <w:pPr>
        <w:autoSpaceDE w:val="0"/>
        <w:autoSpaceDN w:val="0"/>
        <w:adjustRightInd w:val="0"/>
        <w:ind w:firstLine="720"/>
        <w:jc w:val="both"/>
        <w:rPr>
          <w:rFonts w:cs="Arial"/>
          <w:szCs w:val="24"/>
        </w:rPr>
      </w:pPr>
      <w:r>
        <w:rPr>
          <w:rFonts w:cs="Arial"/>
          <w:color w:val="000000"/>
          <w:szCs w:val="24"/>
        </w:rPr>
        <w:t>CL&amp;P</w:t>
      </w:r>
      <w:r w:rsidRPr="008053D8">
        <w:rPr>
          <w:rFonts w:cs="Arial"/>
          <w:color w:val="000000"/>
          <w:szCs w:val="24"/>
        </w:rPr>
        <w:t xml:space="preserve"> proposed that </w:t>
      </w:r>
      <w:r>
        <w:rPr>
          <w:rFonts w:cs="Arial"/>
          <w:color w:val="000000"/>
          <w:szCs w:val="24"/>
        </w:rPr>
        <w:t>c</w:t>
      </w:r>
      <w:r w:rsidRPr="008053D8">
        <w:rPr>
          <w:rFonts w:cs="Arial"/>
          <w:szCs w:val="24"/>
        </w:rPr>
        <w:t>ustomer</w:t>
      </w:r>
      <w:r>
        <w:rPr>
          <w:rFonts w:cs="Arial"/>
          <w:szCs w:val="24"/>
        </w:rPr>
        <w:t>-</w:t>
      </w:r>
      <w:r w:rsidRPr="008053D8">
        <w:rPr>
          <w:rFonts w:cs="Arial"/>
          <w:szCs w:val="24"/>
        </w:rPr>
        <w:t xml:space="preserve">related costs included in </w:t>
      </w:r>
      <w:r>
        <w:rPr>
          <w:rFonts w:cs="Arial"/>
          <w:szCs w:val="24"/>
        </w:rPr>
        <w:t>Account 303</w:t>
      </w:r>
      <w:r w:rsidRPr="008053D8">
        <w:rPr>
          <w:rFonts w:cs="Arial"/>
          <w:szCs w:val="24"/>
        </w:rPr>
        <w:t xml:space="preserve"> be included in the MRCC</w:t>
      </w:r>
      <w:r>
        <w:rPr>
          <w:rFonts w:cs="Arial"/>
          <w:szCs w:val="24"/>
        </w:rPr>
        <w:t xml:space="preserve">, stating </w:t>
      </w:r>
      <w:r w:rsidRPr="008053D8">
        <w:rPr>
          <w:rFonts w:cs="Arial"/>
          <w:color w:val="000000"/>
          <w:szCs w:val="24"/>
        </w:rPr>
        <w:t xml:space="preserve">that some of these costs relate to </w:t>
      </w:r>
      <w:r>
        <w:rPr>
          <w:rFonts w:cs="Arial"/>
          <w:color w:val="000000"/>
          <w:szCs w:val="24"/>
        </w:rPr>
        <w:t xml:space="preserve">the statutory </w:t>
      </w:r>
      <w:r w:rsidRPr="008053D8">
        <w:rPr>
          <w:rFonts w:cs="Arial"/>
          <w:color w:val="000000"/>
          <w:szCs w:val="24"/>
        </w:rPr>
        <w:t>functions</w:t>
      </w:r>
      <w:r>
        <w:rPr>
          <w:rFonts w:cs="Arial"/>
          <w:color w:val="000000"/>
          <w:szCs w:val="24"/>
        </w:rPr>
        <w:t>.</w:t>
      </w:r>
      <w:r w:rsidRPr="008053D8">
        <w:rPr>
          <w:rFonts w:cs="Arial"/>
          <w:color w:val="000000"/>
          <w:szCs w:val="24"/>
        </w:rPr>
        <w:t xml:space="preserve"> </w:t>
      </w:r>
      <w:r w:rsidRPr="008053D8">
        <w:rPr>
          <w:rFonts w:cs="Arial"/>
          <w:szCs w:val="24"/>
        </w:rPr>
        <w:t>W</w:t>
      </w:r>
      <w:r>
        <w:rPr>
          <w:rFonts w:cs="Arial"/>
          <w:szCs w:val="24"/>
        </w:rPr>
        <w:t xml:space="preserve">ritten Comments, </w:t>
      </w:r>
      <w:r w:rsidRPr="008053D8">
        <w:rPr>
          <w:rFonts w:cs="Arial"/>
          <w:szCs w:val="24"/>
        </w:rPr>
        <w:t xml:space="preserve">p. 1; Attachment 1.  </w:t>
      </w:r>
      <w:r>
        <w:rPr>
          <w:rFonts w:cs="Arial"/>
          <w:szCs w:val="24"/>
        </w:rPr>
        <w:t xml:space="preserve">The company provided a list of the system and software applications booked to Account 303, </w:t>
      </w:r>
      <w:r w:rsidRPr="00367710">
        <w:rPr>
          <w:rFonts w:cs="Arial"/>
          <w:szCs w:val="24"/>
          <w:u w:val="single"/>
        </w:rPr>
        <w:t>Miscellaneous Intangible Plan</w:t>
      </w:r>
      <w:r>
        <w:rPr>
          <w:rFonts w:cs="Arial"/>
          <w:szCs w:val="24"/>
          <w:u w:val="single"/>
        </w:rPr>
        <w:t>t</w:t>
      </w:r>
      <w:r>
        <w:rPr>
          <w:rFonts w:cs="Arial"/>
          <w:szCs w:val="24"/>
        </w:rPr>
        <w:t xml:space="preserve">, and the statutory functions for which each application is used.  Response to Interrogatory RA-7, Attachment 1.  Further, the miscellaneous intangible plant for many major programs recorded in Account 303 are amortized over 10 years.  Reply Brief, p. 5.  </w:t>
      </w:r>
    </w:p>
    <w:p w14:paraId="2CF9FA30" w14:textId="77777777" w:rsidR="007A0456" w:rsidRDefault="007A0456" w:rsidP="007A0456">
      <w:pPr>
        <w:pStyle w:val="NoSpacing"/>
        <w:ind w:firstLine="720"/>
        <w:jc w:val="both"/>
        <w:rPr>
          <w:rFonts w:ascii="Arial" w:hAnsi="Arial" w:cs="Arial"/>
          <w:sz w:val="24"/>
          <w:szCs w:val="24"/>
        </w:rPr>
      </w:pPr>
    </w:p>
    <w:p w14:paraId="0CFFBBC9" w14:textId="77777777" w:rsidR="007A0456" w:rsidRDefault="007A0456" w:rsidP="007A0456">
      <w:pPr>
        <w:pStyle w:val="NoSpacing"/>
        <w:ind w:firstLine="720"/>
        <w:jc w:val="both"/>
        <w:rPr>
          <w:rFonts w:ascii="Arial" w:hAnsi="Arial" w:cs="Arial"/>
          <w:sz w:val="24"/>
          <w:szCs w:val="24"/>
        </w:rPr>
      </w:pPr>
      <w:r>
        <w:rPr>
          <w:rFonts w:ascii="Arial" w:hAnsi="Arial" w:cs="Arial"/>
          <w:sz w:val="24"/>
          <w:szCs w:val="24"/>
        </w:rPr>
        <w:t xml:space="preserve">The OCC recommended that Account 303 be excluded from the MRCC calculation.  Software costs depreciate quickly and plant additions in this category may not be known with any precision.  The OCC expressed concern regarding the inclusion of software costs that do not provide customer-service functions at all.  Brief, p. 14. </w:t>
      </w:r>
    </w:p>
    <w:p w14:paraId="214CF938" w14:textId="77777777" w:rsidR="004B09A5" w:rsidRDefault="004B09A5" w:rsidP="007A0456">
      <w:pPr>
        <w:pStyle w:val="NoSpacing"/>
        <w:ind w:firstLine="720"/>
        <w:jc w:val="both"/>
        <w:rPr>
          <w:rFonts w:ascii="Arial" w:hAnsi="Arial" w:cs="Arial"/>
          <w:sz w:val="24"/>
          <w:szCs w:val="24"/>
        </w:rPr>
      </w:pPr>
    </w:p>
    <w:p w14:paraId="5F1CCF7E" w14:textId="543642CE" w:rsidR="007A0456" w:rsidRDefault="007A0456" w:rsidP="007A0456">
      <w:pPr>
        <w:pStyle w:val="NoSpacing"/>
        <w:ind w:firstLine="720"/>
        <w:jc w:val="both"/>
        <w:rPr>
          <w:rFonts w:ascii="Arial" w:hAnsi="Arial" w:cs="Arial"/>
          <w:sz w:val="24"/>
          <w:szCs w:val="24"/>
        </w:rPr>
      </w:pPr>
      <w:r>
        <w:rPr>
          <w:rFonts w:ascii="Arial" w:hAnsi="Arial" w:cs="Arial"/>
          <w:sz w:val="24"/>
          <w:szCs w:val="24"/>
        </w:rPr>
        <w:t>The EDCs incur software costs that are necessary to perform one or more of the statutory functions.  For example, UI uses software applications associated with meter reading, customer billing and ordering.  Customer service representatives use the software to access individual customer accounts to process orders for electric service and to answer customer billing questions</w:t>
      </w:r>
      <w:r w:rsidR="00AB5F2E">
        <w:rPr>
          <w:rFonts w:ascii="Arial" w:hAnsi="Arial" w:cs="Arial"/>
          <w:sz w:val="24"/>
          <w:szCs w:val="24"/>
        </w:rPr>
        <w:t xml:space="preserve">, which are </w:t>
      </w:r>
      <w:r>
        <w:rPr>
          <w:rFonts w:ascii="Arial" w:hAnsi="Arial" w:cs="Arial"/>
          <w:sz w:val="24"/>
          <w:szCs w:val="24"/>
        </w:rPr>
        <w:t>activities central to the provision of customer service.  Tr. 08/16/17, pp. 42-47.  CL&amp;P also identified software costs for its C2 billing system and interactive voice response systems.  CL&amp;P Response to Interrogatory RA-7, Attachment 1.</w:t>
      </w:r>
      <w:r w:rsidDel="000C1650">
        <w:rPr>
          <w:rFonts w:ascii="Arial" w:hAnsi="Arial" w:cs="Arial"/>
          <w:sz w:val="24"/>
          <w:szCs w:val="24"/>
        </w:rPr>
        <w:t xml:space="preserve"> </w:t>
      </w:r>
      <w:r>
        <w:rPr>
          <w:rFonts w:ascii="Arial" w:hAnsi="Arial" w:cs="Arial"/>
          <w:sz w:val="24"/>
          <w:szCs w:val="24"/>
        </w:rPr>
        <w:t xml:space="preserve"> </w:t>
      </w:r>
      <w:r w:rsidR="00AB5F2E">
        <w:rPr>
          <w:rFonts w:ascii="Arial" w:hAnsi="Arial" w:cs="Arial"/>
          <w:sz w:val="24"/>
          <w:szCs w:val="24"/>
        </w:rPr>
        <w:t>Based on the aforementioned,</w:t>
      </w:r>
      <w:r>
        <w:rPr>
          <w:rFonts w:ascii="Arial" w:hAnsi="Arial" w:cs="Arial"/>
          <w:sz w:val="24"/>
          <w:szCs w:val="24"/>
        </w:rPr>
        <w:t xml:space="preserve"> the Authority finds that certain software costs identified in Account 303 may be directly related to perform one or more of the statutory functions, and therefore appropriate for inclusion in the MRCC calculation.</w:t>
      </w:r>
    </w:p>
    <w:p w14:paraId="6F50FB59" w14:textId="77777777" w:rsidR="007A0456" w:rsidRDefault="007A0456" w:rsidP="007A0456">
      <w:pPr>
        <w:pStyle w:val="NoSpacing"/>
        <w:ind w:firstLine="720"/>
        <w:jc w:val="both"/>
        <w:rPr>
          <w:rFonts w:ascii="Arial" w:hAnsi="Arial" w:cs="Arial"/>
          <w:sz w:val="24"/>
          <w:szCs w:val="24"/>
        </w:rPr>
      </w:pPr>
    </w:p>
    <w:p w14:paraId="10C778BA" w14:textId="28C17EDE" w:rsidR="007A0456" w:rsidRDefault="007A0456" w:rsidP="007A0456">
      <w:pPr>
        <w:pStyle w:val="NoSpacing"/>
        <w:ind w:firstLine="720"/>
        <w:jc w:val="both"/>
        <w:rPr>
          <w:rFonts w:ascii="Arial" w:hAnsi="Arial" w:cs="Arial"/>
          <w:sz w:val="24"/>
          <w:szCs w:val="24"/>
        </w:rPr>
      </w:pPr>
      <w:r>
        <w:rPr>
          <w:rFonts w:ascii="Arial" w:hAnsi="Arial" w:cs="Arial"/>
          <w:sz w:val="24"/>
          <w:szCs w:val="24"/>
        </w:rPr>
        <w:t>The Authority finds that the shorter depreciation life of software could lead to significant variations in the includable intangible plant costs.  This volatility in costs could be relevant when considering the appropriate level of the MRCC</w:t>
      </w:r>
      <w:r w:rsidR="00AB5F2E">
        <w:rPr>
          <w:rFonts w:ascii="Arial" w:hAnsi="Arial" w:cs="Arial"/>
          <w:sz w:val="24"/>
          <w:szCs w:val="24"/>
        </w:rPr>
        <w:t xml:space="preserve"> calculation</w:t>
      </w:r>
      <w:r>
        <w:rPr>
          <w:rFonts w:ascii="Arial" w:hAnsi="Arial" w:cs="Arial"/>
          <w:sz w:val="24"/>
          <w:szCs w:val="24"/>
        </w:rPr>
        <w:t>.  Further, t</w:t>
      </w:r>
      <w:r w:rsidRPr="0099082F">
        <w:rPr>
          <w:rFonts w:ascii="Arial" w:hAnsi="Arial" w:cs="Arial"/>
          <w:sz w:val="24"/>
          <w:szCs w:val="24"/>
        </w:rPr>
        <w:t xml:space="preserve">he Authority </w:t>
      </w:r>
      <w:r>
        <w:rPr>
          <w:rFonts w:ascii="Arial" w:hAnsi="Arial" w:cs="Arial"/>
          <w:sz w:val="24"/>
          <w:szCs w:val="24"/>
        </w:rPr>
        <w:t>agrees with</w:t>
      </w:r>
      <w:r w:rsidRPr="0099082F">
        <w:rPr>
          <w:rFonts w:ascii="Arial" w:hAnsi="Arial" w:cs="Arial"/>
          <w:sz w:val="24"/>
          <w:szCs w:val="24"/>
        </w:rPr>
        <w:t xml:space="preserve"> the </w:t>
      </w:r>
      <w:r>
        <w:rPr>
          <w:rFonts w:ascii="Arial" w:hAnsi="Arial" w:cs="Arial"/>
          <w:sz w:val="24"/>
          <w:szCs w:val="24"/>
        </w:rPr>
        <w:t>OCC</w:t>
      </w:r>
      <w:r w:rsidRPr="0099082F">
        <w:rPr>
          <w:rFonts w:ascii="Arial" w:hAnsi="Arial" w:cs="Arial"/>
          <w:sz w:val="24"/>
          <w:szCs w:val="24"/>
        </w:rPr>
        <w:t xml:space="preserve"> that software costs not directly related to performing the statutory functions should not be included in the MRCC calculation.  </w:t>
      </w:r>
      <w:r>
        <w:rPr>
          <w:rFonts w:ascii="Arial" w:hAnsi="Arial" w:cs="Arial"/>
          <w:sz w:val="24"/>
          <w:szCs w:val="24"/>
        </w:rPr>
        <w:t xml:space="preserve">Therefore, </w:t>
      </w:r>
      <w:r w:rsidRPr="0099082F">
        <w:rPr>
          <w:rFonts w:ascii="Arial" w:hAnsi="Arial" w:cs="Arial"/>
          <w:sz w:val="24"/>
          <w:szCs w:val="24"/>
        </w:rPr>
        <w:t xml:space="preserve">the Authority will require an analysis of the individual assets in </w:t>
      </w:r>
      <w:r>
        <w:rPr>
          <w:rFonts w:ascii="Arial" w:hAnsi="Arial" w:cs="Arial"/>
          <w:sz w:val="24"/>
          <w:szCs w:val="24"/>
        </w:rPr>
        <w:t xml:space="preserve">Account </w:t>
      </w:r>
      <w:r w:rsidRPr="0099082F">
        <w:rPr>
          <w:rFonts w:ascii="Arial" w:hAnsi="Arial" w:cs="Arial"/>
          <w:sz w:val="24"/>
          <w:szCs w:val="24"/>
        </w:rPr>
        <w:t xml:space="preserve">303 by the Companies. </w:t>
      </w:r>
      <w:r>
        <w:rPr>
          <w:rFonts w:ascii="Arial" w:hAnsi="Arial" w:cs="Arial"/>
          <w:sz w:val="24"/>
          <w:szCs w:val="24"/>
        </w:rPr>
        <w:t xml:space="preserve"> Costs proposed for inclusion must be </w:t>
      </w:r>
      <w:r w:rsidRPr="0099082F">
        <w:rPr>
          <w:rFonts w:ascii="Arial" w:hAnsi="Arial" w:cs="Arial"/>
          <w:sz w:val="24"/>
          <w:szCs w:val="24"/>
        </w:rPr>
        <w:t xml:space="preserve">clearly presented and identified in a rate case application </w:t>
      </w:r>
      <w:r w:rsidR="00C143C2">
        <w:rPr>
          <w:rFonts w:ascii="Arial" w:hAnsi="Arial" w:cs="Arial"/>
          <w:sz w:val="24"/>
          <w:szCs w:val="24"/>
        </w:rPr>
        <w:t xml:space="preserve">using the direct assignment </w:t>
      </w:r>
      <w:r w:rsidR="00AC5B6B">
        <w:rPr>
          <w:rFonts w:ascii="Arial" w:hAnsi="Arial" w:cs="Arial"/>
          <w:sz w:val="24"/>
          <w:szCs w:val="24"/>
        </w:rPr>
        <w:t xml:space="preserve">where possible </w:t>
      </w:r>
      <w:r w:rsidR="00570904">
        <w:rPr>
          <w:rFonts w:ascii="Arial" w:hAnsi="Arial" w:cs="Arial"/>
          <w:sz w:val="24"/>
          <w:szCs w:val="24"/>
        </w:rPr>
        <w:t xml:space="preserve">or cost allocation </w:t>
      </w:r>
      <w:r w:rsidR="00AC5B6B">
        <w:rPr>
          <w:rFonts w:ascii="Arial" w:hAnsi="Arial" w:cs="Arial"/>
          <w:sz w:val="24"/>
          <w:szCs w:val="24"/>
        </w:rPr>
        <w:t xml:space="preserve">methodology </w:t>
      </w:r>
      <w:r w:rsidR="00570904">
        <w:rPr>
          <w:rFonts w:ascii="Arial" w:hAnsi="Arial" w:cs="Arial"/>
          <w:sz w:val="24"/>
          <w:szCs w:val="24"/>
        </w:rPr>
        <w:t xml:space="preserve">as discussed </w:t>
      </w:r>
      <w:r w:rsidR="00AC5B6B">
        <w:rPr>
          <w:rFonts w:ascii="Arial" w:hAnsi="Arial" w:cs="Arial"/>
          <w:sz w:val="24"/>
          <w:szCs w:val="24"/>
        </w:rPr>
        <w:t>in Section III.B.</w:t>
      </w:r>
      <w:r w:rsidR="00D47802">
        <w:rPr>
          <w:rFonts w:ascii="Arial" w:hAnsi="Arial" w:cs="Arial"/>
          <w:sz w:val="24"/>
          <w:szCs w:val="24"/>
        </w:rPr>
        <w:t>4</w:t>
      </w:r>
      <w:r w:rsidR="00AC5B6B">
        <w:rPr>
          <w:rFonts w:ascii="Arial" w:hAnsi="Arial" w:cs="Arial"/>
          <w:sz w:val="24"/>
          <w:szCs w:val="24"/>
        </w:rPr>
        <w:t xml:space="preserve">. </w:t>
      </w:r>
      <w:r w:rsidR="00AC5B6B" w:rsidRPr="000844FD">
        <w:rPr>
          <w:rFonts w:ascii="Arial" w:hAnsi="Arial" w:cs="Arial"/>
          <w:sz w:val="24"/>
          <w:szCs w:val="24"/>
          <w:u w:val="single"/>
        </w:rPr>
        <w:t>MRCC Application</w:t>
      </w:r>
      <w:r w:rsidR="00570904">
        <w:rPr>
          <w:rFonts w:ascii="Arial" w:hAnsi="Arial" w:cs="Arial"/>
          <w:sz w:val="24"/>
          <w:szCs w:val="24"/>
        </w:rPr>
        <w:t xml:space="preserve"> </w:t>
      </w:r>
      <w:r w:rsidRPr="0099082F">
        <w:rPr>
          <w:rFonts w:ascii="Arial" w:hAnsi="Arial" w:cs="Arial"/>
          <w:sz w:val="24"/>
          <w:szCs w:val="24"/>
        </w:rPr>
        <w:t xml:space="preserve">to ensure that only the costs associated with the statutory functions are captured in the MRCC calculation.  </w:t>
      </w:r>
    </w:p>
    <w:p w14:paraId="4F6F208E" w14:textId="77777777" w:rsidR="007A0456" w:rsidRPr="008053D8" w:rsidRDefault="007A0456" w:rsidP="007A0456">
      <w:pPr>
        <w:pStyle w:val="NoSpacing"/>
        <w:jc w:val="both"/>
        <w:rPr>
          <w:rFonts w:ascii="Arial" w:hAnsi="Arial" w:cs="Arial"/>
          <w:sz w:val="24"/>
          <w:szCs w:val="24"/>
        </w:rPr>
      </w:pPr>
    </w:p>
    <w:p w14:paraId="7540CF22" w14:textId="744E6429" w:rsidR="007A0456" w:rsidRDefault="007A0456" w:rsidP="00E1092F">
      <w:pPr>
        <w:pStyle w:val="Heading4"/>
        <w:tabs>
          <w:tab w:val="clear" w:pos="2520"/>
          <w:tab w:val="num" w:pos="2160"/>
        </w:tabs>
        <w:ind w:left="1440"/>
      </w:pPr>
      <w:bookmarkStart w:id="60" w:name="_Toc499050489"/>
      <w:bookmarkStart w:id="61" w:name="_Toc501528277"/>
      <w:r>
        <w:t>Distribution Plant</w:t>
      </w:r>
      <w:r w:rsidRPr="00056817">
        <w:t xml:space="preserve"> </w:t>
      </w:r>
      <w:r w:rsidR="005A4ADA">
        <w:t>Accounts</w:t>
      </w:r>
      <w:r w:rsidRPr="00056817">
        <w:t xml:space="preserve"> 360-363</w:t>
      </w:r>
      <w:bookmarkEnd w:id="60"/>
      <w:bookmarkEnd w:id="61"/>
    </w:p>
    <w:p w14:paraId="52574C9A" w14:textId="77777777" w:rsidR="007A0456" w:rsidRDefault="007A0456" w:rsidP="007A0456">
      <w:pPr>
        <w:tabs>
          <w:tab w:val="left" w:pos="720"/>
        </w:tabs>
        <w:autoSpaceDE w:val="0"/>
        <w:autoSpaceDN w:val="0"/>
        <w:adjustRightInd w:val="0"/>
        <w:jc w:val="both"/>
        <w:rPr>
          <w:rFonts w:cs="Arial"/>
          <w:color w:val="000000"/>
          <w:szCs w:val="24"/>
        </w:rPr>
      </w:pPr>
    </w:p>
    <w:p w14:paraId="7A229685" w14:textId="77777777" w:rsidR="007A0456" w:rsidRDefault="007A0456" w:rsidP="007A0456">
      <w:pPr>
        <w:tabs>
          <w:tab w:val="left" w:pos="720"/>
        </w:tabs>
        <w:autoSpaceDE w:val="0"/>
        <w:autoSpaceDN w:val="0"/>
        <w:adjustRightInd w:val="0"/>
        <w:jc w:val="both"/>
        <w:rPr>
          <w:rFonts w:cs="Arial"/>
          <w:color w:val="000000"/>
          <w:szCs w:val="24"/>
        </w:rPr>
      </w:pPr>
      <w:r>
        <w:rPr>
          <w:rFonts w:cs="Arial"/>
          <w:color w:val="000000"/>
          <w:szCs w:val="24"/>
        </w:rPr>
        <w:tab/>
      </w:r>
      <w:r w:rsidRPr="00CE751A">
        <w:rPr>
          <w:rFonts w:cs="Arial"/>
          <w:color w:val="000000"/>
          <w:szCs w:val="24"/>
        </w:rPr>
        <w:t xml:space="preserve">Certain distribution plant </w:t>
      </w:r>
      <w:r>
        <w:rPr>
          <w:rFonts w:cs="Arial"/>
          <w:color w:val="000000"/>
          <w:szCs w:val="24"/>
        </w:rPr>
        <w:t>accounts are</w:t>
      </w:r>
      <w:r w:rsidRPr="00CE751A">
        <w:rPr>
          <w:rFonts w:cs="Arial"/>
          <w:color w:val="000000"/>
          <w:szCs w:val="24"/>
        </w:rPr>
        <w:t xml:space="preserve"> recorded in the </w:t>
      </w:r>
      <w:r>
        <w:rPr>
          <w:rFonts w:cs="Arial"/>
          <w:color w:val="000000"/>
          <w:szCs w:val="24"/>
        </w:rPr>
        <w:t xml:space="preserve">FERC Accounts </w:t>
      </w:r>
      <w:r w:rsidRPr="00CE751A">
        <w:rPr>
          <w:rFonts w:cs="Arial"/>
          <w:color w:val="000000"/>
          <w:szCs w:val="24"/>
        </w:rPr>
        <w:t>as follows:</w:t>
      </w:r>
    </w:p>
    <w:p w14:paraId="1BF55FB5" w14:textId="77777777" w:rsidR="007A0456" w:rsidRPr="00CE751A" w:rsidRDefault="007A0456" w:rsidP="007A0456">
      <w:pPr>
        <w:tabs>
          <w:tab w:val="left" w:pos="720"/>
        </w:tabs>
        <w:autoSpaceDE w:val="0"/>
        <w:autoSpaceDN w:val="0"/>
        <w:adjustRightInd w:val="0"/>
        <w:jc w:val="both"/>
        <w:rPr>
          <w:rFonts w:cs="Arial"/>
          <w:color w:val="000000"/>
          <w:szCs w:val="24"/>
        </w:rPr>
      </w:pPr>
    </w:p>
    <w:p w14:paraId="2F65721B"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lastRenderedPageBreak/>
        <w:t xml:space="preserve">Account </w:t>
      </w:r>
      <w:r w:rsidRPr="00CE751A">
        <w:rPr>
          <w:rFonts w:cs="Arial"/>
          <w:color w:val="000000"/>
          <w:szCs w:val="24"/>
        </w:rPr>
        <w:t xml:space="preserve">360, </w:t>
      </w:r>
      <w:r w:rsidRPr="00CE751A">
        <w:rPr>
          <w:rFonts w:cs="Arial"/>
          <w:color w:val="000000"/>
          <w:szCs w:val="24"/>
          <w:u w:val="single"/>
        </w:rPr>
        <w:t>Land and Land Rights</w:t>
      </w:r>
      <w:r>
        <w:rPr>
          <w:rFonts w:cs="Arial"/>
          <w:color w:val="000000"/>
          <w:szCs w:val="24"/>
        </w:rPr>
        <w:t>, includes</w:t>
      </w:r>
      <w:r w:rsidRPr="00CE751A">
        <w:rPr>
          <w:rFonts w:cs="Arial"/>
          <w:color w:val="000000"/>
          <w:szCs w:val="24"/>
        </w:rPr>
        <w:t xml:space="preserve"> the cost of land and land rights used in connection with distribution operations. </w:t>
      </w:r>
    </w:p>
    <w:p w14:paraId="61D736FF"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 xml:space="preserve">Account </w:t>
      </w:r>
      <w:r w:rsidRPr="00CE751A">
        <w:rPr>
          <w:rFonts w:cs="Arial"/>
          <w:color w:val="000000"/>
          <w:szCs w:val="24"/>
        </w:rPr>
        <w:t xml:space="preserve">361, </w:t>
      </w:r>
      <w:r w:rsidRPr="00CE751A">
        <w:rPr>
          <w:rFonts w:cs="Arial"/>
          <w:color w:val="000000"/>
          <w:szCs w:val="24"/>
          <w:u w:val="single"/>
        </w:rPr>
        <w:t>Structures and Improvements</w:t>
      </w:r>
      <w:r>
        <w:rPr>
          <w:rFonts w:cs="Arial"/>
          <w:color w:val="000000"/>
          <w:szCs w:val="24"/>
        </w:rPr>
        <w:t>, includes</w:t>
      </w:r>
      <w:r w:rsidRPr="00CE751A">
        <w:rPr>
          <w:rFonts w:cs="Arial"/>
          <w:color w:val="000000"/>
          <w:szCs w:val="24"/>
        </w:rPr>
        <w:t xml:space="preserve"> the cost in place of structures and improvements used in connection with distribution operations.</w:t>
      </w:r>
    </w:p>
    <w:p w14:paraId="1865AF87"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color w:val="000000"/>
          <w:szCs w:val="24"/>
        </w:rPr>
      </w:pPr>
      <w:r>
        <w:rPr>
          <w:rFonts w:cs="Arial"/>
          <w:color w:val="000000"/>
          <w:szCs w:val="24"/>
        </w:rPr>
        <w:t xml:space="preserve">Account </w:t>
      </w:r>
      <w:r w:rsidRPr="00CE751A">
        <w:rPr>
          <w:rFonts w:cs="Arial"/>
          <w:color w:val="000000"/>
          <w:szCs w:val="24"/>
        </w:rPr>
        <w:t xml:space="preserve">362, </w:t>
      </w:r>
      <w:r w:rsidRPr="00CE751A">
        <w:rPr>
          <w:rFonts w:cs="Arial"/>
          <w:color w:val="000000"/>
          <w:szCs w:val="24"/>
          <w:u w:val="single"/>
        </w:rPr>
        <w:t>Station Equipment</w:t>
      </w:r>
      <w:r>
        <w:rPr>
          <w:rFonts w:cs="Arial"/>
          <w:color w:val="000000"/>
          <w:szCs w:val="24"/>
        </w:rPr>
        <w:t>, includes</w:t>
      </w:r>
      <w:r w:rsidRPr="00CE751A">
        <w:rPr>
          <w:rFonts w:cs="Arial"/>
          <w:color w:val="000000"/>
          <w:szCs w:val="24"/>
        </w:rPr>
        <w:t xml:space="preserve"> the cost of installed of station equipment</w:t>
      </w:r>
      <w:r>
        <w:rPr>
          <w:rFonts w:cs="Arial"/>
          <w:color w:val="000000"/>
          <w:szCs w:val="24"/>
        </w:rPr>
        <w:t>,</w:t>
      </w:r>
      <w:r w:rsidRPr="00CE751A">
        <w:rPr>
          <w:rFonts w:cs="Arial"/>
          <w:color w:val="000000"/>
          <w:szCs w:val="24"/>
        </w:rPr>
        <w:t xml:space="preserve"> which is used for the purpose of changing the characteristics of electricity distribution.</w:t>
      </w:r>
    </w:p>
    <w:p w14:paraId="100B8E2F" w14:textId="77777777" w:rsidR="007A0456" w:rsidRDefault="007A0456" w:rsidP="007E4DE4">
      <w:pPr>
        <w:pStyle w:val="ListParagraph"/>
        <w:numPr>
          <w:ilvl w:val="0"/>
          <w:numId w:val="6"/>
        </w:numPr>
        <w:autoSpaceDE w:val="0"/>
        <w:autoSpaceDN w:val="0"/>
        <w:adjustRightInd w:val="0"/>
        <w:ind w:left="1080"/>
        <w:jc w:val="both"/>
        <w:rPr>
          <w:rFonts w:cs="Arial"/>
          <w:color w:val="000000"/>
          <w:szCs w:val="24"/>
        </w:rPr>
      </w:pPr>
      <w:r>
        <w:rPr>
          <w:rFonts w:cs="Arial"/>
          <w:color w:val="000000"/>
          <w:szCs w:val="24"/>
        </w:rPr>
        <w:t xml:space="preserve">Account </w:t>
      </w:r>
      <w:r w:rsidRPr="00CE751A">
        <w:rPr>
          <w:rFonts w:cs="Arial"/>
          <w:color w:val="000000"/>
          <w:szCs w:val="24"/>
        </w:rPr>
        <w:t xml:space="preserve">363, </w:t>
      </w:r>
      <w:r w:rsidRPr="00CE751A">
        <w:rPr>
          <w:rFonts w:cs="Arial"/>
          <w:color w:val="000000"/>
          <w:szCs w:val="24"/>
          <w:u w:val="single"/>
        </w:rPr>
        <w:t xml:space="preserve">Storage Battery and </w:t>
      </w:r>
      <w:r>
        <w:rPr>
          <w:rFonts w:cs="Arial"/>
          <w:color w:val="000000"/>
          <w:szCs w:val="24"/>
          <w:u w:val="single"/>
        </w:rPr>
        <w:t>E</w:t>
      </w:r>
      <w:r w:rsidRPr="00CE751A">
        <w:rPr>
          <w:rFonts w:cs="Arial"/>
          <w:color w:val="000000"/>
          <w:szCs w:val="24"/>
          <w:u w:val="single"/>
        </w:rPr>
        <w:t>quipment</w:t>
      </w:r>
      <w:r>
        <w:rPr>
          <w:rFonts w:cs="Arial"/>
          <w:color w:val="000000"/>
          <w:szCs w:val="24"/>
        </w:rPr>
        <w:t>, includes</w:t>
      </w:r>
      <w:r w:rsidRPr="00CE751A">
        <w:rPr>
          <w:rFonts w:cs="Arial"/>
          <w:color w:val="000000"/>
          <w:szCs w:val="24"/>
        </w:rPr>
        <w:t xml:space="preserve"> the cost of installed energy storage equipment used to store energy for load management purposes.</w:t>
      </w:r>
    </w:p>
    <w:p w14:paraId="265A6722" w14:textId="77777777" w:rsidR="007A0456" w:rsidRPr="00CE751A" w:rsidRDefault="007A0456" w:rsidP="007A0456">
      <w:pPr>
        <w:pStyle w:val="ListParagraph"/>
        <w:autoSpaceDE w:val="0"/>
        <w:autoSpaceDN w:val="0"/>
        <w:adjustRightInd w:val="0"/>
        <w:ind w:left="1080"/>
        <w:jc w:val="both"/>
        <w:rPr>
          <w:rFonts w:cs="Arial"/>
          <w:color w:val="000000"/>
          <w:szCs w:val="24"/>
        </w:rPr>
      </w:pPr>
    </w:p>
    <w:p w14:paraId="753356D2" w14:textId="77777777" w:rsidR="007A0456" w:rsidRDefault="007A0456" w:rsidP="007A0456">
      <w:pPr>
        <w:autoSpaceDE w:val="0"/>
        <w:autoSpaceDN w:val="0"/>
        <w:adjustRightInd w:val="0"/>
        <w:jc w:val="both"/>
        <w:rPr>
          <w:rFonts w:cs="Arial"/>
          <w:color w:val="000000"/>
          <w:szCs w:val="24"/>
        </w:rPr>
      </w:pPr>
      <w:r>
        <w:rPr>
          <w:rFonts w:cs="Arial"/>
          <w:color w:val="000000"/>
          <w:szCs w:val="24"/>
        </w:rPr>
        <w:tab/>
      </w:r>
      <w:r w:rsidRPr="00CE751A">
        <w:rPr>
          <w:rFonts w:cs="Arial"/>
          <w:color w:val="000000"/>
          <w:szCs w:val="24"/>
        </w:rPr>
        <w:t xml:space="preserve">UI did not include </w:t>
      </w:r>
      <w:r>
        <w:rPr>
          <w:rFonts w:cs="Arial"/>
          <w:color w:val="000000"/>
          <w:szCs w:val="24"/>
        </w:rPr>
        <w:t xml:space="preserve">any </w:t>
      </w:r>
      <w:r w:rsidRPr="00CE751A">
        <w:rPr>
          <w:rFonts w:cs="Arial"/>
          <w:color w:val="000000"/>
          <w:szCs w:val="24"/>
        </w:rPr>
        <w:t xml:space="preserve">costs associated with these accounts in its </w:t>
      </w:r>
      <w:r>
        <w:rPr>
          <w:rFonts w:cs="Arial"/>
          <w:color w:val="000000"/>
          <w:szCs w:val="24"/>
        </w:rPr>
        <w:t xml:space="preserve">proposed </w:t>
      </w:r>
      <w:r w:rsidRPr="00CE751A">
        <w:rPr>
          <w:rFonts w:cs="Arial"/>
          <w:color w:val="000000"/>
          <w:szCs w:val="24"/>
        </w:rPr>
        <w:t>MRCC</w:t>
      </w:r>
      <w:r>
        <w:rPr>
          <w:rFonts w:cs="Arial"/>
          <w:color w:val="000000"/>
          <w:szCs w:val="24"/>
        </w:rPr>
        <w:t xml:space="preserve"> calculation</w:t>
      </w:r>
      <w:r w:rsidRPr="00CE751A">
        <w:rPr>
          <w:rFonts w:cs="Arial"/>
          <w:color w:val="000000"/>
          <w:szCs w:val="24"/>
        </w:rPr>
        <w:t>.  Response to Late Filed Exhibit No. 3, Supplement 2.</w:t>
      </w:r>
      <w:r>
        <w:rPr>
          <w:rFonts w:cs="Arial"/>
          <w:color w:val="000000"/>
          <w:szCs w:val="24"/>
        </w:rPr>
        <w:t xml:space="preserve">  </w:t>
      </w:r>
    </w:p>
    <w:p w14:paraId="4D969D77" w14:textId="77777777" w:rsidR="007A0456" w:rsidRDefault="007A0456" w:rsidP="007A0456">
      <w:pPr>
        <w:autoSpaceDE w:val="0"/>
        <w:autoSpaceDN w:val="0"/>
        <w:adjustRightInd w:val="0"/>
        <w:jc w:val="both"/>
        <w:rPr>
          <w:rFonts w:cs="Arial"/>
          <w:color w:val="000000"/>
          <w:szCs w:val="24"/>
        </w:rPr>
      </w:pPr>
    </w:p>
    <w:p w14:paraId="2623BCB8" w14:textId="40ADAF27" w:rsidR="007A0456" w:rsidRDefault="007A0456" w:rsidP="007A0456">
      <w:pPr>
        <w:autoSpaceDE w:val="0"/>
        <w:autoSpaceDN w:val="0"/>
        <w:adjustRightInd w:val="0"/>
        <w:ind w:firstLine="720"/>
        <w:jc w:val="both"/>
        <w:rPr>
          <w:rFonts w:cs="Arial"/>
          <w:szCs w:val="24"/>
        </w:rPr>
      </w:pPr>
      <w:r>
        <w:rPr>
          <w:rFonts w:cs="Arial"/>
          <w:color w:val="000000"/>
          <w:szCs w:val="24"/>
        </w:rPr>
        <w:t>CL&amp;P</w:t>
      </w:r>
      <w:r w:rsidRPr="00CE751A">
        <w:rPr>
          <w:rFonts w:cs="Arial"/>
          <w:color w:val="000000"/>
          <w:szCs w:val="24"/>
        </w:rPr>
        <w:t xml:space="preserve"> proposed to include some costs associated with </w:t>
      </w:r>
      <w:r>
        <w:rPr>
          <w:rFonts w:cs="Arial"/>
          <w:color w:val="000000"/>
          <w:szCs w:val="24"/>
        </w:rPr>
        <w:t xml:space="preserve">Account </w:t>
      </w:r>
      <w:r w:rsidRPr="00CE751A">
        <w:rPr>
          <w:rFonts w:cs="Arial"/>
          <w:color w:val="000000"/>
          <w:szCs w:val="24"/>
        </w:rPr>
        <w:t>360</w:t>
      </w:r>
      <w:r w:rsidRPr="00CD7551">
        <w:rPr>
          <w:rFonts w:cs="Arial"/>
          <w:color w:val="000000"/>
          <w:szCs w:val="24"/>
        </w:rPr>
        <w:t xml:space="preserve"> </w:t>
      </w:r>
      <w:r>
        <w:rPr>
          <w:rFonts w:cs="Arial"/>
          <w:color w:val="000000"/>
          <w:szCs w:val="24"/>
        </w:rPr>
        <w:t xml:space="preserve">in its proposed MRCC calculation.  </w:t>
      </w:r>
      <w:r w:rsidRPr="00CE751A">
        <w:rPr>
          <w:rFonts w:cs="Arial"/>
          <w:color w:val="000000"/>
          <w:szCs w:val="24"/>
        </w:rPr>
        <w:t>Late Filed Exhibit No 9</w:t>
      </w:r>
      <w:r>
        <w:rPr>
          <w:rFonts w:cs="Arial"/>
          <w:color w:val="000000"/>
          <w:szCs w:val="24"/>
        </w:rPr>
        <w:t>, Attachment 1, p. 1</w:t>
      </w:r>
      <w:r w:rsidRPr="00CE751A">
        <w:rPr>
          <w:rFonts w:cs="Arial"/>
          <w:color w:val="000000"/>
          <w:szCs w:val="24"/>
        </w:rPr>
        <w:t xml:space="preserve">. </w:t>
      </w:r>
      <w:r>
        <w:rPr>
          <w:rFonts w:cs="Arial"/>
          <w:color w:val="000000"/>
          <w:szCs w:val="24"/>
        </w:rPr>
        <w:t xml:space="preserve"> Initially, it also included the costs for Account 3</w:t>
      </w:r>
      <w:r w:rsidRPr="00CE751A">
        <w:rPr>
          <w:rFonts w:cs="Arial"/>
          <w:color w:val="000000"/>
          <w:szCs w:val="24"/>
        </w:rPr>
        <w:t>61</w:t>
      </w:r>
      <w:r w:rsidR="00AB5F2E">
        <w:rPr>
          <w:rFonts w:cs="Arial"/>
          <w:color w:val="000000"/>
          <w:szCs w:val="24"/>
        </w:rPr>
        <w:t>,</w:t>
      </w:r>
      <w:r w:rsidRPr="00CE751A">
        <w:rPr>
          <w:rFonts w:cs="Arial"/>
          <w:color w:val="000000"/>
          <w:szCs w:val="24"/>
        </w:rPr>
        <w:t xml:space="preserve"> </w:t>
      </w:r>
      <w:r w:rsidRPr="00CE751A">
        <w:rPr>
          <w:rFonts w:cs="Arial"/>
          <w:color w:val="000000"/>
          <w:szCs w:val="24"/>
          <w:u w:val="single"/>
        </w:rPr>
        <w:t>Structures and Improvements</w:t>
      </w:r>
      <w:r w:rsidR="00AB5F2E">
        <w:rPr>
          <w:rFonts w:cs="Arial"/>
          <w:color w:val="000000"/>
          <w:szCs w:val="24"/>
        </w:rPr>
        <w:t xml:space="preserve">, </w:t>
      </w:r>
      <w:r w:rsidRPr="00CE751A">
        <w:rPr>
          <w:rFonts w:cs="Arial"/>
          <w:color w:val="000000"/>
          <w:szCs w:val="24"/>
        </w:rPr>
        <w:t xml:space="preserve">in its </w:t>
      </w:r>
      <w:r>
        <w:rPr>
          <w:rFonts w:cs="Arial"/>
          <w:color w:val="000000"/>
          <w:szCs w:val="24"/>
        </w:rPr>
        <w:t xml:space="preserve">proposed </w:t>
      </w:r>
      <w:r w:rsidRPr="00CE751A">
        <w:rPr>
          <w:rFonts w:cs="Arial"/>
          <w:color w:val="000000"/>
          <w:szCs w:val="24"/>
        </w:rPr>
        <w:t>MRCC</w:t>
      </w:r>
      <w:r w:rsidR="00AB5F2E">
        <w:rPr>
          <w:rFonts w:cs="Arial"/>
          <w:color w:val="000000"/>
          <w:szCs w:val="24"/>
        </w:rPr>
        <w:t xml:space="preserve"> calculation</w:t>
      </w:r>
      <w:r w:rsidRPr="00CE751A">
        <w:rPr>
          <w:rFonts w:cs="Arial"/>
          <w:color w:val="000000"/>
          <w:szCs w:val="24"/>
        </w:rPr>
        <w:t xml:space="preserve">, with the reasoning that some of these costs related to metering and service connections. </w:t>
      </w:r>
      <w:r>
        <w:rPr>
          <w:rFonts w:cs="Arial"/>
          <w:color w:val="000000"/>
          <w:szCs w:val="24"/>
        </w:rPr>
        <w:t xml:space="preserve"> </w:t>
      </w:r>
      <w:r>
        <w:rPr>
          <w:rFonts w:cs="Arial"/>
          <w:szCs w:val="24"/>
        </w:rPr>
        <w:t>CL&amp;P Written Comments</w:t>
      </w:r>
      <w:r w:rsidRPr="008053D8">
        <w:rPr>
          <w:rFonts w:cs="Arial"/>
          <w:szCs w:val="24"/>
        </w:rPr>
        <w:t xml:space="preserve">. p. 1; WC-6 Attachment 1.  </w:t>
      </w:r>
      <w:r>
        <w:rPr>
          <w:rFonts w:cs="Arial"/>
          <w:color w:val="000000"/>
          <w:szCs w:val="24"/>
        </w:rPr>
        <w:t xml:space="preserve">Subsequently, the company determined that the assets recorded to this account are related to distribution substations and are not part of the metering and service connection functions.  </w:t>
      </w:r>
      <w:r>
        <w:rPr>
          <w:rFonts w:cs="Arial"/>
          <w:szCs w:val="24"/>
        </w:rPr>
        <w:t>Response to Interrogatory RA</w:t>
      </w:r>
      <w:r>
        <w:rPr>
          <w:rFonts w:cs="Arial"/>
          <w:szCs w:val="24"/>
        </w:rPr>
        <w:noBreakHyphen/>
        <w:t xml:space="preserve">21.  </w:t>
      </w:r>
    </w:p>
    <w:p w14:paraId="440B9431" w14:textId="77777777" w:rsidR="007A0456" w:rsidRDefault="007A0456" w:rsidP="007A0456">
      <w:pPr>
        <w:autoSpaceDE w:val="0"/>
        <w:autoSpaceDN w:val="0"/>
        <w:adjustRightInd w:val="0"/>
        <w:jc w:val="both"/>
        <w:rPr>
          <w:rFonts w:cs="Arial"/>
          <w:szCs w:val="24"/>
        </w:rPr>
      </w:pPr>
      <w:r>
        <w:rPr>
          <w:rFonts w:cs="Arial"/>
          <w:szCs w:val="24"/>
        </w:rPr>
        <w:tab/>
      </w:r>
    </w:p>
    <w:p w14:paraId="0B41023B" w14:textId="6131228F" w:rsidR="007A0456" w:rsidRDefault="007A0456" w:rsidP="007A0456">
      <w:pPr>
        <w:autoSpaceDE w:val="0"/>
        <w:autoSpaceDN w:val="0"/>
        <w:adjustRightInd w:val="0"/>
        <w:ind w:firstLine="720"/>
        <w:jc w:val="both"/>
        <w:rPr>
          <w:rFonts w:cs="Arial"/>
          <w:color w:val="000000"/>
          <w:szCs w:val="24"/>
        </w:rPr>
      </w:pPr>
      <w:r>
        <w:rPr>
          <w:rFonts w:cs="Arial"/>
          <w:szCs w:val="24"/>
        </w:rPr>
        <w:t xml:space="preserve">The OCC provided </w:t>
      </w:r>
      <w:r w:rsidR="00AB5F2E">
        <w:rPr>
          <w:rFonts w:cs="Arial"/>
          <w:szCs w:val="24"/>
        </w:rPr>
        <w:t>T</w:t>
      </w:r>
      <w:r>
        <w:rPr>
          <w:rFonts w:cs="Arial"/>
          <w:szCs w:val="24"/>
        </w:rPr>
        <w:t>able</w:t>
      </w:r>
      <w:r w:rsidR="00AB5F2E">
        <w:rPr>
          <w:rFonts w:cs="Arial"/>
          <w:szCs w:val="24"/>
        </w:rPr>
        <w:t xml:space="preserve"> 3</w:t>
      </w:r>
      <w:r>
        <w:rPr>
          <w:rFonts w:cs="Arial"/>
          <w:szCs w:val="24"/>
        </w:rPr>
        <w:t xml:space="preserve"> that identified the accounts that only CL&amp;P proposed should be contained in the MRCC </w:t>
      </w:r>
      <w:r w:rsidR="00AB5F2E">
        <w:rPr>
          <w:rFonts w:cs="Arial"/>
          <w:szCs w:val="24"/>
        </w:rPr>
        <w:t xml:space="preserve">calculation, which included </w:t>
      </w:r>
      <w:r>
        <w:rPr>
          <w:rFonts w:cs="Arial"/>
          <w:szCs w:val="24"/>
        </w:rPr>
        <w:t xml:space="preserve">Account 360.  The OCC considered all the accounts listed in Table 3 </w:t>
      </w:r>
      <w:r>
        <w:rPr>
          <w:rFonts w:cs="Arial"/>
          <w:color w:val="000000"/>
          <w:szCs w:val="24"/>
        </w:rPr>
        <w:t xml:space="preserve">as distribution plant account codes that are outside of the metering and service connection statutory functions and would exclude these costs from the MRCC calculation.  </w:t>
      </w:r>
      <w:r>
        <w:rPr>
          <w:rFonts w:cs="Arial"/>
          <w:szCs w:val="24"/>
        </w:rPr>
        <w:t>Brief, Table 3, pp. 16 and</w:t>
      </w:r>
      <w:r>
        <w:rPr>
          <w:rFonts w:cs="Arial"/>
          <w:color w:val="000000"/>
          <w:szCs w:val="24"/>
        </w:rPr>
        <w:t xml:space="preserve"> 17.</w:t>
      </w:r>
    </w:p>
    <w:p w14:paraId="57FF5086" w14:textId="77777777" w:rsidR="007A0456" w:rsidRDefault="007A0456" w:rsidP="007A0456">
      <w:pPr>
        <w:autoSpaceDE w:val="0"/>
        <w:autoSpaceDN w:val="0"/>
        <w:adjustRightInd w:val="0"/>
        <w:jc w:val="both"/>
        <w:rPr>
          <w:rFonts w:cs="Arial"/>
          <w:szCs w:val="24"/>
        </w:rPr>
      </w:pPr>
    </w:p>
    <w:p w14:paraId="78C0FC45" w14:textId="1678FF1B" w:rsidR="007A0456" w:rsidRDefault="007A0456" w:rsidP="007A0456">
      <w:pPr>
        <w:autoSpaceDE w:val="0"/>
        <w:autoSpaceDN w:val="0"/>
        <w:adjustRightInd w:val="0"/>
        <w:ind w:firstLine="720"/>
        <w:jc w:val="both"/>
        <w:rPr>
          <w:rFonts w:cs="Arial"/>
          <w:color w:val="000000"/>
          <w:szCs w:val="24"/>
        </w:rPr>
      </w:pPr>
      <w:r>
        <w:rPr>
          <w:rFonts w:cs="Arial"/>
          <w:color w:val="000000"/>
          <w:szCs w:val="24"/>
        </w:rPr>
        <w:t xml:space="preserve">Based on its review, the Authority finds that </w:t>
      </w:r>
      <w:r w:rsidR="005A4ADA">
        <w:rPr>
          <w:rFonts w:cs="Arial"/>
          <w:color w:val="000000"/>
          <w:szCs w:val="24"/>
        </w:rPr>
        <w:t>Accounts</w:t>
      </w:r>
      <w:r>
        <w:rPr>
          <w:rFonts w:cs="Arial"/>
          <w:color w:val="000000"/>
          <w:szCs w:val="24"/>
        </w:rPr>
        <w:t xml:space="preserve"> 360 through 363 are for general distribution system operations that are outside of the metering and the service connection statutory functions.</w:t>
      </w:r>
      <w:r>
        <w:rPr>
          <w:rFonts w:cs="Arial"/>
          <w:bCs/>
          <w:iCs/>
          <w:szCs w:val="24"/>
        </w:rPr>
        <w:t xml:space="preserve">  T</w:t>
      </w:r>
      <w:r w:rsidRPr="00CE751A">
        <w:rPr>
          <w:rFonts w:cs="Arial"/>
          <w:color w:val="000000"/>
          <w:szCs w:val="24"/>
        </w:rPr>
        <w:t>he</w:t>
      </w:r>
      <w:r>
        <w:rPr>
          <w:rFonts w:cs="Arial"/>
          <w:color w:val="000000"/>
          <w:szCs w:val="24"/>
        </w:rPr>
        <w:t xml:space="preserve">refore, the </w:t>
      </w:r>
      <w:r w:rsidRPr="00CE751A">
        <w:rPr>
          <w:rFonts w:cs="Arial"/>
          <w:color w:val="000000"/>
          <w:szCs w:val="24"/>
        </w:rPr>
        <w:t>Authority require</w:t>
      </w:r>
      <w:r>
        <w:rPr>
          <w:rFonts w:cs="Arial"/>
          <w:color w:val="000000"/>
          <w:szCs w:val="24"/>
        </w:rPr>
        <w:t>s</w:t>
      </w:r>
      <w:r w:rsidRPr="00CE751A">
        <w:rPr>
          <w:rFonts w:cs="Arial"/>
          <w:color w:val="000000"/>
          <w:szCs w:val="24"/>
        </w:rPr>
        <w:t xml:space="preserve"> the </w:t>
      </w:r>
      <w:r>
        <w:rPr>
          <w:rFonts w:cs="Arial"/>
          <w:color w:val="000000"/>
          <w:szCs w:val="24"/>
        </w:rPr>
        <w:t>C</w:t>
      </w:r>
      <w:r w:rsidRPr="00CE751A">
        <w:rPr>
          <w:rFonts w:cs="Arial"/>
          <w:color w:val="000000"/>
          <w:szCs w:val="24"/>
        </w:rPr>
        <w:t>ompanie</w:t>
      </w:r>
      <w:r>
        <w:rPr>
          <w:rFonts w:cs="Arial"/>
          <w:color w:val="000000"/>
          <w:szCs w:val="24"/>
        </w:rPr>
        <w:t xml:space="preserve">s to exclude plant costs from Account </w:t>
      </w:r>
      <w:r w:rsidRPr="00CE751A">
        <w:rPr>
          <w:rFonts w:cs="Arial"/>
          <w:color w:val="000000"/>
          <w:szCs w:val="24"/>
        </w:rPr>
        <w:t>360</w:t>
      </w:r>
      <w:r>
        <w:rPr>
          <w:rFonts w:cs="Arial"/>
          <w:color w:val="000000"/>
          <w:szCs w:val="24"/>
        </w:rPr>
        <w:t xml:space="preserve"> through Account </w:t>
      </w:r>
      <w:r w:rsidRPr="00CE751A">
        <w:rPr>
          <w:rFonts w:cs="Arial"/>
          <w:color w:val="000000"/>
          <w:szCs w:val="24"/>
        </w:rPr>
        <w:t>363</w:t>
      </w:r>
      <w:r>
        <w:rPr>
          <w:rFonts w:cs="Arial"/>
          <w:color w:val="000000"/>
          <w:szCs w:val="24"/>
        </w:rPr>
        <w:t xml:space="preserve"> from the MRCC calculation.</w:t>
      </w:r>
    </w:p>
    <w:p w14:paraId="1E9AC9DF" w14:textId="77777777" w:rsidR="007A0456" w:rsidRPr="00CE751A" w:rsidRDefault="007A0456" w:rsidP="007A0456">
      <w:pPr>
        <w:autoSpaceDE w:val="0"/>
        <w:autoSpaceDN w:val="0"/>
        <w:adjustRightInd w:val="0"/>
        <w:ind w:firstLine="720"/>
        <w:jc w:val="both"/>
        <w:rPr>
          <w:rFonts w:cs="Arial"/>
          <w:color w:val="000000"/>
          <w:szCs w:val="24"/>
        </w:rPr>
      </w:pPr>
    </w:p>
    <w:p w14:paraId="333F2B95" w14:textId="2A28B565" w:rsidR="007A0456" w:rsidRDefault="007A0456" w:rsidP="00E1092F">
      <w:pPr>
        <w:pStyle w:val="Heading4"/>
        <w:tabs>
          <w:tab w:val="clear" w:pos="2520"/>
          <w:tab w:val="num" w:pos="2160"/>
        </w:tabs>
        <w:ind w:left="1440"/>
      </w:pPr>
      <w:bookmarkStart w:id="62" w:name="_Toc499050490"/>
      <w:bookmarkStart w:id="63" w:name="_Toc501528278"/>
      <w:r>
        <w:t>Distribution Plant</w:t>
      </w:r>
      <w:r w:rsidRPr="00CE751A">
        <w:t xml:space="preserve"> </w:t>
      </w:r>
      <w:r w:rsidR="005A4ADA">
        <w:t>Accounts</w:t>
      </w:r>
      <w:r w:rsidRPr="00CE751A">
        <w:t xml:space="preserve"> 364</w:t>
      </w:r>
      <w:r>
        <w:t xml:space="preserve"> – </w:t>
      </w:r>
      <w:r w:rsidRPr="00CE751A">
        <w:t>370</w:t>
      </w:r>
      <w:bookmarkEnd w:id="62"/>
      <w:bookmarkEnd w:id="63"/>
    </w:p>
    <w:p w14:paraId="1977B61E" w14:textId="77777777" w:rsidR="007A0456" w:rsidRPr="00C0221E" w:rsidRDefault="007A0456" w:rsidP="007A0456">
      <w:pPr>
        <w:jc w:val="both"/>
      </w:pPr>
    </w:p>
    <w:p w14:paraId="20925F36" w14:textId="77777777" w:rsidR="007A0456" w:rsidRDefault="007A0456" w:rsidP="007A0456">
      <w:pPr>
        <w:autoSpaceDE w:val="0"/>
        <w:autoSpaceDN w:val="0"/>
        <w:adjustRightInd w:val="0"/>
        <w:ind w:firstLine="720"/>
        <w:jc w:val="both"/>
        <w:rPr>
          <w:rFonts w:cs="Arial"/>
          <w:color w:val="000000"/>
          <w:szCs w:val="24"/>
        </w:rPr>
      </w:pPr>
      <w:r w:rsidRPr="00CE751A">
        <w:rPr>
          <w:rFonts w:cs="Arial"/>
          <w:color w:val="000000"/>
          <w:szCs w:val="24"/>
        </w:rPr>
        <w:t xml:space="preserve">Certain </w:t>
      </w:r>
      <w:r>
        <w:rPr>
          <w:rFonts w:cs="Arial"/>
          <w:color w:val="000000"/>
          <w:szCs w:val="24"/>
        </w:rPr>
        <w:t>d</w:t>
      </w:r>
      <w:r w:rsidRPr="00CE751A">
        <w:rPr>
          <w:rFonts w:cs="Arial"/>
          <w:color w:val="000000"/>
          <w:szCs w:val="24"/>
        </w:rPr>
        <w:t xml:space="preserve">istribution </w:t>
      </w:r>
      <w:r>
        <w:rPr>
          <w:rFonts w:cs="Arial"/>
          <w:color w:val="000000"/>
          <w:szCs w:val="24"/>
        </w:rPr>
        <w:t>p</w:t>
      </w:r>
      <w:r w:rsidRPr="00CE751A">
        <w:rPr>
          <w:rFonts w:cs="Arial"/>
          <w:color w:val="000000"/>
          <w:szCs w:val="24"/>
        </w:rPr>
        <w:t xml:space="preserve">lant is recorded in the </w:t>
      </w:r>
      <w:r>
        <w:rPr>
          <w:rFonts w:cs="Arial"/>
          <w:color w:val="000000"/>
          <w:szCs w:val="24"/>
        </w:rPr>
        <w:t xml:space="preserve">FERC Accounts </w:t>
      </w:r>
      <w:r w:rsidRPr="00CE751A">
        <w:rPr>
          <w:rFonts w:cs="Arial"/>
          <w:color w:val="000000"/>
          <w:szCs w:val="24"/>
        </w:rPr>
        <w:t>as follows:</w:t>
      </w:r>
    </w:p>
    <w:p w14:paraId="2A5B6AF1" w14:textId="77777777" w:rsidR="007A0456" w:rsidRPr="00CE751A" w:rsidRDefault="007A0456" w:rsidP="007A0456">
      <w:pPr>
        <w:autoSpaceDE w:val="0"/>
        <w:autoSpaceDN w:val="0"/>
        <w:adjustRightInd w:val="0"/>
        <w:ind w:firstLine="720"/>
        <w:jc w:val="both"/>
        <w:rPr>
          <w:rFonts w:cs="Arial"/>
          <w:color w:val="000000"/>
          <w:szCs w:val="24"/>
        </w:rPr>
      </w:pPr>
    </w:p>
    <w:p w14:paraId="10226E9A"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CE751A">
        <w:rPr>
          <w:rFonts w:cs="Arial"/>
          <w:color w:val="000000"/>
          <w:szCs w:val="24"/>
        </w:rPr>
        <w:t xml:space="preserve">364, </w:t>
      </w:r>
      <w:r w:rsidRPr="00CE751A">
        <w:rPr>
          <w:rFonts w:cs="Arial"/>
          <w:szCs w:val="24"/>
          <w:u w:val="single"/>
        </w:rPr>
        <w:t>Poles, Towers and Fixtures</w:t>
      </w:r>
      <w:r>
        <w:rPr>
          <w:rFonts w:cs="Arial"/>
          <w:szCs w:val="24"/>
        </w:rPr>
        <w:t>, includes</w:t>
      </w:r>
      <w:r w:rsidRPr="00CE751A">
        <w:rPr>
          <w:rFonts w:cs="Arial"/>
          <w:szCs w:val="24"/>
        </w:rPr>
        <w:t xml:space="preserve"> the cost installed of poles, towers and fixtures used for supporting overhead distribution conductors and service wires. </w:t>
      </w:r>
    </w:p>
    <w:p w14:paraId="13F9D5A0"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CE751A">
        <w:rPr>
          <w:rFonts w:cs="Arial"/>
          <w:color w:val="000000"/>
          <w:szCs w:val="24"/>
        </w:rPr>
        <w:t xml:space="preserve">365, </w:t>
      </w:r>
      <w:r w:rsidRPr="00CE751A">
        <w:rPr>
          <w:rFonts w:cs="Arial"/>
          <w:szCs w:val="24"/>
          <w:u w:val="single"/>
        </w:rPr>
        <w:t>Overhead Conductors and Devices</w:t>
      </w:r>
      <w:r>
        <w:rPr>
          <w:rFonts w:cs="Arial"/>
          <w:szCs w:val="24"/>
        </w:rPr>
        <w:t>, includes</w:t>
      </w:r>
      <w:r w:rsidRPr="00CE751A">
        <w:rPr>
          <w:rFonts w:cs="Arial"/>
          <w:szCs w:val="24"/>
        </w:rPr>
        <w:t xml:space="preserve"> the cost installed of overhead conductors and devices used for distribution purposes.  </w:t>
      </w:r>
    </w:p>
    <w:p w14:paraId="72852022"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CE751A">
        <w:rPr>
          <w:rFonts w:cs="Arial"/>
          <w:color w:val="000000"/>
          <w:szCs w:val="24"/>
        </w:rPr>
        <w:t xml:space="preserve">366, </w:t>
      </w:r>
      <w:r w:rsidRPr="00CE751A">
        <w:rPr>
          <w:rFonts w:cs="Arial"/>
          <w:szCs w:val="24"/>
          <w:u w:val="single"/>
        </w:rPr>
        <w:t>Underground Conduit</w:t>
      </w:r>
      <w:r>
        <w:rPr>
          <w:rFonts w:cs="Arial"/>
          <w:szCs w:val="24"/>
        </w:rPr>
        <w:t>, includes</w:t>
      </w:r>
      <w:r w:rsidRPr="00CE751A">
        <w:rPr>
          <w:rFonts w:cs="Arial"/>
          <w:szCs w:val="24"/>
        </w:rPr>
        <w:t xml:space="preserve"> the cost installed of underground conduit and tunnels used for housing distribution cables or wires. </w:t>
      </w:r>
    </w:p>
    <w:p w14:paraId="782E9D5A"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lastRenderedPageBreak/>
        <w:t xml:space="preserve">Account </w:t>
      </w:r>
      <w:r w:rsidRPr="00CE751A">
        <w:rPr>
          <w:rFonts w:cs="Arial"/>
          <w:color w:val="000000"/>
          <w:szCs w:val="24"/>
        </w:rPr>
        <w:t xml:space="preserve">367, </w:t>
      </w:r>
      <w:r w:rsidRPr="00CE751A">
        <w:rPr>
          <w:rFonts w:cs="Arial"/>
          <w:szCs w:val="24"/>
          <w:u w:val="single"/>
        </w:rPr>
        <w:t>Underground Conductors and Devices</w:t>
      </w:r>
      <w:r>
        <w:rPr>
          <w:rFonts w:cs="Arial"/>
          <w:szCs w:val="24"/>
        </w:rPr>
        <w:t>, includes</w:t>
      </w:r>
      <w:r w:rsidRPr="00CE751A">
        <w:rPr>
          <w:rFonts w:cs="Arial"/>
          <w:szCs w:val="24"/>
        </w:rPr>
        <w:t xml:space="preserve"> the cost installed of underground conductors and devices used for distribution purposes. </w:t>
      </w:r>
    </w:p>
    <w:p w14:paraId="2F578034"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CE751A">
        <w:rPr>
          <w:rFonts w:cs="Arial"/>
          <w:color w:val="000000"/>
          <w:szCs w:val="24"/>
        </w:rPr>
        <w:t xml:space="preserve">368, </w:t>
      </w:r>
      <w:r w:rsidRPr="00CE751A">
        <w:rPr>
          <w:rFonts w:cs="Arial"/>
          <w:szCs w:val="24"/>
          <w:u w:val="single"/>
        </w:rPr>
        <w:t>Line Transformers</w:t>
      </w:r>
      <w:r>
        <w:rPr>
          <w:rFonts w:cs="Arial"/>
          <w:szCs w:val="24"/>
        </w:rPr>
        <w:t>, includes</w:t>
      </w:r>
      <w:r w:rsidRPr="00CE751A">
        <w:rPr>
          <w:rFonts w:cs="Arial"/>
          <w:szCs w:val="24"/>
        </w:rPr>
        <w:t xml:space="preserve"> the cost installed of overhead and underground distribution line transformers and pole type and underground voltage regulators. </w:t>
      </w:r>
    </w:p>
    <w:p w14:paraId="4ADE2421" w14:textId="77777777" w:rsidR="007A0456" w:rsidRPr="00CE751A"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CE751A">
        <w:rPr>
          <w:rFonts w:cs="Arial"/>
          <w:color w:val="000000"/>
          <w:szCs w:val="24"/>
        </w:rPr>
        <w:t xml:space="preserve">369, </w:t>
      </w:r>
      <w:r w:rsidRPr="00CE751A">
        <w:rPr>
          <w:rFonts w:cs="Arial"/>
          <w:szCs w:val="24"/>
          <w:u w:val="single"/>
        </w:rPr>
        <w:t>Services</w:t>
      </w:r>
      <w:r>
        <w:rPr>
          <w:rFonts w:cs="Arial"/>
          <w:szCs w:val="24"/>
        </w:rPr>
        <w:t>, includes</w:t>
      </w:r>
      <w:r w:rsidRPr="00CE751A">
        <w:rPr>
          <w:rFonts w:cs="Arial"/>
          <w:szCs w:val="24"/>
        </w:rPr>
        <w:t xml:space="preserve"> the cost installed of overhead and underground conductors leading from a point where the wires leave the last pole of the overhead system or the distribution box or manhole, or the top of the pole of the distribution line, to the point of connection with the customer’s outlet or wiring. </w:t>
      </w:r>
    </w:p>
    <w:p w14:paraId="471CECA4" w14:textId="77777777" w:rsidR="007A0456" w:rsidRPr="0099082F" w:rsidRDefault="007A0456" w:rsidP="007E4DE4">
      <w:pPr>
        <w:pStyle w:val="ListParagraph"/>
        <w:numPr>
          <w:ilvl w:val="0"/>
          <w:numId w:val="6"/>
        </w:numPr>
        <w:autoSpaceDE w:val="0"/>
        <w:autoSpaceDN w:val="0"/>
        <w:adjustRightInd w:val="0"/>
        <w:ind w:left="1080"/>
        <w:jc w:val="both"/>
        <w:rPr>
          <w:rFonts w:cs="Arial"/>
          <w:szCs w:val="24"/>
        </w:rPr>
      </w:pPr>
      <w:r>
        <w:rPr>
          <w:rFonts w:cs="Arial"/>
          <w:color w:val="000000"/>
          <w:szCs w:val="24"/>
        </w:rPr>
        <w:t xml:space="preserve">Account </w:t>
      </w:r>
      <w:r w:rsidRPr="0099082F">
        <w:rPr>
          <w:rFonts w:cs="Arial"/>
          <w:color w:val="000000"/>
          <w:szCs w:val="24"/>
        </w:rPr>
        <w:t xml:space="preserve">370, </w:t>
      </w:r>
      <w:r w:rsidRPr="0099082F">
        <w:rPr>
          <w:rFonts w:cs="Arial"/>
          <w:szCs w:val="24"/>
          <w:u w:val="single"/>
        </w:rPr>
        <w:t>Meters</w:t>
      </w:r>
      <w:r>
        <w:rPr>
          <w:rFonts w:cs="Arial"/>
          <w:szCs w:val="24"/>
        </w:rPr>
        <w:t>, includes</w:t>
      </w:r>
      <w:r w:rsidRPr="0099082F">
        <w:rPr>
          <w:rFonts w:cs="Arial"/>
          <w:szCs w:val="24"/>
        </w:rPr>
        <w:t xml:space="preserve"> the cost installed of meters or devices and appurtenances thereto for use in measuring the electricity delivered to its users. </w:t>
      </w:r>
    </w:p>
    <w:p w14:paraId="3BAF2393" w14:textId="77777777" w:rsidR="007A0456" w:rsidRPr="0099082F" w:rsidRDefault="007A0456" w:rsidP="007A0456">
      <w:pPr>
        <w:pStyle w:val="ListParagraph"/>
        <w:autoSpaceDE w:val="0"/>
        <w:autoSpaceDN w:val="0"/>
        <w:adjustRightInd w:val="0"/>
        <w:ind w:left="1080"/>
        <w:jc w:val="both"/>
        <w:rPr>
          <w:rFonts w:cs="Arial"/>
          <w:szCs w:val="24"/>
        </w:rPr>
      </w:pPr>
    </w:p>
    <w:p w14:paraId="48F489A1" w14:textId="18CBF686" w:rsidR="007A0456" w:rsidRPr="0099082F" w:rsidRDefault="007A0456" w:rsidP="007A0456">
      <w:pPr>
        <w:ind w:firstLine="720"/>
        <w:jc w:val="both"/>
        <w:rPr>
          <w:rFonts w:cs="Arial"/>
          <w:szCs w:val="24"/>
        </w:rPr>
      </w:pPr>
      <w:r w:rsidRPr="0099082F">
        <w:rPr>
          <w:rFonts w:cs="Arial"/>
          <w:bCs/>
          <w:iCs/>
          <w:szCs w:val="24"/>
        </w:rPr>
        <w:t xml:space="preserve">UI excluded </w:t>
      </w:r>
      <w:r>
        <w:rPr>
          <w:rFonts w:cs="Arial"/>
          <w:bCs/>
          <w:iCs/>
          <w:szCs w:val="24"/>
        </w:rPr>
        <w:t xml:space="preserve">from its proposed MRCC calculation </w:t>
      </w:r>
      <w:r w:rsidRPr="0099082F">
        <w:rPr>
          <w:rFonts w:cs="Arial"/>
          <w:bCs/>
          <w:iCs/>
          <w:szCs w:val="24"/>
        </w:rPr>
        <w:t xml:space="preserve">distribution system costs associated with </w:t>
      </w:r>
      <w:r w:rsidR="005A4ADA">
        <w:rPr>
          <w:rFonts w:cs="Arial"/>
          <w:bCs/>
          <w:iCs/>
          <w:szCs w:val="24"/>
        </w:rPr>
        <w:t>Accounts</w:t>
      </w:r>
      <w:r w:rsidRPr="0099082F">
        <w:rPr>
          <w:rFonts w:cs="Arial"/>
          <w:bCs/>
          <w:iCs/>
          <w:szCs w:val="24"/>
        </w:rPr>
        <w:t xml:space="preserve"> 364 through 368, which are p</w:t>
      </w:r>
      <w:r w:rsidRPr="0099082F">
        <w:rPr>
          <w:rFonts w:cs="Arial"/>
          <w:szCs w:val="24"/>
        </w:rPr>
        <w:t xml:space="preserve">lant investments associated with poles, transformers, conductors, and conduit, from the MRCC calculation.  It included the investments for </w:t>
      </w:r>
      <w:r w:rsidR="005A4ADA">
        <w:rPr>
          <w:rFonts w:cs="Arial"/>
          <w:szCs w:val="24"/>
        </w:rPr>
        <w:t>Accounts</w:t>
      </w:r>
      <w:r w:rsidRPr="0099082F">
        <w:rPr>
          <w:rFonts w:cs="Arial"/>
          <w:szCs w:val="24"/>
        </w:rPr>
        <w:t xml:space="preserve"> 369 and 370, which are services and meters, in the calculation</w:t>
      </w:r>
      <w:r w:rsidRPr="0099082F">
        <w:rPr>
          <w:rFonts w:cs="Arial"/>
          <w:bCs/>
          <w:iCs/>
          <w:szCs w:val="24"/>
        </w:rPr>
        <w:t xml:space="preserve">.  </w:t>
      </w:r>
      <w:r>
        <w:rPr>
          <w:rFonts w:cs="Arial"/>
          <w:szCs w:val="24"/>
        </w:rPr>
        <w:t xml:space="preserve">Account </w:t>
      </w:r>
      <w:r w:rsidRPr="0099082F">
        <w:rPr>
          <w:rFonts w:cs="Arial"/>
          <w:szCs w:val="24"/>
        </w:rPr>
        <w:t xml:space="preserve">369 includes the plant investments required to establish the service connection.  </w:t>
      </w:r>
      <w:r w:rsidRPr="0099082F">
        <w:rPr>
          <w:rFonts w:cs="Arial"/>
          <w:bCs/>
          <w:iCs/>
          <w:szCs w:val="24"/>
        </w:rPr>
        <w:t xml:space="preserve">Late Filed Exhibit No. 3, Supplement 2, Attachment; </w:t>
      </w:r>
      <w:r w:rsidR="00E84AF1">
        <w:rPr>
          <w:rFonts w:cs="Arial"/>
          <w:szCs w:val="24"/>
        </w:rPr>
        <w:t>Tr. 8/17/17, p. </w:t>
      </w:r>
      <w:r w:rsidRPr="0099082F">
        <w:rPr>
          <w:rFonts w:cs="Arial"/>
          <w:szCs w:val="24"/>
        </w:rPr>
        <w:t>54.</w:t>
      </w:r>
    </w:p>
    <w:p w14:paraId="6850CD69" w14:textId="77777777" w:rsidR="007A0456" w:rsidRPr="0099082F" w:rsidRDefault="007A0456" w:rsidP="007A0456">
      <w:pPr>
        <w:ind w:firstLine="720"/>
        <w:jc w:val="both"/>
        <w:rPr>
          <w:rFonts w:cs="Arial"/>
          <w:szCs w:val="24"/>
        </w:rPr>
      </w:pPr>
    </w:p>
    <w:p w14:paraId="7EE532DF" w14:textId="6058EDD2" w:rsidR="007A0456" w:rsidRPr="005C4991" w:rsidRDefault="007A0456" w:rsidP="007A0456">
      <w:pPr>
        <w:jc w:val="both"/>
        <w:rPr>
          <w:rFonts w:cs="Arial"/>
          <w:szCs w:val="24"/>
        </w:rPr>
      </w:pPr>
      <w:r>
        <w:rPr>
          <w:rFonts w:cs="Arial"/>
          <w:color w:val="000000"/>
          <w:szCs w:val="24"/>
        </w:rPr>
        <w:tab/>
        <w:t>CL&amp;P</w:t>
      </w:r>
      <w:r w:rsidRPr="00CE751A">
        <w:rPr>
          <w:rFonts w:cs="Arial"/>
          <w:color w:val="000000"/>
          <w:szCs w:val="24"/>
        </w:rPr>
        <w:t xml:space="preserve"> proposed that the includable rate base costs include</w:t>
      </w:r>
      <w:r>
        <w:rPr>
          <w:rFonts w:cs="Arial"/>
          <w:szCs w:val="24"/>
        </w:rPr>
        <w:t xml:space="preserve"> t</w:t>
      </w:r>
      <w:r w:rsidRPr="00CE751A">
        <w:rPr>
          <w:rFonts w:cs="Arial"/>
          <w:szCs w:val="24"/>
        </w:rPr>
        <w:t xml:space="preserve">he minimum system components of </w:t>
      </w:r>
      <w:r>
        <w:rPr>
          <w:rFonts w:cs="Arial"/>
          <w:szCs w:val="24"/>
        </w:rPr>
        <w:t>d</w:t>
      </w:r>
      <w:r w:rsidRPr="00CE751A">
        <w:rPr>
          <w:rFonts w:cs="Arial"/>
          <w:szCs w:val="24"/>
        </w:rPr>
        <w:t>ist</w:t>
      </w:r>
      <w:r>
        <w:rPr>
          <w:rFonts w:cs="Arial"/>
          <w:szCs w:val="24"/>
        </w:rPr>
        <w:t xml:space="preserve">ribution plant </w:t>
      </w:r>
      <w:r w:rsidR="005A4ADA">
        <w:rPr>
          <w:rFonts w:cs="Arial"/>
          <w:szCs w:val="24"/>
        </w:rPr>
        <w:t>Accounts</w:t>
      </w:r>
      <w:r>
        <w:rPr>
          <w:rFonts w:cs="Arial"/>
          <w:szCs w:val="24"/>
        </w:rPr>
        <w:t xml:space="preserve"> 364 through 368 as well as </w:t>
      </w:r>
      <w:r w:rsidR="005A4ADA">
        <w:rPr>
          <w:rFonts w:cs="Arial"/>
          <w:szCs w:val="24"/>
        </w:rPr>
        <w:t>Accounts</w:t>
      </w:r>
      <w:r>
        <w:rPr>
          <w:rFonts w:cs="Arial"/>
          <w:szCs w:val="24"/>
        </w:rPr>
        <w:t xml:space="preserve"> </w:t>
      </w:r>
      <w:r w:rsidRPr="00CE751A">
        <w:rPr>
          <w:rFonts w:cs="Arial"/>
          <w:szCs w:val="24"/>
        </w:rPr>
        <w:t>369</w:t>
      </w:r>
      <w:r>
        <w:rPr>
          <w:rFonts w:cs="Arial"/>
          <w:szCs w:val="24"/>
        </w:rPr>
        <w:t xml:space="preserve"> </w:t>
      </w:r>
      <w:r w:rsidRPr="00CE751A">
        <w:rPr>
          <w:rFonts w:cs="Arial"/>
          <w:szCs w:val="24"/>
        </w:rPr>
        <w:t>and 370</w:t>
      </w:r>
      <w:r>
        <w:rPr>
          <w:rFonts w:cs="Arial"/>
          <w:szCs w:val="24"/>
        </w:rPr>
        <w:t xml:space="preserve">.  The company </w:t>
      </w:r>
      <w:r>
        <w:rPr>
          <w:rFonts w:cs="Arial"/>
          <w:color w:val="000000"/>
          <w:szCs w:val="24"/>
        </w:rPr>
        <w:t>stated</w:t>
      </w:r>
      <w:r w:rsidRPr="00CE751A">
        <w:rPr>
          <w:rFonts w:cs="Arial"/>
          <w:color w:val="000000"/>
          <w:szCs w:val="24"/>
        </w:rPr>
        <w:t xml:space="preserve"> that the minimum system components of </w:t>
      </w:r>
      <w:r w:rsidRPr="00CE751A">
        <w:rPr>
          <w:rFonts w:cs="Arial"/>
          <w:szCs w:val="24"/>
        </w:rPr>
        <w:t xml:space="preserve">Distribution Plant </w:t>
      </w:r>
      <w:r w:rsidR="005A4ADA">
        <w:rPr>
          <w:rFonts w:cs="Arial"/>
          <w:szCs w:val="24"/>
        </w:rPr>
        <w:t>Accounts</w:t>
      </w:r>
      <w:r>
        <w:rPr>
          <w:rFonts w:cs="Arial"/>
          <w:szCs w:val="24"/>
        </w:rPr>
        <w:t xml:space="preserve"> </w:t>
      </w:r>
      <w:r w:rsidRPr="00CE751A">
        <w:rPr>
          <w:rFonts w:cs="Arial"/>
          <w:szCs w:val="24"/>
        </w:rPr>
        <w:t>364</w:t>
      </w:r>
      <w:r>
        <w:rPr>
          <w:rFonts w:cs="Arial"/>
          <w:szCs w:val="24"/>
        </w:rPr>
        <w:t xml:space="preserve"> through </w:t>
      </w:r>
      <w:r w:rsidRPr="00CE751A">
        <w:rPr>
          <w:rFonts w:cs="Arial"/>
          <w:szCs w:val="24"/>
        </w:rPr>
        <w:t>368</w:t>
      </w:r>
      <w:r w:rsidRPr="00CE751A">
        <w:rPr>
          <w:rFonts w:cs="Arial"/>
          <w:color w:val="000000"/>
          <w:szCs w:val="24"/>
        </w:rPr>
        <w:t xml:space="preserve"> are integral to the customer connection as specified in the applicable statute and codified in </w:t>
      </w:r>
      <w:r>
        <w:rPr>
          <w:rFonts w:cs="Arial"/>
          <w:color w:val="000000"/>
          <w:szCs w:val="24"/>
        </w:rPr>
        <w:t>its</w:t>
      </w:r>
      <w:r w:rsidRPr="00CE751A">
        <w:rPr>
          <w:rFonts w:cs="Arial"/>
          <w:color w:val="000000"/>
          <w:szCs w:val="24"/>
        </w:rPr>
        <w:t xml:space="preserve"> New Business Policies and</w:t>
      </w:r>
      <w:r>
        <w:rPr>
          <w:rFonts w:cs="Arial"/>
          <w:color w:val="000000"/>
          <w:szCs w:val="24"/>
        </w:rPr>
        <w:t>,</w:t>
      </w:r>
      <w:r w:rsidRPr="00CE751A">
        <w:rPr>
          <w:rFonts w:cs="Arial"/>
          <w:color w:val="000000"/>
          <w:szCs w:val="24"/>
        </w:rPr>
        <w:t xml:space="preserve"> therefore</w:t>
      </w:r>
      <w:r>
        <w:rPr>
          <w:rFonts w:cs="Arial"/>
          <w:color w:val="000000"/>
          <w:szCs w:val="24"/>
        </w:rPr>
        <w:t>, are</w:t>
      </w:r>
      <w:r w:rsidRPr="00CE751A">
        <w:rPr>
          <w:rFonts w:cs="Arial"/>
          <w:color w:val="000000"/>
          <w:szCs w:val="24"/>
        </w:rPr>
        <w:t xml:space="preserve"> </w:t>
      </w:r>
      <w:r w:rsidRPr="0099082F">
        <w:rPr>
          <w:rFonts w:cs="Arial"/>
          <w:szCs w:val="24"/>
        </w:rPr>
        <w:t>includable costs in the MRCC calculation.  Responses to Interrogatories RA-25 and RA</w:t>
      </w:r>
      <w:r w:rsidRPr="0099082F">
        <w:rPr>
          <w:rFonts w:cs="Arial"/>
          <w:szCs w:val="24"/>
        </w:rPr>
        <w:noBreakHyphen/>
        <w:t xml:space="preserve">38.  CL&amp;P indicated that for each rate base item that is recognized as includable in calculating the MRCC, all related costs should also be included.  These related costs include property taxes and insurance; depreciation expense inclusive of negative salvage by type of equipment; working capital allowance; </w:t>
      </w:r>
      <w:r w:rsidR="00AB5F2E">
        <w:rPr>
          <w:rFonts w:cs="Arial"/>
          <w:szCs w:val="24"/>
        </w:rPr>
        <w:t>rate of return (</w:t>
      </w:r>
      <w:r w:rsidRPr="0099082F">
        <w:rPr>
          <w:rFonts w:cs="Arial"/>
          <w:szCs w:val="24"/>
        </w:rPr>
        <w:t>ROR</w:t>
      </w:r>
      <w:r w:rsidR="00AB5F2E">
        <w:rPr>
          <w:rFonts w:cs="Arial"/>
          <w:szCs w:val="24"/>
        </w:rPr>
        <w:t>)</w:t>
      </w:r>
      <w:r w:rsidRPr="0099082F">
        <w:rPr>
          <w:rFonts w:cs="Arial"/>
          <w:szCs w:val="24"/>
        </w:rPr>
        <w:t xml:space="preserve"> and the income taxes on the equity portion; and the gross receipts tax (GRT) on all of the revenue requirements associated with each rate base item.  For example, for </w:t>
      </w:r>
      <w:r>
        <w:rPr>
          <w:rFonts w:cs="Arial"/>
          <w:szCs w:val="24"/>
        </w:rPr>
        <w:t xml:space="preserve">Account </w:t>
      </w:r>
      <w:r w:rsidRPr="0099082F">
        <w:rPr>
          <w:rFonts w:cs="Arial"/>
          <w:szCs w:val="24"/>
        </w:rPr>
        <w:t>368, CL&amp;P stated that the MRCC should include all of the associated property tax, property insurance, depreciation</w:t>
      </w:r>
      <w:r w:rsidRPr="00CE751A">
        <w:rPr>
          <w:rFonts w:cs="Arial"/>
          <w:color w:val="000000"/>
          <w:szCs w:val="24"/>
        </w:rPr>
        <w:t xml:space="preserve">, negative salvage, ROR, income taxes on </w:t>
      </w:r>
      <w:r w:rsidR="00AB5F2E">
        <w:rPr>
          <w:rFonts w:cs="Arial"/>
          <w:color w:val="000000"/>
          <w:szCs w:val="24"/>
        </w:rPr>
        <w:t>return on equity (</w:t>
      </w:r>
      <w:r w:rsidRPr="00CE751A">
        <w:rPr>
          <w:rFonts w:cs="Arial"/>
          <w:color w:val="000000"/>
          <w:szCs w:val="24"/>
        </w:rPr>
        <w:t>ROE</w:t>
      </w:r>
      <w:r w:rsidR="00AB5F2E">
        <w:rPr>
          <w:rFonts w:cs="Arial"/>
          <w:color w:val="000000"/>
          <w:szCs w:val="24"/>
        </w:rPr>
        <w:t>)</w:t>
      </w:r>
      <w:r w:rsidRPr="00CE751A">
        <w:rPr>
          <w:rFonts w:cs="Arial"/>
          <w:color w:val="000000"/>
          <w:szCs w:val="24"/>
        </w:rPr>
        <w:t xml:space="preserve"> and GRT expenses since those accounts are directly related to transformers. </w:t>
      </w:r>
      <w:r>
        <w:rPr>
          <w:rFonts w:cs="Arial"/>
          <w:color w:val="000000"/>
          <w:szCs w:val="24"/>
        </w:rPr>
        <w:t xml:space="preserve"> </w:t>
      </w:r>
      <w:r w:rsidRPr="00CE751A">
        <w:rPr>
          <w:rFonts w:cs="Arial"/>
          <w:color w:val="000000"/>
          <w:szCs w:val="24"/>
        </w:rPr>
        <w:t>For the MRCC</w:t>
      </w:r>
      <w:r>
        <w:rPr>
          <w:rFonts w:cs="Arial"/>
          <w:color w:val="000000"/>
          <w:szCs w:val="24"/>
        </w:rPr>
        <w:t xml:space="preserve"> calculation</w:t>
      </w:r>
      <w:r w:rsidRPr="00CE751A">
        <w:rPr>
          <w:rFonts w:cs="Arial"/>
          <w:color w:val="000000"/>
          <w:szCs w:val="24"/>
        </w:rPr>
        <w:t xml:space="preserve">, such costs should then be adjusted for minimum system classification based on the portion so classified and allocated to the customer charge revenue requirements. </w:t>
      </w:r>
      <w:r>
        <w:rPr>
          <w:rFonts w:cs="Arial"/>
          <w:color w:val="000000"/>
          <w:szCs w:val="24"/>
        </w:rPr>
        <w:t xml:space="preserve"> </w:t>
      </w:r>
      <w:r>
        <w:rPr>
          <w:rFonts w:cs="Arial"/>
          <w:szCs w:val="24"/>
        </w:rPr>
        <w:t>Written Comments, pp. 1 and 2.</w:t>
      </w:r>
      <w:r w:rsidRPr="00CE751A">
        <w:rPr>
          <w:rFonts w:cs="Arial"/>
          <w:color w:val="000000"/>
          <w:szCs w:val="24"/>
        </w:rPr>
        <w:t xml:space="preserve"> </w:t>
      </w:r>
    </w:p>
    <w:p w14:paraId="39DD8D46" w14:textId="77777777" w:rsidR="007A0456" w:rsidRDefault="007A0456" w:rsidP="007A0456">
      <w:pPr>
        <w:autoSpaceDE w:val="0"/>
        <w:autoSpaceDN w:val="0"/>
        <w:adjustRightInd w:val="0"/>
        <w:jc w:val="both"/>
        <w:rPr>
          <w:rFonts w:cs="Arial"/>
          <w:color w:val="000000"/>
          <w:szCs w:val="24"/>
        </w:rPr>
      </w:pPr>
    </w:p>
    <w:p w14:paraId="03817E71" w14:textId="5ECF8B22" w:rsidR="007A0456" w:rsidRDefault="007A0456" w:rsidP="007A0456">
      <w:pPr>
        <w:autoSpaceDE w:val="0"/>
        <w:autoSpaceDN w:val="0"/>
        <w:adjustRightInd w:val="0"/>
        <w:ind w:firstLine="720"/>
        <w:jc w:val="both"/>
        <w:rPr>
          <w:rFonts w:cs="Arial"/>
          <w:color w:val="000000"/>
          <w:szCs w:val="24"/>
        </w:rPr>
      </w:pPr>
      <w:r>
        <w:rPr>
          <w:rFonts w:cs="Arial"/>
          <w:color w:val="000000"/>
          <w:szCs w:val="24"/>
        </w:rPr>
        <w:t>As discussed in Section III.A.4.b</w:t>
      </w:r>
      <w:r w:rsidR="002662C5">
        <w:rPr>
          <w:rFonts w:cs="Arial"/>
          <w:color w:val="000000"/>
          <w:szCs w:val="24"/>
        </w:rPr>
        <w:t xml:space="preserve">. </w:t>
      </w:r>
      <w:r w:rsidR="002662C5" w:rsidRPr="002662C5">
        <w:rPr>
          <w:rFonts w:cs="Arial"/>
          <w:color w:val="000000"/>
          <w:szCs w:val="24"/>
          <w:u w:val="single"/>
        </w:rPr>
        <w:t>Service Connection Discussion</w:t>
      </w:r>
      <w:r>
        <w:rPr>
          <w:rFonts w:cs="Arial"/>
          <w:color w:val="000000"/>
          <w:szCs w:val="24"/>
        </w:rPr>
        <w:t xml:space="preserve">, </w:t>
      </w:r>
      <w:r w:rsidRPr="00CE751A">
        <w:rPr>
          <w:rFonts w:cs="Arial"/>
          <w:color w:val="000000"/>
          <w:szCs w:val="24"/>
        </w:rPr>
        <w:t xml:space="preserve">the Authority </w:t>
      </w:r>
      <w:r>
        <w:rPr>
          <w:rFonts w:cs="Arial"/>
          <w:color w:val="000000"/>
          <w:szCs w:val="24"/>
        </w:rPr>
        <w:t xml:space="preserve">defined </w:t>
      </w:r>
      <w:r>
        <w:t>the statutory service connection function as the service line or drop that connects the network distribution system to the customer’s facilities, and does not extend beyond the first point of interconnection</w:t>
      </w:r>
      <w:r>
        <w:rPr>
          <w:rFonts w:cs="Arial"/>
          <w:color w:val="000000"/>
          <w:szCs w:val="24"/>
        </w:rPr>
        <w:t>.  T</w:t>
      </w:r>
      <w:r w:rsidRPr="00CE751A">
        <w:rPr>
          <w:rFonts w:cs="Arial"/>
          <w:color w:val="000000"/>
          <w:szCs w:val="24"/>
        </w:rPr>
        <w:t xml:space="preserve">he plant costs </w:t>
      </w:r>
      <w:r>
        <w:rPr>
          <w:rFonts w:cs="Arial"/>
          <w:color w:val="000000"/>
          <w:szCs w:val="24"/>
        </w:rPr>
        <w:t xml:space="preserve">associated with the service connection function </w:t>
      </w:r>
      <w:r w:rsidRPr="00CE751A">
        <w:rPr>
          <w:rFonts w:cs="Arial"/>
          <w:color w:val="000000"/>
          <w:szCs w:val="24"/>
        </w:rPr>
        <w:t xml:space="preserve">are contained </w:t>
      </w:r>
      <w:r>
        <w:rPr>
          <w:rFonts w:cs="Arial"/>
          <w:color w:val="000000"/>
          <w:szCs w:val="24"/>
        </w:rPr>
        <w:t xml:space="preserve">in Account </w:t>
      </w:r>
      <w:r w:rsidRPr="00CE751A">
        <w:rPr>
          <w:rFonts w:cs="Arial"/>
          <w:color w:val="000000"/>
          <w:szCs w:val="24"/>
        </w:rPr>
        <w:t>3</w:t>
      </w:r>
      <w:r>
        <w:rPr>
          <w:rFonts w:cs="Arial"/>
          <w:color w:val="000000"/>
          <w:szCs w:val="24"/>
        </w:rPr>
        <w:t xml:space="preserve">69 and the metering function in </w:t>
      </w:r>
      <w:r>
        <w:rPr>
          <w:rFonts w:cs="Arial"/>
          <w:color w:val="000000"/>
          <w:szCs w:val="24"/>
        </w:rPr>
        <w:lastRenderedPageBreak/>
        <w:t xml:space="preserve">Account 370.  </w:t>
      </w:r>
      <w:r w:rsidR="005A4ADA">
        <w:rPr>
          <w:rFonts w:cs="Arial"/>
          <w:color w:val="000000"/>
          <w:szCs w:val="24"/>
        </w:rPr>
        <w:t>Accounts</w:t>
      </w:r>
      <w:r>
        <w:rPr>
          <w:rFonts w:cs="Arial"/>
          <w:color w:val="000000"/>
          <w:szCs w:val="24"/>
        </w:rPr>
        <w:t xml:space="preserve"> 369 and 370 are essential to statutory functions and therefore, includable in the MRCC calculation.  Distribution plant for poles, </w:t>
      </w:r>
      <w:r w:rsidRPr="00CE751A">
        <w:rPr>
          <w:rFonts w:cs="Arial"/>
          <w:color w:val="000000"/>
          <w:szCs w:val="24"/>
        </w:rPr>
        <w:t xml:space="preserve">towers and fixtures, </w:t>
      </w:r>
      <w:r>
        <w:rPr>
          <w:rFonts w:cs="Arial"/>
          <w:color w:val="000000"/>
          <w:szCs w:val="24"/>
        </w:rPr>
        <w:t xml:space="preserve">and </w:t>
      </w:r>
      <w:r w:rsidRPr="00CE751A">
        <w:rPr>
          <w:rFonts w:cs="Arial"/>
          <w:color w:val="000000"/>
          <w:szCs w:val="24"/>
        </w:rPr>
        <w:t xml:space="preserve">line transformers are </w:t>
      </w:r>
      <w:r>
        <w:rPr>
          <w:rFonts w:cs="Arial"/>
          <w:color w:val="000000"/>
          <w:szCs w:val="24"/>
        </w:rPr>
        <w:t>outside</w:t>
      </w:r>
      <w:r w:rsidRPr="00CE751A">
        <w:rPr>
          <w:rFonts w:cs="Arial"/>
          <w:color w:val="000000"/>
          <w:szCs w:val="24"/>
        </w:rPr>
        <w:t xml:space="preserve"> of</w:t>
      </w:r>
      <w:r>
        <w:rPr>
          <w:rFonts w:cs="Arial"/>
          <w:color w:val="000000"/>
          <w:szCs w:val="24"/>
        </w:rPr>
        <w:t xml:space="preserve"> the Authority’s definition of the service connection statutory function, and do not apply to </w:t>
      </w:r>
      <w:r w:rsidRPr="00CE751A">
        <w:rPr>
          <w:rFonts w:cs="Arial"/>
          <w:color w:val="000000"/>
          <w:szCs w:val="24"/>
        </w:rPr>
        <w:t xml:space="preserve">the </w:t>
      </w:r>
      <w:r>
        <w:rPr>
          <w:rFonts w:cs="Arial"/>
          <w:color w:val="000000"/>
          <w:szCs w:val="24"/>
        </w:rPr>
        <w:t xml:space="preserve">other statutory functions.  Therefore, the Authority finds that </w:t>
      </w:r>
      <w:r w:rsidR="005A4ADA">
        <w:rPr>
          <w:rFonts w:cs="Arial"/>
          <w:color w:val="000000"/>
          <w:szCs w:val="24"/>
        </w:rPr>
        <w:t>Accounts</w:t>
      </w:r>
      <w:r>
        <w:rPr>
          <w:rFonts w:cs="Arial"/>
          <w:color w:val="000000"/>
          <w:szCs w:val="24"/>
        </w:rPr>
        <w:t xml:space="preserve"> </w:t>
      </w:r>
      <w:r w:rsidRPr="00CE751A">
        <w:rPr>
          <w:rFonts w:cs="Arial"/>
          <w:color w:val="000000"/>
          <w:szCs w:val="24"/>
        </w:rPr>
        <w:t>364</w:t>
      </w:r>
      <w:r>
        <w:rPr>
          <w:rFonts w:cs="Arial"/>
          <w:color w:val="000000"/>
          <w:szCs w:val="24"/>
        </w:rPr>
        <w:t xml:space="preserve"> through </w:t>
      </w:r>
      <w:r w:rsidRPr="00CE751A">
        <w:rPr>
          <w:rFonts w:cs="Arial"/>
          <w:color w:val="000000"/>
          <w:szCs w:val="24"/>
        </w:rPr>
        <w:t xml:space="preserve">368 </w:t>
      </w:r>
      <w:r>
        <w:rPr>
          <w:rFonts w:cs="Arial"/>
          <w:color w:val="000000"/>
          <w:szCs w:val="24"/>
        </w:rPr>
        <w:t xml:space="preserve">are excluded from the MRCC </w:t>
      </w:r>
      <w:r w:rsidRPr="00CE751A">
        <w:rPr>
          <w:rFonts w:cs="Arial"/>
          <w:color w:val="000000"/>
          <w:szCs w:val="24"/>
        </w:rPr>
        <w:t>calculation</w:t>
      </w:r>
      <w:r>
        <w:rPr>
          <w:rFonts w:cs="Arial"/>
          <w:color w:val="000000"/>
          <w:szCs w:val="24"/>
        </w:rPr>
        <w:t>.</w:t>
      </w:r>
      <w:r w:rsidRPr="00CE751A">
        <w:rPr>
          <w:rFonts w:cs="Arial"/>
          <w:color w:val="000000"/>
          <w:szCs w:val="24"/>
        </w:rPr>
        <w:t xml:space="preserve"> </w:t>
      </w:r>
    </w:p>
    <w:p w14:paraId="19DC5785" w14:textId="77777777" w:rsidR="007A0456" w:rsidRPr="000D3BD6" w:rsidRDefault="007A0456" w:rsidP="007A0456">
      <w:pPr>
        <w:autoSpaceDE w:val="0"/>
        <w:autoSpaceDN w:val="0"/>
        <w:adjustRightInd w:val="0"/>
        <w:ind w:firstLine="720"/>
        <w:jc w:val="both"/>
        <w:rPr>
          <w:rFonts w:cs="Arial"/>
          <w:szCs w:val="24"/>
        </w:rPr>
      </w:pPr>
    </w:p>
    <w:p w14:paraId="35165213" w14:textId="7CC457B1" w:rsidR="007A0456" w:rsidRPr="000D3BD6" w:rsidRDefault="007A0456" w:rsidP="00E1092F">
      <w:pPr>
        <w:pStyle w:val="Heading4"/>
        <w:tabs>
          <w:tab w:val="clear" w:pos="2520"/>
          <w:tab w:val="num" w:pos="2160"/>
        </w:tabs>
        <w:ind w:left="1440"/>
      </w:pPr>
      <w:bookmarkStart w:id="64" w:name="_Toc499050491"/>
      <w:bookmarkStart w:id="65" w:name="_Toc501528279"/>
      <w:r w:rsidRPr="000D3BD6">
        <w:t xml:space="preserve">Distribution Plant </w:t>
      </w:r>
      <w:r w:rsidR="005A4ADA">
        <w:t>Accounts</w:t>
      </w:r>
      <w:r w:rsidRPr="000D3BD6">
        <w:t xml:space="preserve"> 371-374</w:t>
      </w:r>
      <w:bookmarkEnd w:id="64"/>
      <w:bookmarkEnd w:id="65"/>
    </w:p>
    <w:p w14:paraId="345764B1" w14:textId="77777777" w:rsidR="007A0456" w:rsidRPr="000D3BD6" w:rsidRDefault="007A0456" w:rsidP="007A0456">
      <w:pPr>
        <w:jc w:val="both"/>
      </w:pPr>
    </w:p>
    <w:p w14:paraId="17BEA036" w14:textId="77777777" w:rsidR="007A0456" w:rsidRPr="000D3BD6" w:rsidRDefault="007A0456" w:rsidP="007A0456">
      <w:pPr>
        <w:tabs>
          <w:tab w:val="left" w:pos="720"/>
        </w:tabs>
        <w:autoSpaceDE w:val="0"/>
        <w:autoSpaceDN w:val="0"/>
        <w:adjustRightInd w:val="0"/>
        <w:jc w:val="both"/>
        <w:rPr>
          <w:rFonts w:cs="Arial"/>
          <w:szCs w:val="24"/>
        </w:rPr>
      </w:pPr>
      <w:r w:rsidRPr="000D3BD6">
        <w:rPr>
          <w:rFonts w:cs="Arial"/>
          <w:szCs w:val="24"/>
        </w:rPr>
        <w:tab/>
        <w:t xml:space="preserve">Certain distribution plant is recorded in the </w:t>
      </w:r>
      <w:r>
        <w:rPr>
          <w:rFonts w:cs="Arial"/>
          <w:szCs w:val="24"/>
        </w:rPr>
        <w:t>FERC Accounts</w:t>
      </w:r>
      <w:r w:rsidRPr="000D3BD6">
        <w:rPr>
          <w:rFonts w:cs="Arial"/>
          <w:szCs w:val="24"/>
        </w:rPr>
        <w:t xml:space="preserve"> as follows:</w:t>
      </w:r>
    </w:p>
    <w:p w14:paraId="0714FD28" w14:textId="77777777" w:rsidR="007A0456" w:rsidRPr="000D3BD6" w:rsidRDefault="007A0456" w:rsidP="007A0456">
      <w:pPr>
        <w:tabs>
          <w:tab w:val="left" w:pos="720"/>
        </w:tabs>
        <w:autoSpaceDE w:val="0"/>
        <w:autoSpaceDN w:val="0"/>
        <w:adjustRightInd w:val="0"/>
        <w:jc w:val="both"/>
        <w:rPr>
          <w:rFonts w:cs="Arial"/>
          <w:szCs w:val="24"/>
        </w:rPr>
      </w:pPr>
    </w:p>
    <w:p w14:paraId="4B408A39" w14:textId="77777777" w:rsidR="007A0456" w:rsidRPr="008053D8"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 xml:space="preserve">371, </w:t>
      </w:r>
      <w:r w:rsidRPr="008053D8">
        <w:rPr>
          <w:rFonts w:cs="Arial"/>
          <w:szCs w:val="24"/>
          <w:u w:val="single"/>
        </w:rPr>
        <w:t>Installations on Customers’ Premises</w:t>
      </w:r>
      <w:r>
        <w:rPr>
          <w:rFonts w:cs="Arial"/>
          <w:szCs w:val="24"/>
        </w:rPr>
        <w:t>, includes</w:t>
      </w:r>
      <w:r w:rsidRPr="008053D8">
        <w:rPr>
          <w:rFonts w:cs="Arial"/>
          <w:szCs w:val="24"/>
        </w:rPr>
        <w:t xml:space="preserve"> the cost of equipment on the customer’s side of a meter when the utility incurs such costs. </w:t>
      </w:r>
    </w:p>
    <w:p w14:paraId="06038A5F" w14:textId="77777777" w:rsidR="007A0456" w:rsidRPr="008053D8"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 xml:space="preserve">372, </w:t>
      </w:r>
      <w:r w:rsidRPr="008053D8">
        <w:rPr>
          <w:rFonts w:cs="Arial"/>
          <w:szCs w:val="24"/>
          <w:u w:val="single"/>
        </w:rPr>
        <w:t>Leased property on Customers’ Premises</w:t>
      </w:r>
      <w:r>
        <w:rPr>
          <w:rFonts w:cs="Arial"/>
          <w:szCs w:val="24"/>
        </w:rPr>
        <w:t>, includes</w:t>
      </w:r>
      <w:r w:rsidRPr="008053D8">
        <w:rPr>
          <w:rFonts w:cs="Arial"/>
          <w:szCs w:val="24"/>
        </w:rPr>
        <w:t xml:space="preserve"> the cost of electric motors, transformers and other equipment on customer</w:t>
      </w:r>
      <w:r>
        <w:rPr>
          <w:rFonts w:cs="Arial"/>
          <w:szCs w:val="24"/>
        </w:rPr>
        <w:t>’</w:t>
      </w:r>
      <w:r w:rsidRPr="008053D8">
        <w:rPr>
          <w:rFonts w:cs="Arial"/>
          <w:szCs w:val="24"/>
        </w:rPr>
        <w:t>s premises leased or loaned to customers.</w:t>
      </w:r>
    </w:p>
    <w:p w14:paraId="50E013EF" w14:textId="77777777" w:rsidR="007A0456" w:rsidRPr="008053D8" w:rsidRDefault="007A0456" w:rsidP="007E4DE4">
      <w:pPr>
        <w:pStyle w:val="ListParagraph"/>
        <w:numPr>
          <w:ilvl w:val="0"/>
          <w:numId w:val="6"/>
        </w:numPr>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 xml:space="preserve">373, </w:t>
      </w:r>
      <w:r w:rsidRPr="008053D8">
        <w:rPr>
          <w:rFonts w:cs="Arial"/>
          <w:szCs w:val="24"/>
          <w:u w:val="single"/>
        </w:rPr>
        <w:t xml:space="preserve">Street </w:t>
      </w:r>
      <w:r>
        <w:rPr>
          <w:rFonts w:cs="Arial"/>
          <w:szCs w:val="24"/>
          <w:u w:val="single"/>
        </w:rPr>
        <w:t>L</w:t>
      </w:r>
      <w:r w:rsidRPr="008053D8">
        <w:rPr>
          <w:rFonts w:cs="Arial"/>
          <w:szCs w:val="24"/>
          <w:u w:val="single"/>
        </w:rPr>
        <w:t xml:space="preserve">ighting and </w:t>
      </w:r>
      <w:r>
        <w:rPr>
          <w:rFonts w:cs="Arial"/>
          <w:szCs w:val="24"/>
          <w:u w:val="single"/>
        </w:rPr>
        <w:t>S</w:t>
      </w:r>
      <w:r w:rsidRPr="008053D8">
        <w:rPr>
          <w:rFonts w:cs="Arial"/>
          <w:szCs w:val="24"/>
          <w:u w:val="single"/>
        </w:rPr>
        <w:t xml:space="preserve">ignal </w:t>
      </w:r>
      <w:r>
        <w:rPr>
          <w:rFonts w:cs="Arial"/>
          <w:szCs w:val="24"/>
          <w:u w:val="single"/>
        </w:rPr>
        <w:t>S</w:t>
      </w:r>
      <w:r w:rsidRPr="008053D8">
        <w:rPr>
          <w:rFonts w:cs="Arial"/>
          <w:szCs w:val="24"/>
          <w:u w:val="single"/>
        </w:rPr>
        <w:t>ystems</w:t>
      </w:r>
      <w:r>
        <w:rPr>
          <w:rFonts w:cs="Arial"/>
          <w:szCs w:val="24"/>
        </w:rPr>
        <w:t>, includes</w:t>
      </w:r>
      <w:r w:rsidRPr="008053D8">
        <w:rPr>
          <w:rFonts w:cs="Arial"/>
          <w:szCs w:val="24"/>
        </w:rPr>
        <w:t xml:space="preserve"> the cost installed of equipment used wholly for public street and highway lighting or traffic, fire alarm, police or other signal systems.</w:t>
      </w:r>
      <w:r w:rsidRPr="008053D8">
        <w:rPr>
          <w:rFonts w:cs="Arial"/>
          <w:color w:val="000000"/>
          <w:szCs w:val="24"/>
        </w:rPr>
        <w:t xml:space="preserve"> </w:t>
      </w:r>
    </w:p>
    <w:p w14:paraId="3F69A538" w14:textId="77777777" w:rsidR="007A0456" w:rsidRDefault="007A0456" w:rsidP="007E4DE4">
      <w:pPr>
        <w:pStyle w:val="ListParagraph"/>
        <w:numPr>
          <w:ilvl w:val="0"/>
          <w:numId w:val="6"/>
        </w:numPr>
        <w:autoSpaceDE w:val="0"/>
        <w:autoSpaceDN w:val="0"/>
        <w:adjustRightInd w:val="0"/>
        <w:ind w:left="1080"/>
        <w:jc w:val="both"/>
        <w:rPr>
          <w:rFonts w:cs="Arial"/>
          <w:szCs w:val="24"/>
        </w:rPr>
      </w:pPr>
      <w:r>
        <w:rPr>
          <w:rFonts w:cs="Arial"/>
          <w:szCs w:val="24"/>
        </w:rPr>
        <w:t xml:space="preserve">Account </w:t>
      </w:r>
      <w:r w:rsidRPr="00676EE2">
        <w:rPr>
          <w:rFonts w:cs="Arial"/>
          <w:szCs w:val="24"/>
        </w:rPr>
        <w:t xml:space="preserve">374, </w:t>
      </w:r>
      <w:r w:rsidRPr="00676EE2">
        <w:rPr>
          <w:rFonts w:cs="Arial"/>
          <w:szCs w:val="24"/>
          <w:u w:val="single"/>
        </w:rPr>
        <w:t>Asset Retirement Costs for Distribution Plant</w:t>
      </w:r>
      <w:r>
        <w:rPr>
          <w:rFonts w:cs="Arial"/>
          <w:szCs w:val="24"/>
        </w:rPr>
        <w:t>, includes</w:t>
      </w:r>
      <w:r w:rsidRPr="00676EE2">
        <w:rPr>
          <w:rFonts w:cs="Arial"/>
          <w:szCs w:val="24"/>
        </w:rPr>
        <w:t xml:space="preserve"> asset retirement costs on plant included in the distribution plant function.</w:t>
      </w:r>
    </w:p>
    <w:p w14:paraId="52F436AD" w14:textId="77777777" w:rsidR="007A0456" w:rsidRPr="00676EE2" w:rsidRDefault="007A0456" w:rsidP="007A0456">
      <w:pPr>
        <w:pStyle w:val="ListParagraph"/>
        <w:autoSpaceDE w:val="0"/>
        <w:autoSpaceDN w:val="0"/>
        <w:adjustRightInd w:val="0"/>
        <w:ind w:left="1080"/>
        <w:jc w:val="both"/>
        <w:rPr>
          <w:rFonts w:cs="Arial"/>
          <w:szCs w:val="24"/>
        </w:rPr>
      </w:pPr>
    </w:p>
    <w:p w14:paraId="7DE262CF" w14:textId="267049E4" w:rsidR="007A0456" w:rsidRDefault="007A0456" w:rsidP="007A0456">
      <w:pPr>
        <w:autoSpaceDE w:val="0"/>
        <w:autoSpaceDN w:val="0"/>
        <w:adjustRightInd w:val="0"/>
        <w:jc w:val="both"/>
        <w:rPr>
          <w:rFonts w:cs="Arial"/>
          <w:color w:val="000000"/>
          <w:szCs w:val="24"/>
        </w:rPr>
      </w:pPr>
      <w:r w:rsidRPr="00676EE2">
        <w:rPr>
          <w:rFonts w:cs="Arial"/>
          <w:color w:val="FF0000"/>
          <w:szCs w:val="24"/>
        </w:rPr>
        <w:tab/>
      </w:r>
      <w:r w:rsidRPr="00CE751A">
        <w:rPr>
          <w:rFonts w:cs="Arial"/>
          <w:color w:val="000000"/>
          <w:szCs w:val="24"/>
        </w:rPr>
        <w:t xml:space="preserve">UI </w:t>
      </w:r>
      <w:r>
        <w:rPr>
          <w:rFonts w:cs="Arial"/>
          <w:color w:val="000000"/>
          <w:szCs w:val="24"/>
        </w:rPr>
        <w:t>i</w:t>
      </w:r>
      <w:r w:rsidRPr="00CE751A">
        <w:rPr>
          <w:rFonts w:cs="Arial"/>
          <w:color w:val="000000"/>
          <w:szCs w:val="24"/>
        </w:rPr>
        <w:t>nclude</w:t>
      </w:r>
      <w:r>
        <w:rPr>
          <w:rFonts w:cs="Arial"/>
          <w:color w:val="000000"/>
          <w:szCs w:val="24"/>
        </w:rPr>
        <w:t>d</w:t>
      </w:r>
      <w:r w:rsidRPr="00CE751A">
        <w:rPr>
          <w:rFonts w:cs="Arial"/>
          <w:color w:val="000000"/>
          <w:szCs w:val="24"/>
        </w:rPr>
        <w:t xml:space="preserve"> </w:t>
      </w:r>
      <w:r>
        <w:rPr>
          <w:rFonts w:cs="Arial"/>
          <w:color w:val="000000"/>
          <w:szCs w:val="24"/>
        </w:rPr>
        <w:t xml:space="preserve">costs for </w:t>
      </w:r>
      <w:r w:rsidR="005A4ADA">
        <w:rPr>
          <w:rFonts w:cs="Arial"/>
          <w:color w:val="000000"/>
          <w:szCs w:val="24"/>
        </w:rPr>
        <w:t>Accounts</w:t>
      </w:r>
      <w:r>
        <w:rPr>
          <w:rFonts w:cs="Arial"/>
          <w:color w:val="000000"/>
          <w:szCs w:val="24"/>
        </w:rPr>
        <w:t xml:space="preserve"> 371 and 372 </w:t>
      </w:r>
      <w:r w:rsidRPr="00CE751A">
        <w:rPr>
          <w:rFonts w:cs="Arial"/>
          <w:color w:val="000000"/>
          <w:szCs w:val="24"/>
        </w:rPr>
        <w:t xml:space="preserve">in its </w:t>
      </w:r>
      <w:r>
        <w:rPr>
          <w:rFonts w:cs="Arial"/>
          <w:color w:val="000000"/>
          <w:szCs w:val="24"/>
        </w:rPr>
        <w:t xml:space="preserve">proposed </w:t>
      </w:r>
      <w:r w:rsidRPr="00CE751A">
        <w:rPr>
          <w:rFonts w:cs="Arial"/>
          <w:color w:val="000000"/>
          <w:szCs w:val="24"/>
        </w:rPr>
        <w:t>MRCC</w:t>
      </w:r>
      <w:r>
        <w:rPr>
          <w:rFonts w:cs="Arial"/>
          <w:color w:val="000000"/>
          <w:szCs w:val="24"/>
        </w:rPr>
        <w:t xml:space="preserve"> calculation</w:t>
      </w:r>
      <w:r w:rsidRPr="00CE751A">
        <w:rPr>
          <w:rFonts w:cs="Arial"/>
          <w:color w:val="000000"/>
          <w:szCs w:val="24"/>
        </w:rPr>
        <w:t xml:space="preserve"> </w:t>
      </w:r>
      <w:r w:rsidR="00CB0057">
        <w:rPr>
          <w:rFonts w:cs="Arial"/>
          <w:color w:val="000000"/>
          <w:szCs w:val="24"/>
        </w:rPr>
        <w:t xml:space="preserve">applying the </w:t>
      </w:r>
      <w:r>
        <w:rPr>
          <w:rFonts w:cs="Arial"/>
          <w:color w:val="000000"/>
          <w:szCs w:val="24"/>
        </w:rPr>
        <w:t xml:space="preserve">COSS methodology.  Under </w:t>
      </w:r>
      <w:r w:rsidR="00CB0057">
        <w:rPr>
          <w:rFonts w:cs="Arial"/>
          <w:color w:val="000000"/>
          <w:szCs w:val="24"/>
        </w:rPr>
        <w:t>its</w:t>
      </w:r>
      <w:r>
        <w:rPr>
          <w:rFonts w:cs="Arial"/>
          <w:color w:val="000000"/>
          <w:szCs w:val="24"/>
        </w:rPr>
        <w:t xml:space="preserve"> direct assignment methodology</w:t>
      </w:r>
      <w:r w:rsidR="00CB0057">
        <w:rPr>
          <w:rFonts w:cs="Arial"/>
          <w:color w:val="000000"/>
          <w:szCs w:val="24"/>
        </w:rPr>
        <w:t xml:space="preserve">, the company delineated </w:t>
      </w:r>
      <w:r>
        <w:rPr>
          <w:rFonts w:cs="Arial"/>
          <w:color w:val="000000"/>
          <w:szCs w:val="24"/>
        </w:rPr>
        <w:t xml:space="preserve">zero costs </w:t>
      </w:r>
      <w:r w:rsidR="00CB0057">
        <w:rPr>
          <w:rFonts w:cs="Arial"/>
          <w:color w:val="000000"/>
          <w:szCs w:val="24"/>
        </w:rPr>
        <w:t>for these accounts</w:t>
      </w:r>
      <w:r w:rsidR="00CB0057" w:rsidDel="00CB0057">
        <w:rPr>
          <w:rFonts w:cs="Arial"/>
          <w:color w:val="000000"/>
          <w:szCs w:val="24"/>
        </w:rPr>
        <w:t xml:space="preserve"> </w:t>
      </w:r>
      <w:r>
        <w:rPr>
          <w:rFonts w:cs="Arial"/>
          <w:color w:val="000000"/>
          <w:szCs w:val="24"/>
        </w:rPr>
        <w:t xml:space="preserve">in its MRCC calculation.  </w:t>
      </w:r>
      <w:r w:rsidRPr="00CE751A">
        <w:rPr>
          <w:rFonts w:cs="Arial"/>
          <w:color w:val="000000"/>
          <w:szCs w:val="24"/>
        </w:rPr>
        <w:t xml:space="preserve">Response to Late Filed Exhibit No. </w:t>
      </w:r>
      <w:r>
        <w:rPr>
          <w:rFonts w:cs="Arial"/>
          <w:color w:val="000000"/>
          <w:szCs w:val="24"/>
        </w:rPr>
        <w:t>1</w:t>
      </w:r>
      <w:r w:rsidRPr="00CE751A">
        <w:rPr>
          <w:rFonts w:cs="Arial"/>
          <w:color w:val="000000"/>
          <w:szCs w:val="24"/>
        </w:rPr>
        <w:t xml:space="preserve">, </w:t>
      </w:r>
      <w:r>
        <w:rPr>
          <w:rFonts w:cs="Arial"/>
          <w:color w:val="000000"/>
          <w:szCs w:val="24"/>
        </w:rPr>
        <w:t>Revised Attachment</w:t>
      </w:r>
      <w:r w:rsidRPr="00CE751A">
        <w:rPr>
          <w:rFonts w:cs="Arial"/>
          <w:color w:val="000000"/>
          <w:szCs w:val="24"/>
        </w:rPr>
        <w:t>.</w:t>
      </w:r>
      <w:r>
        <w:rPr>
          <w:rFonts w:cs="Arial"/>
          <w:color w:val="000000"/>
          <w:szCs w:val="24"/>
        </w:rPr>
        <w:t xml:space="preserve"> </w:t>
      </w:r>
    </w:p>
    <w:p w14:paraId="70F5A8D7" w14:textId="77777777" w:rsidR="007A0456" w:rsidRDefault="007A0456" w:rsidP="007A0456">
      <w:pPr>
        <w:autoSpaceDE w:val="0"/>
        <w:autoSpaceDN w:val="0"/>
        <w:adjustRightInd w:val="0"/>
        <w:jc w:val="both"/>
        <w:rPr>
          <w:rFonts w:cs="Arial"/>
          <w:color w:val="000000"/>
          <w:szCs w:val="24"/>
        </w:rPr>
      </w:pPr>
    </w:p>
    <w:p w14:paraId="1B5B33DF" w14:textId="6DA8307E" w:rsidR="007A0456" w:rsidRDefault="007A0456" w:rsidP="007A0456">
      <w:pPr>
        <w:autoSpaceDE w:val="0"/>
        <w:autoSpaceDN w:val="0"/>
        <w:adjustRightInd w:val="0"/>
        <w:jc w:val="both"/>
        <w:rPr>
          <w:rFonts w:cs="Arial"/>
          <w:color w:val="000000"/>
          <w:szCs w:val="24"/>
        </w:rPr>
      </w:pPr>
      <w:r>
        <w:rPr>
          <w:rFonts w:cs="Arial"/>
          <w:color w:val="000000"/>
          <w:szCs w:val="24"/>
        </w:rPr>
        <w:tab/>
        <w:t xml:space="preserve">CL&amp;P identified costs for </w:t>
      </w:r>
      <w:r w:rsidR="005A4ADA">
        <w:rPr>
          <w:rFonts w:cs="Arial"/>
          <w:color w:val="000000"/>
          <w:szCs w:val="24"/>
        </w:rPr>
        <w:t>Accounts</w:t>
      </w:r>
      <w:r>
        <w:rPr>
          <w:rFonts w:cs="Arial"/>
          <w:color w:val="000000"/>
          <w:szCs w:val="24"/>
        </w:rPr>
        <w:t xml:space="preserve"> 371 and </w:t>
      </w:r>
      <w:r>
        <w:rPr>
          <w:rFonts w:cs="Arial"/>
          <w:szCs w:val="24"/>
        </w:rPr>
        <w:t xml:space="preserve">373 </w:t>
      </w:r>
      <w:r>
        <w:rPr>
          <w:rFonts w:cs="Arial"/>
          <w:color w:val="000000"/>
          <w:szCs w:val="24"/>
        </w:rPr>
        <w:t xml:space="preserve">but allocated 100% of the costs to the demand component for residential non-heating customers.  In addition, the company did not identify any costs associated with </w:t>
      </w:r>
      <w:r w:rsidR="005A4ADA">
        <w:rPr>
          <w:rFonts w:cs="Arial"/>
          <w:color w:val="000000"/>
          <w:szCs w:val="24"/>
        </w:rPr>
        <w:t>Accounts</w:t>
      </w:r>
      <w:r>
        <w:rPr>
          <w:rFonts w:cs="Arial"/>
          <w:color w:val="000000"/>
          <w:szCs w:val="24"/>
        </w:rPr>
        <w:t xml:space="preserve"> 372</w:t>
      </w:r>
      <w:r>
        <w:rPr>
          <w:rFonts w:cs="Arial"/>
          <w:szCs w:val="24"/>
        </w:rPr>
        <w:t xml:space="preserve"> </w:t>
      </w:r>
      <w:r>
        <w:rPr>
          <w:rFonts w:cs="Arial"/>
          <w:color w:val="000000"/>
          <w:szCs w:val="24"/>
        </w:rPr>
        <w:t xml:space="preserve">and 374 in its proposed MRCC calculation.  Late Filed Exhibit No. 9, Attachment 1, p. 1.  </w:t>
      </w:r>
    </w:p>
    <w:p w14:paraId="14E1BDEB" w14:textId="77777777" w:rsidR="007A0456" w:rsidRDefault="007A0456" w:rsidP="007A0456">
      <w:pPr>
        <w:autoSpaceDE w:val="0"/>
        <w:autoSpaceDN w:val="0"/>
        <w:adjustRightInd w:val="0"/>
        <w:jc w:val="both"/>
        <w:rPr>
          <w:rFonts w:cs="Arial"/>
          <w:color w:val="000000"/>
          <w:szCs w:val="24"/>
        </w:rPr>
      </w:pPr>
    </w:p>
    <w:p w14:paraId="333F93EC" w14:textId="104D0DD0" w:rsidR="007A0456" w:rsidRDefault="007A0456" w:rsidP="007A0456">
      <w:pPr>
        <w:autoSpaceDE w:val="0"/>
        <w:autoSpaceDN w:val="0"/>
        <w:adjustRightInd w:val="0"/>
        <w:jc w:val="both"/>
        <w:rPr>
          <w:rFonts w:cs="Arial"/>
          <w:szCs w:val="24"/>
        </w:rPr>
      </w:pPr>
      <w:r>
        <w:rPr>
          <w:rFonts w:cs="Arial"/>
          <w:szCs w:val="24"/>
        </w:rPr>
        <w:tab/>
        <w:t xml:space="preserve">The Authority finds that </w:t>
      </w:r>
      <w:r w:rsidR="005A4ADA">
        <w:rPr>
          <w:rFonts w:cs="Arial"/>
          <w:szCs w:val="24"/>
        </w:rPr>
        <w:t>Accounts</w:t>
      </w:r>
      <w:r>
        <w:rPr>
          <w:rFonts w:cs="Arial"/>
          <w:szCs w:val="24"/>
        </w:rPr>
        <w:t xml:space="preserve"> 371 and 372 are linked to the </w:t>
      </w:r>
      <w:r w:rsidR="00CB0057">
        <w:rPr>
          <w:rFonts w:cs="Arial"/>
          <w:szCs w:val="24"/>
        </w:rPr>
        <w:t xml:space="preserve">costs for </w:t>
      </w:r>
      <w:r>
        <w:rPr>
          <w:rFonts w:cs="Arial"/>
          <w:szCs w:val="24"/>
        </w:rPr>
        <w:t>installation and equipment behind</w:t>
      </w:r>
      <w:r w:rsidRPr="004F74E7">
        <w:rPr>
          <w:rFonts w:cs="Arial"/>
          <w:szCs w:val="24"/>
        </w:rPr>
        <w:t xml:space="preserve"> the meter and, therefore, should </w:t>
      </w:r>
      <w:r w:rsidRPr="00CC6D82">
        <w:rPr>
          <w:rFonts w:cs="Arial"/>
          <w:szCs w:val="24"/>
        </w:rPr>
        <w:t xml:space="preserve">not </w:t>
      </w:r>
      <w:r w:rsidRPr="004F74E7">
        <w:rPr>
          <w:rFonts w:cs="Arial"/>
          <w:szCs w:val="24"/>
        </w:rPr>
        <w:t>be included in the MRCC calculation.</w:t>
      </w:r>
      <w:r w:rsidRPr="00D5722C">
        <w:rPr>
          <w:rFonts w:cs="Arial"/>
          <w:szCs w:val="24"/>
        </w:rPr>
        <w:t xml:space="preserve">  </w:t>
      </w:r>
      <w:r>
        <w:rPr>
          <w:rFonts w:cs="Arial"/>
          <w:szCs w:val="24"/>
        </w:rPr>
        <w:t>Account 373 is for street lighting, which does not apply to any of the statutory functions.  Account 374 is related to general distribution and is outside of the statutory functions.  Based on the aforementioned, t</w:t>
      </w:r>
      <w:r w:rsidRPr="008053D8">
        <w:rPr>
          <w:rFonts w:cs="Arial"/>
          <w:szCs w:val="24"/>
        </w:rPr>
        <w:t xml:space="preserve">he Authority </w:t>
      </w:r>
      <w:r>
        <w:rPr>
          <w:rFonts w:cs="Arial"/>
          <w:szCs w:val="24"/>
        </w:rPr>
        <w:t xml:space="preserve">determines that </w:t>
      </w:r>
      <w:r w:rsidR="005A4ADA">
        <w:rPr>
          <w:rFonts w:cs="Arial"/>
          <w:szCs w:val="24"/>
        </w:rPr>
        <w:t>Accounts</w:t>
      </w:r>
      <w:r>
        <w:rPr>
          <w:rFonts w:cs="Arial"/>
          <w:szCs w:val="24"/>
        </w:rPr>
        <w:t xml:space="preserve"> 371 through 374 should be excluded from the MRCC calculation.</w:t>
      </w:r>
    </w:p>
    <w:p w14:paraId="291A9D60" w14:textId="77777777" w:rsidR="007A0456" w:rsidRDefault="007A0456" w:rsidP="007A0456">
      <w:pPr>
        <w:autoSpaceDE w:val="0"/>
        <w:autoSpaceDN w:val="0"/>
        <w:adjustRightInd w:val="0"/>
        <w:jc w:val="both"/>
        <w:rPr>
          <w:rFonts w:cs="Arial"/>
          <w:szCs w:val="24"/>
        </w:rPr>
      </w:pPr>
    </w:p>
    <w:p w14:paraId="7D144124" w14:textId="61D6EAC8" w:rsidR="007A0456" w:rsidRDefault="007A0456" w:rsidP="00E1092F">
      <w:pPr>
        <w:pStyle w:val="Heading4"/>
        <w:tabs>
          <w:tab w:val="clear" w:pos="2520"/>
          <w:tab w:val="num" w:pos="2160"/>
        </w:tabs>
        <w:ind w:left="1440"/>
      </w:pPr>
      <w:bookmarkStart w:id="66" w:name="_Toc499050492"/>
      <w:bookmarkStart w:id="67" w:name="_Toc501528280"/>
      <w:r>
        <w:t xml:space="preserve">General Plant </w:t>
      </w:r>
      <w:r w:rsidR="005A4ADA">
        <w:t>Accounts</w:t>
      </w:r>
      <w:r>
        <w:t xml:space="preserve"> 389-399.1</w:t>
      </w:r>
      <w:bookmarkEnd w:id="66"/>
      <w:bookmarkEnd w:id="67"/>
    </w:p>
    <w:p w14:paraId="0D13F70B" w14:textId="77777777" w:rsidR="007A0456" w:rsidRPr="00C0221E" w:rsidRDefault="007A0456" w:rsidP="007A0456">
      <w:pPr>
        <w:jc w:val="both"/>
      </w:pPr>
    </w:p>
    <w:p w14:paraId="51F9294D" w14:textId="77777777" w:rsidR="007A0456" w:rsidRDefault="007A0456" w:rsidP="007A0456">
      <w:pPr>
        <w:tabs>
          <w:tab w:val="left" w:pos="720"/>
        </w:tabs>
        <w:autoSpaceDE w:val="0"/>
        <w:autoSpaceDN w:val="0"/>
        <w:adjustRightInd w:val="0"/>
        <w:jc w:val="both"/>
        <w:rPr>
          <w:rFonts w:cs="Arial"/>
          <w:iCs/>
          <w:color w:val="000000"/>
          <w:szCs w:val="24"/>
        </w:rPr>
      </w:pPr>
      <w:r>
        <w:rPr>
          <w:rFonts w:cs="Arial"/>
          <w:iCs/>
          <w:color w:val="000000"/>
          <w:szCs w:val="24"/>
        </w:rPr>
        <w:tab/>
      </w:r>
      <w:r w:rsidRPr="00DE340B">
        <w:rPr>
          <w:rFonts w:cs="Arial"/>
          <w:iCs/>
          <w:color w:val="000000"/>
          <w:szCs w:val="24"/>
        </w:rPr>
        <w:t xml:space="preserve">General Plant is recorded in the </w:t>
      </w:r>
      <w:r>
        <w:rPr>
          <w:rFonts w:cs="Arial"/>
          <w:iCs/>
          <w:color w:val="000000"/>
          <w:szCs w:val="24"/>
        </w:rPr>
        <w:t>FERC Accounts</w:t>
      </w:r>
      <w:r w:rsidRPr="00DE340B">
        <w:rPr>
          <w:rFonts w:cs="Arial"/>
          <w:iCs/>
          <w:color w:val="000000"/>
          <w:szCs w:val="24"/>
        </w:rPr>
        <w:t xml:space="preserve"> as follows:</w:t>
      </w:r>
    </w:p>
    <w:p w14:paraId="5EB253AD" w14:textId="77777777" w:rsidR="007A0456" w:rsidRPr="00DE340B" w:rsidRDefault="007A0456" w:rsidP="007A0456">
      <w:pPr>
        <w:tabs>
          <w:tab w:val="left" w:pos="720"/>
        </w:tabs>
        <w:autoSpaceDE w:val="0"/>
        <w:autoSpaceDN w:val="0"/>
        <w:adjustRightInd w:val="0"/>
        <w:jc w:val="both"/>
        <w:rPr>
          <w:rFonts w:cs="Arial"/>
          <w:iCs/>
          <w:color w:val="000000"/>
          <w:szCs w:val="24"/>
        </w:rPr>
      </w:pPr>
    </w:p>
    <w:p w14:paraId="7A40F27B" w14:textId="5A674ADF"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5C4991">
        <w:rPr>
          <w:rFonts w:cs="Arial"/>
          <w:color w:val="000000"/>
          <w:szCs w:val="24"/>
        </w:rPr>
        <w:t xml:space="preserve">389, </w:t>
      </w:r>
      <w:r w:rsidRPr="005C4991">
        <w:rPr>
          <w:rFonts w:cs="Arial"/>
          <w:szCs w:val="24"/>
          <w:u w:val="single"/>
        </w:rPr>
        <w:t>Land and Land Rights</w:t>
      </w:r>
      <w:r w:rsidR="00CB0057">
        <w:rPr>
          <w:rFonts w:cs="Arial"/>
          <w:szCs w:val="24"/>
        </w:rPr>
        <w:t xml:space="preserve">, </w:t>
      </w:r>
      <w:r w:rsidRPr="005C4991">
        <w:rPr>
          <w:rFonts w:cs="Arial"/>
          <w:szCs w:val="24"/>
        </w:rPr>
        <w:t>inc</w:t>
      </w:r>
      <w:r>
        <w:rPr>
          <w:rFonts w:cs="Arial"/>
          <w:szCs w:val="24"/>
        </w:rPr>
        <w:t>l</w:t>
      </w:r>
      <w:r w:rsidRPr="005C4991">
        <w:rPr>
          <w:rFonts w:cs="Arial"/>
          <w:szCs w:val="24"/>
        </w:rPr>
        <w:t xml:space="preserve">udes the cost of </w:t>
      </w:r>
      <w:r>
        <w:rPr>
          <w:rFonts w:cs="Arial"/>
          <w:szCs w:val="24"/>
        </w:rPr>
        <w:t xml:space="preserve">land and land rights used for utility purposes, the cost of which is not properly includable in other land and land rights accounts. </w:t>
      </w:r>
    </w:p>
    <w:p w14:paraId="28A34256" w14:textId="77777777" w:rsidR="007A0456" w:rsidRPr="005C4991"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lastRenderedPageBreak/>
        <w:t xml:space="preserve">Account </w:t>
      </w:r>
      <w:r w:rsidRPr="005C4991">
        <w:rPr>
          <w:rFonts w:cs="Arial"/>
          <w:color w:val="000000"/>
          <w:szCs w:val="24"/>
        </w:rPr>
        <w:t>3</w:t>
      </w:r>
      <w:r>
        <w:rPr>
          <w:rFonts w:cs="Arial"/>
          <w:color w:val="000000"/>
          <w:szCs w:val="24"/>
        </w:rPr>
        <w:t>90</w:t>
      </w:r>
      <w:bookmarkStart w:id="68" w:name="_Hlk498575714"/>
      <w:r w:rsidRPr="005C4991">
        <w:rPr>
          <w:rFonts w:cs="Arial"/>
          <w:color w:val="000000"/>
          <w:szCs w:val="24"/>
        </w:rPr>
        <w:t xml:space="preserve">, </w:t>
      </w:r>
      <w:r>
        <w:rPr>
          <w:rFonts w:cs="Arial"/>
          <w:szCs w:val="24"/>
          <w:u w:val="single"/>
        </w:rPr>
        <w:t>Structures and Improvements</w:t>
      </w:r>
      <w:bookmarkEnd w:id="68"/>
      <w:r>
        <w:rPr>
          <w:rFonts w:cs="Arial"/>
          <w:szCs w:val="24"/>
        </w:rPr>
        <w:t>, includes</w:t>
      </w:r>
      <w:r w:rsidRPr="005C4991">
        <w:rPr>
          <w:rFonts w:cs="Arial"/>
          <w:szCs w:val="24"/>
        </w:rPr>
        <w:t xml:space="preserve"> the cost </w:t>
      </w:r>
      <w:r>
        <w:rPr>
          <w:rFonts w:cs="Arial"/>
          <w:szCs w:val="24"/>
        </w:rPr>
        <w:t xml:space="preserve">in place of structures and improvements used for utility purposes, the cost of which is not properly includable in other structures and improvements accounts. </w:t>
      </w:r>
    </w:p>
    <w:p w14:paraId="1A349537" w14:textId="77777777" w:rsidR="007A0456" w:rsidRPr="008053D8"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Account 391</w:t>
      </w:r>
      <w:r w:rsidRPr="008053D8">
        <w:rPr>
          <w:rFonts w:cs="Arial"/>
          <w:color w:val="000000"/>
          <w:szCs w:val="24"/>
        </w:rPr>
        <w:t xml:space="preserve">, </w:t>
      </w:r>
      <w:r>
        <w:rPr>
          <w:rFonts w:cs="Arial"/>
          <w:szCs w:val="24"/>
          <w:u w:val="single"/>
        </w:rPr>
        <w:t>Office Furniture and Equipment</w:t>
      </w:r>
      <w:r>
        <w:rPr>
          <w:rFonts w:cs="Arial"/>
          <w:szCs w:val="24"/>
        </w:rPr>
        <w:t>, includes</w:t>
      </w:r>
      <w:r w:rsidRPr="008053D8">
        <w:rPr>
          <w:rFonts w:cs="Arial"/>
          <w:szCs w:val="24"/>
        </w:rPr>
        <w:t xml:space="preserve"> the cost </w:t>
      </w:r>
      <w:r>
        <w:rPr>
          <w:rFonts w:cs="Arial"/>
          <w:szCs w:val="24"/>
        </w:rPr>
        <w:t xml:space="preserve">of office furniture and equipment owned by the utility and devoted to utility service, except the cost of such furniture which the utility elects to assign to other plant accounts on a functional basis. </w:t>
      </w:r>
    </w:p>
    <w:p w14:paraId="6E4D2CC1" w14:textId="77777777"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Account 392</w:t>
      </w:r>
      <w:r w:rsidRPr="008053D8">
        <w:rPr>
          <w:rFonts w:cs="Arial"/>
          <w:color w:val="000000"/>
          <w:szCs w:val="24"/>
        </w:rPr>
        <w:t xml:space="preserve">, </w:t>
      </w:r>
      <w:r>
        <w:rPr>
          <w:rFonts w:cs="Arial"/>
          <w:szCs w:val="24"/>
          <w:u w:val="single"/>
        </w:rPr>
        <w:t>Transportation Equipment</w:t>
      </w:r>
      <w:r>
        <w:rPr>
          <w:rFonts w:cs="Arial"/>
          <w:szCs w:val="24"/>
        </w:rPr>
        <w:t>, includes</w:t>
      </w:r>
      <w:r w:rsidRPr="008053D8">
        <w:rPr>
          <w:rFonts w:cs="Arial"/>
          <w:szCs w:val="24"/>
        </w:rPr>
        <w:t xml:space="preserve"> </w:t>
      </w:r>
      <w:r>
        <w:rPr>
          <w:rFonts w:cs="Arial"/>
          <w:szCs w:val="24"/>
        </w:rPr>
        <w:t xml:space="preserve">the cost of transportation vehicles for utility purposes. </w:t>
      </w:r>
    </w:p>
    <w:p w14:paraId="21BAD6C9" w14:textId="77777777"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93</w:t>
      </w:r>
      <w:r w:rsidRPr="008053D8">
        <w:rPr>
          <w:rFonts w:cs="Arial"/>
          <w:color w:val="000000"/>
          <w:szCs w:val="24"/>
        </w:rPr>
        <w:t xml:space="preserve">, </w:t>
      </w:r>
      <w:r>
        <w:rPr>
          <w:rFonts w:cs="Arial"/>
          <w:szCs w:val="24"/>
          <w:u w:val="single"/>
        </w:rPr>
        <w:t>Stores Equipment</w:t>
      </w:r>
      <w:r>
        <w:rPr>
          <w:rFonts w:cs="Arial"/>
          <w:szCs w:val="24"/>
        </w:rPr>
        <w:t>, includes</w:t>
      </w:r>
      <w:r w:rsidRPr="008053D8">
        <w:rPr>
          <w:rFonts w:cs="Arial"/>
          <w:szCs w:val="24"/>
        </w:rPr>
        <w:t xml:space="preserve"> </w:t>
      </w:r>
      <w:r>
        <w:rPr>
          <w:rFonts w:cs="Arial"/>
          <w:szCs w:val="24"/>
        </w:rPr>
        <w:t xml:space="preserve">the cost of equipment used for the receiving, shipping, handling and storage of materials and supplies. </w:t>
      </w:r>
    </w:p>
    <w:p w14:paraId="17CE9B70" w14:textId="77777777"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94</w:t>
      </w:r>
      <w:r w:rsidRPr="008053D8">
        <w:rPr>
          <w:rFonts w:cs="Arial"/>
          <w:color w:val="000000"/>
          <w:szCs w:val="24"/>
        </w:rPr>
        <w:t xml:space="preserve">, </w:t>
      </w:r>
      <w:r>
        <w:rPr>
          <w:rFonts w:cs="Arial"/>
          <w:szCs w:val="24"/>
          <w:u w:val="single"/>
        </w:rPr>
        <w:t>Tools, Shop and Garage Equipment</w:t>
      </w:r>
      <w:r>
        <w:rPr>
          <w:rFonts w:cs="Arial"/>
          <w:szCs w:val="24"/>
        </w:rPr>
        <w:t xml:space="preserve">, includes the cost of tools, implements and equipment used in construction, repair work, general shops and garages and not specifically provided for or includible in other accounts. </w:t>
      </w:r>
      <w:r w:rsidRPr="008053D8">
        <w:rPr>
          <w:rFonts w:cs="Arial"/>
          <w:szCs w:val="24"/>
        </w:rPr>
        <w:t xml:space="preserve"> </w:t>
      </w:r>
    </w:p>
    <w:p w14:paraId="6C2DD6ED" w14:textId="77777777"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95</w:t>
      </w:r>
      <w:r w:rsidRPr="008053D8">
        <w:rPr>
          <w:rFonts w:cs="Arial"/>
          <w:color w:val="000000"/>
          <w:szCs w:val="24"/>
        </w:rPr>
        <w:t xml:space="preserve">, </w:t>
      </w:r>
      <w:r>
        <w:rPr>
          <w:rFonts w:cs="Arial"/>
          <w:szCs w:val="24"/>
          <w:u w:val="single"/>
        </w:rPr>
        <w:t>Laboratory Equipment</w:t>
      </w:r>
      <w:r>
        <w:rPr>
          <w:rFonts w:cs="Arial"/>
          <w:szCs w:val="24"/>
        </w:rPr>
        <w:t xml:space="preserve">, includes the cost installed of laboratory equipment used for general laboratory purposes and not generally provided for in other accounts. </w:t>
      </w:r>
    </w:p>
    <w:p w14:paraId="359B27A0" w14:textId="77777777" w:rsidR="007A0456" w:rsidRPr="00FB26E9"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96</w:t>
      </w:r>
      <w:r w:rsidRPr="008053D8">
        <w:rPr>
          <w:rFonts w:cs="Arial"/>
          <w:color w:val="000000"/>
          <w:szCs w:val="24"/>
        </w:rPr>
        <w:t xml:space="preserve">, </w:t>
      </w:r>
      <w:r>
        <w:rPr>
          <w:rFonts w:cs="Arial"/>
          <w:szCs w:val="24"/>
          <w:u w:val="single"/>
        </w:rPr>
        <w:t>Power Operated Equipment</w:t>
      </w:r>
      <w:r>
        <w:rPr>
          <w:rFonts w:cs="Arial"/>
          <w:szCs w:val="24"/>
        </w:rPr>
        <w:t>, includes</w:t>
      </w:r>
      <w:r w:rsidRPr="008053D8">
        <w:rPr>
          <w:rFonts w:cs="Arial"/>
          <w:szCs w:val="24"/>
        </w:rPr>
        <w:t xml:space="preserve"> </w:t>
      </w:r>
      <w:r>
        <w:rPr>
          <w:rFonts w:cs="Arial"/>
          <w:szCs w:val="24"/>
        </w:rPr>
        <w:t xml:space="preserve">the cost of power equipment used in the construction or repair work exclusive of equipment includable in other accounts. </w:t>
      </w:r>
      <w:r w:rsidRPr="00FB26E9">
        <w:rPr>
          <w:rFonts w:cs="Arial"/>
          <w:szCs w:val="24"/>
        </w:rPr>
        <w:t xml:space="preserve"> </w:t>
      </w:r>
    </w:p>
    <w:p w14:paraId="1C4C03C3" w14:textId="77777777"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97</w:t>
      </w:r>
      <w:r w:rsidRPr="008053D8">
        <w:rPr>
          <w:rFonts w:cs="Arial"/>
          <w:color w:val="000000"/>
          <w:szCs w:val="24"/>
        </w:rPr>
        <w:t xml:space="preserve">, </w:t>
      </w:r>
      <w:r>
        <w:rPr>
          <w:rFonts w:cs="Arial"/>
          <w:szCs w:val="24"/>
          <w:u w:val="single"/>
        </w:rPr>
        <w:t>Communication Equipment</w:t>
      </w:r>
      <w:r>
        <w:rPr>
          <w:rFonts w:cs="Arial"/>
          <w:szCs w:val="24"/>
        </w:rPr>
        <w:t>, includes</w:t>
      </w:r>
      <w:r w:rsidRPr="008053D8">
        <w:rPr>
          <w:rFonts w:cs="Arial"/>
          <w:szCs w:val="24"/>
        </w:rPr>
        <w:t xml:space="preserve"> </w:t>
      </w:r>
      <w:r>
        <w:rPr>
          <w:rFonts w:cs="Arial"/>
          <w:szCs w:val="24"/>
        </w:rPr>
        <w:t xml:space="preserve">the cost installed of telephone, telegraph and wireless equipment for general use in connection with utility operations. </w:t>
      </w:r>
    </w:p>
    <w:p w14:paraId="2B391321" w14:textId="77777777" w:rsidR="007A0456"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98</w:t>
      </w:r>
      <w:r w:rsidRPr="008053D8">
        <w:rPr>
          <w:rFonts w:cs="Arial"/>
          <w:color w:val="000000"/>
          <w:szCs w:val="24"/>
        </w:rPr>
        <w:t xml:space="preserve">, </w:t>
      </w:r>
      <w:r>
        <w:rPr>
          <w:rFonts w:cs="Arial"/>
          <w:szCs w:val="24"/>
          <w:u w:val="single"/>
        </w:rPr>
        <w:t>Miscellaneous Equipment</w:t>
      </w:r>
      <w:r>
        <w:rPr>
          <w:rFonts w:cs="Arial"/>
          <w:szCs w:val="24"/>
        </w:rPr>
        <w:t>, includes</w:t>
      </w:r>
      <w:r w:rsidRPr="008053D8">
        <w:rPr>
          <w:rFonts w:cs="Arial"/>
          <w:szCs w:val="24"/>
        </w:rPr>
        <w:t xml:space="preserve"> </w:t>
      </w:r>
      <w:r>
        <w:rPr>
          <w:rFonts w:cs="Arial"/>
          <w:szCs w:val="24"/>
        </w:rPr>
        <w:t xml:space="preserve">the cost of equipment, apparatus, etc., used in the utility operations, which is not includable in any other account. </w:t>
      </w:r>
    </w:p>
    <w:p w14:paraId="479F90CF" w14:textId="77777777" w:rsidR="007A0456" w:rsidRPr="00287D08" w:rsidRDefault="007A0456" w:rsidP="007E4DE4">
      <w:pPr>
        <w:pStyle w:val="ListParagraph"/>
        <w:numPr>
          <w:ilvl w:val="0"/>
          <w:numId w:val="6"/>
        </w:numPr>
        <w:tabs>
          <w:tab w:val="left" w:pos="1440"/>
        </w:tabs>
        <w:autoSpaceDE w:val="0"/>
        <w:autoSpaceDN w:val="0"/>
        <w:adjustRightInd w:val="0"/>
        <w:spacing w:after="120"/>
        <w:ind w:left="1080"/>
        <w:contextualSpacing w:val="0"/>
        <w:jc w:val="both"/>
        <w:rPr>
          <w:rFonts w:cs="Arial"/>
          <w:szCs w:val="24"/>
        </w:rPr>
      </w:pPr>
      <w:r>
        <w:rPr>
          <w:rFonts w:cs="Arial"/>
          <w:color w:val="000000"/>
          <w:szCs w:val="24"/>
        </w:rPr>
        <w:t xml:space="preserve">Account </w:t>
      </w:r>
      <w:r w:rsidRPr="008053D8">
        <w:rPr>
          <w:rFonts w:cs="Arial"/>
          <w:color w:val="000000"/>
          <w:szCs w:val="24"/>
        </w:rPr>
        <w:t>3</w:t>
      </w:r>
      <w:r>
        <w:rPr>
          <w:rFonts w:cs="Arial"/>
          <w:color w:val="000000"/>
          <w:szCs w:val="24"/>
        </w:rPr>
        <w:t>99</w:t>
      </w:r>
      <w:r w:rsidRPr="008053D8">
        <w:rPr>
          <w:rFonts w:cs="Arial"/>
          <w:color w:val="000000"/>
          <w:szCs w:val="24"/>
        </w:rPr>
        <w:t xml:space="preserve">, </w:t>
      </w:r>
      <w:r>
        <w:rPr>
          <w:rFonts w:cs="Arial"/>
          <w:szCs w:val="24"/>
          <w:u w:val="single"/>
        </w:rPr>
        <w:t>Other Tangible Property</w:t>
      </w:r>
      <w:r>
        <w:rPr>
          <w:rFonts w:cs="Arial"/>
          <w:szCs w:val="24"/>
        </w:rPr>
        <w:t>, includes</w:t>
      </w:r>
      <w:r w:rsidRPr="008053D8">
        <w:rPr>
          <w:rFonts w:cs="Arial"/>
          <w:szCs w:val="24"/>
        </w:rPr>
        <w:t xml:space="preserve"> </w:t>
      </w:r>
      <w:r>
        <w:rPr>
          <w:rFonts w:cs="Arial"/>
          <w:szCs w:val="24"/>
        </w:rPr>
        <w:t xml:space="preserve">the cost of tangible utility plant not provided for elsewhere. </w:t>
      </w:r>
    </w:p>
    <w:p w14:paraId="4F833B67" w14:textId="77777777" w:rsidR="007A0456" w:rsidRPr="00E47412" w:rsidRDefault="007A0456" w:rsidP="007E4DE4">
      <w:pPr>
        <w:pStyle w:val="ListParagraph"/>
        <w:numPr>
          <w:ilvl w:val="0"/>
          <w:numId w:val="6"/>
        </w:numPr>
        <w:tabs>
          <w:tab w:val="left" w:pos="1440"/>
        </w:tabs>
        <w:autoSpaceDE w:val="0"/>
        <w:autoSpaceDN w:val="0"/>
        <w:adjustRightInd w:val="0"/>
        <w:ind w:left="1080"/>
        <w:contextualSpacing w:val="0"/>
        <w:jc w:val="both"/>
        <w:rPr>
          <w:rFonts w:cs="Arial"/>
          <w:color w:val="000000"/>
          <w:szCs w:val="24"/>
        </w:rPr>
      </w:pPr>
      <w:r w:rsidRPr="00E47412">
        <w:rPr>
          <w:rFonts w:cs="Arial"/>
          <w:color w:val="000000"/>
          <w:szCs w:val="24"/>
        </w:rPr>
        <w:t xml:space="preserve">Account 399.1, </w:t>
      </w:r>
      <w:r w:rsidRPr="00E1092F">
        <w:rPr>
          <w:rFonts w:cs="Arial"/>
          <w:color w:val="000000"/>
          <w:szCs w:val="24"/>
          <w:u w:val="single"/>
        </w:rPr>
        <w:t>Asset Retirement Costs for General Plant</w:t>
      </w:r>
      <w:r w:rsidRPr="00E47412">
        <w:rPr>
          <w:rFonts w:cs="Arial"/>
          <w:color w:val="000000"/>
          <w:szCs w:val="24"/>
        </w:rPr>
        <w:t xml:space="preserve">, includes asset retirement costs on plant included in the general plant function. </w:t>
      </w:r>
    </w:p>
    <w:p w14:paraId="788AAEF6" w14:textId="77777777" w:rsidR="007A0456" w:rsidRPr="000D3BD6" w:rsidRDefault="007A0456" w:rsidP="007A0456">
      <w:pPr>
        <w:pStyle w:val="ListParagraph"/>
        <w:tabs>
          <w:tab w:val="left" w:pos="1440"/>
        </w:tabs>
        <w:autoSpaceDE w:val="0"/>
        <w:autoSpaceDN w:val="0"/>
        <w:adjustRightInd w:val="0"/>
        <w:ind w:left="1170"/>
        <w:jc w:val="both"/>
        <w:rPr>
          <w:rFonts w:cs="Arial"/>
          <w:szCs w:val="24"/>
        </w:rPr>
      </w:pPr>
    </w:p>
    <w:p w14:paraId="7B671DAE" w14:textId="4C3B12D7" w:rsidR="007A0456" w:rsidRPr="000D3BD6" w:rsidRDefault="007A0456" w:rsidP="007A0456">
      <w:pPr>
        <w:pStyle w:val="NoSpacing"/>
        <w:jc w:val="both"/>
        <w:rPr>
          <w:rFonts w:ascii="Arial" w:hAnsi="Arial" w:cs="Arial"/>
          <w:sz w:val="24"/>
          <w:szCs w:val="24"/>
        </w:rPr>
      </w:pPr>
      <w:r w:rsidRPr="000D3BD6">
        <w:rPr>
          <w:rFonts w:ascii="Arial" w:hAnsi="Arial" w:cs="Arial"/>
          <w:sz w:val="24"/>
          <w:szCs w:val="24"/>
        </w:rPr>
        <w:tab/>
        <w:t xml:space="preserve">Under its proposed fully allocated cost study, UI included costs for General Plant </w:t>
      </w:r>
      <w:r w:rsidR="005A4ADA">
        <w:rPr>
          <w:rFonts w:ascii="Arial" w:hAnsi="Arial" w:cs="Arial"/>
          <w:sz w:val="24"/>
          <w:szCs w:val="24"/>
        </w:rPr>
        <w:t>Accounts</w:t>
      </w:r>
      <w:r w:rsidRPr="000D3BD6">
        <w:rPr>
          <w:rFonts w:ascii="Arial" w:hAnsi="Arial" w:cs="Arial"/>
          <w:sz w:val="24"/>
          <w:szCs w:val="24"/>
        </w:rPr>
        <w:t xml:space="preserve"> 389 through 395, 397, and 398 did not include costs for </w:t>
      </w:r>
      <w:r w:rsidR="005A4ADA">
        <w:rPr>
          <w:rFonts w:ascii="Arial" w:hAnsi="Arial" w:cs="Arial"/>
          <w:sz w:val="24"/>
          <w:szCs w:val="24"/>
        </w:rPr>
        <w:t>Accounts</w:t>
      </w:r>
      <w:r w:rsidRPr="000D3BD6">
        <w:rPr>
          <w:rFonts w:ascii="Arial" w:hAnsi="Arial" w:cs="Arial"/>
          <w:sz w:val="24"/>
          <w:szCs w:val="24"/>
        </w:rPr>
        <w:t xml:space="preserve"> 399 and 399.1.  Under its proposed direct assignment methodology, UI included costs for </w:t>
      </w:r>
      <w:r w:rsidR="005A4ADA">
        <w:rPr>
          <w:rFonts w:ascii="Arial" w:hAnsi="Arial" w:cs="Arial"/>
          <w:sz w:val="24"/>
          <w:szCs w:val="24"/>
        </w:rPr>
        <w:t>Accounts</w:t>
      </w:r>
      <w:r w:rsidRPr="000D3BD6">
        <w:rPr>
          <w:rFonts w:ascii="Arial" w:hAnsi="Arial" w:cs="Arial"/>
          <w:sz w:val="24"/>
          <w:szCs w:val="24"/>
        </w:rPr>
        <w:t xml:space="preserve"> 390 through 392, 397 and 398 and had zero costs for </w:t>
      </w:r>
      <w:r w:rsidR="005A4ADA">
        <w:rPr>
          <w:rFonts w:ascii="Arial" w:hAnsi="Arial" w:cs="Arial"/>
          <w:sz w:val="24"/>
          <w:szCs w:val="24"/>
        </w:rPr>
        <w:t>Accounts</w:t>
      </w:r>
      <w:r w:rsidRPr="000D3BD6">
        <w:rPr>
          <w:rFonts w:ascii="Arial" w:hAnsi="Arial" w:cs="Arial"/>
          <w:sz w:val="24"/>
          <w:szCs w:val="24"/>
        </w:rPr>
        <w:t xml:space="preserve"> 393, 394, and 398.  Response to Late Filed Exhibit No. 3, Supplement 2.</w:t>
      </w:r>
    </w:p>
    <w:p w14:paraId="3DEAA867" w14:textId="77777777" w:rsidR="007A0456" w:rsidRPr="000D3BD6" w:rsidRDefault="007A0456" w:rsidP="007A0456">
      <w:pPr>
        <w:pStyle w:val="NoSpacing"/>
        <w:jc w:val="both"/>
        <w:rPr>
          <w:rFonts w:ascii="Arial" w:hAnsi="Arial" w:cs="Arial"/>
          <w:sz w:val="24"/>
          <w:szCs w:val="24"/>
        </w:rPr>
      </w:pPr>
    </w:p>
    <w:p w14:paraId="6E4B4B8F" w14:textId="5AC46AEF" w:rsidR="007A0456" w:rsidRDefault="007A0456" w:rsidP="007A0456">
      <w:pPr>
        <w:pStyle w:val="NoSpacing"/>
        <w:jc w:val="both"/>
        <w:rPr>
          <w:rFonts w:ascii="Arial" w:hAnsi="Arial" w:cs="Arial"/>
          <w:sz w:val="24"/>
          <w:szCs w:val="24"/>
        </w:rPr>
      </w:pPr>
      <w:r>
        <w:rPr>
          <w:rFonts w:ascii="Arial" w:hAnsi="Arial" w:cs="Arial"/>
          <w:color w:val="000000"/>
          <w:sz w:val="24"/>
          <w:szCs w:val="24"/>
        </w:rPr>
        <w:tab/>
        <w:t>CL&amp;P</w:t>
      </w:r>
      <w:r w:rsidRPr="008053D8">
        <w:rPr>
          <w:rFonts w:ascii="Arial" w:hAnsi="Arial" w:cs="Arial"/>
          <w:color w:val="000000"/>
          <w:sz w:val="24"/>
          <w:szCs w:val="24"/>
        </w:rPr>
        <w:t xml:space="preserve"> proposed that </w:t>
      </w:r>
      <w:r>
        <w:rPr>
          <w:rFonts w:ascii="Arial" w:hAnsi="Arial" w:cs="Arial"/>
          <w:sz w:val="24"/>
          <w:szCs w:val="24"/>
        </w:rPr>
        <w:t>c</w:t>
      </w:r>
      <w:r w:rsidRPr="008053D8">
        <w:rPr>
          <w:rFonts w:ascii="Arial" w:hAnsi="Arial" w:cs="Arial"/>
          <w:sz w:val="24"/>
          <w:szCs w:val="24"/>
        </w:rPr>
        <w:t xml:space="preserve">ustomer related costs included in </w:t>
      </w:r>
      <w:r w:rsidR="005A4ADA">
        <w:rPr>
          <w:rFonts w:ascii="Arial" w:hAnsi="Arial" w:cs="Arial"/>
          <w:sz w:val="24"/>
          <w:szCs w:val="24"/>
        </w:rPr>
        <w:t>Accounts</w:t>
      </w:r>
      <w:r>
        <w:rPr>
          <w:rFonts w:ascii="Arial" w:hAnsi="Arial" w:cs="Arial"/>
          <w:sz w:val="24"/>
          <w:szCs w:val="24"/>
        </w:rPr>
        <w:t xml:space="preserve"> </w:t>
      </w:r>
      <w:r w:rsidRPr="008053D8">
        <w:rPr>
          <w:rFonts w:ascii="Arial" w:hAnsi="Arial" w:cs="Arial"/>
          <w:sz w:val="24"/>
          <w:szCs w:val="24"/>
        </w:rPr>
        <w:t>389</w:t>
      </w:r>
      <w:r>
        <w:rPr>
          <w:rFonts w:ascii="Arial" w:hAnsi="Arial" w:cs="Arial"/>
          <w:sz w:val="24"/>
          <w:szCs w:val="24"/>
        </w:rPr>
        <w:t xml:space="preserve"> through </w:t>
      </w:r>
      <w:r w:rsidRPr="008053D8">
        <w:rPr>
          <w:rFonts w:ascii="Arial" w:hAnsi="Arial" w:cs="Arial"/>
          <w:sz w:val="24"/>
          <w:szCs w:val="24"/>
        </w:rPr>
        <w:t>39</w:t>
      </w:r>
      <w:r>
        <w:rPr>
          <w:rFonts w:ascii="Arial" w:hAnsi="Arial" w:cs="Arial"/>
          <w:sz w:val="24"/>
          <w:szCs w:val="24"/>
        </w:rPr>
        <w:t>8</w:t>
      </w:r>
      <w:r w:rsidRPr="008053D8">
        <w:rPr>
          <w:rFonts w:ascii="Arial" w:hAnsi="Arial" w:cs="Arial"/>
          <w:sz w:val="24"/>
          <w:szCs w:val="24"/>
        </w:rPr>
        <w:t xml:space="preserve"> be included in the MRCC</w:t>
      </w:r>
      <w:r>
        <w:rPr>
          <w:rFonts w:ascii="Arial" w:hAnsi="Arial" w:cs="Arial"/>
          <w:sz w:val="24"/>
          <w:szCs w:val="24"/>
        </w:rPr>
        <w:t xml:space="preserve"> calculation</w:t>
      </w:r>
      <w:r w:rsidRPr="008053D8">
        <w:rPr>
          <w:rFonts w:ascii="Arial" w:hAnsi="Arial" w:cs="Arial"/>
          <w:sz w:val="24"/>
          <w:szCs w:val="24"/>
        </w:rPr>
        <w:t>.  W</w:t>
      </w:r>
      <w:r>
        <w:rPr>
          <w:rFonts w:ascii="Arial" w:hAnsi="Arial" w:cs="Arial"/>
          <w:sz w:val="24"/>
          <w:szCs w:val="24"/>
        </w:rPr>
        <w:t xml:space="preserve">ritten </w:t>
      </w:r>
      <w:r w:rsidRPr="008053D8">
        <w:rPr>
          <w:rFonts w:ascii="Arial" w:hAnsi="Arial" w:cs="Arial"/>
          <w:sz w:val="24"/>
          <w:szCs w:val="24"/>
        </w:rPr>
        <w:t>C</w:t>
      </w:r>
      <w:r>
        <w:rPr>
          <w:rFonts w:ascii="Arial" w:hAnsi="Arial" w:cs="Arial"/>
          <w:sz w:val="24"/>
          <w:szCs w:val="24"/>
        </w:rPr>
        <w:t>omments,</w:t>
      </w:r>
      <w:r w:rsidRPr="008053D8">
        <w:rPr>
          <w:rFonts w:ascii="Arial" w:hAnsi="Arial" w:cs="Arial"/>
          <w:sz w:val="24"/>
          <w:szCs w:val="24"/>
        </w:rPr>
        <w:t xml:space="preserve"> p. 1</w:t>
      </w:r>
      <w:r>
        <w:rPr>
          <w:rFonts w:ascii="Arial" w:hAnsi="Arial" w:cs="Arial"/>
          <w:sz w:val="24"/>
          <w:szCs w:val="24"/>
        </w:rPr>
        <w:t>; Late Filed Exhibit No. 9, Attachment 1, p.</w:t>
      </w:r>
      <w:r w:rsidR="00A147B3">
        <w:rPr>
          <w:rFonts w:ascii="Arial" w:hAnsi="Arial" w:cs="Arial"/>
          <w:sz w:val="24"/>
          <w:szCs w:val="24"/>
        </w:rPr>
        <w:t xml:space="preserve"> </w:t>
      </w:r>
      <w:r>
        <w:rPr>
          <w:rFonts w:ascii="Arial" w:hAnsi="Arial" w:cs="Arial"/>
          <w:sz w:val="24"/>
          <w:szCs w:val="24"/>
        </w:rPr>
        <w:t xml:space="preserve">1. </w:t>
      </w:r>
    </w:p>
    <w:p w14:paraId="599EAC7A" w14:textId="77777777" w:rsidR="007A0456" w:rsidRPr="000D3BD6" w:rsidRDefault="007A0456" w:rsidP="007A0456">
      <w:pPr>
        <w:pStyle w:val="NoSpacing"/>
        <w:jc w:val="both"/>
        <w:rPr>
          <w:rFonts w:ascii="Arial" w:hAnsi="Arial" w:cs="Arial"/>
          <w:sz w:val="24"/>
          <w:szCs w:val="24"/>
        </w:rPr>
      </w:pPr>
    </w:p>
    <w:p w14:paraId="374BA428" w14:textId="0D3BCB86" w:rsidR="007A0456" w:rsidRPr="007153D3" w:rsidRDefault="007A0456" w:rsidP="007A0456">
      <w:pPr>
        <w:autoSpaceDE w:val="0"/>
        <w:autoSpaceDN w:val="0"/>
        <w:adjustRightInd w:val="0"/>
        <w:jc w:val="both"/>
        <w:rPr>
          <w:rFonts w:cs="Arial"/>
          <w:szCs w:val="24"/>
        </w:rPr>
      </w:pPr>
      <w:r w:rsidRPr="000D3BD6">
        <w:rPr>
          <w:rFonts w:cs="Arial"/>
          <w:szCs w:val="24"/>
        </w:rPr>
        <w:tab/>
        <w:t xml:space="preserve">The OCC provided a table identifying the accounts that were not in dispute between the Parties.  Specifically, the table listed accounts relevant to the statutory functions and recommended their inclusion in the MRCC calculation.  The OCC </w:t>
      </w:r>
      <w:r w:rsidRPr="000D3BD6">
        <w:rPr>
          <w:rFonts w:cs="Arial"/>
          <w:szCs w:val="24"/>
        </w:rPr>
        <w:lastRenderedPageBreak/>
        <w:t xml:space="preserve">identified </w:t>
      </w:r>
      <w:r w:rsidR="005A4ADA">
        <w:rPr>
          <w:rFonts w:cs="Arial"/>
          <w:szCs w:val="24"/>
        </w:rPr>
        <w:t>Accounts</w:t>
      </w:r>
      <w:r w:rsidRPr="000D3BD6">
        <w:rPr>
          <w:rFonts w:cs="Arial"/>
          <w:szCs w:val="24"/>
        </w:rPr>
        <w:t xml:space="preserve"> 391, 392, 394, 395, and 397 as includable accounts that were directly related to one or more statutory functions.  </w:t>
      </w:r>
      <w:r>
        <w:rPr>
          <w:rFonts w:cs="Arial"/>
          <w:szCs w:val="24"/>
        </w:rPr>
        <w:t xml:space="preserve">The OCC identified </w:t>
      </w:r>
      <w:r w:rsidR="005A4ADA">
        <w:rPr>
          <w:rFonts w:cs="Arial"/>
          <w:szCs w:val="24"/>
        </w:rPr>
        <w:t>Accounts</w:t>
      </w:r>
      <w:r>
        <w:rPr>
          <w:rFonts w:cs="Arial"/>
          <w:szCs w:val="24"/>
        </w:rPr>
        <w:t xml:space="preserve"> 389,</w:t>
      </w:r>
      <w:r>
        <w:rPr>
          <w:rFonts w:cs="Arial"/>
          <w:color w:val="000000"/>
          <w:szCs w:val="24"/>
        </w:rPr>
        <w:t xml:space="preserve"> </w:t>
      </w:r>
      <w:r w:rsidRPr="005C4991">
        <w:rPr>
          <w:rFonts w:cs="Arial"/>
          <w:color w:val="000000"/>
          <w:szCs w:val="24"/>
        </w:rPr>
        <w:t>3</w:t>
      </w:r>
      <w:r>
        <w:rPr>
          <w:rFonts w:cs="Arial"/>
          <w:color w:val="000000"/>
          <w:szCs w:val="24"/>
        </w:rPr>
        <w:t>90</w:t>
      </w:r>
      <w:r w:rsidRPr="005C4991">
        <w:rPr>
          <w:rFonts w:cs="Arial"/>
          <w:color w:val="000000"/>
          <w:szCs w:val="24"/>
        </w:rPr>
        <w:t xml:space="preserve">, </w:t>
      </w:r>
      <w:r>
        <w:rPr>
          <w:rFonts w:cs="Arial"/>
          <w:szCs w:val="24"/>
        </w:rPr>
        <w:t xml:space="preserve">and </w:t>
      </w:r>
      <w:r w:rsidRPr="008053D8">
        <w:rPr>
          <w:rFonts w:cs="Arial"/>
          <w:color w:val="000000"/>
          <w:szCs w:val="24"/>
        </w:rPr>
        <w:t>3</w:t>
      </w:r>
      <w:r>
        <w:rPr>
          <w:rFonts w:cs="Arial"/>
          <w:color w:val="000000"/>
          <w:szCs w:val="24"/>
        </w:rPr>
        <w:t>98 as accounts that the EDCs contend</w:t>
      </w:r>
      <w:r w:rsidR="00065964">
        <w:rPr>
          <w:rFonts w:cs="Arial"/>
          <w:color w:val="000000"/>
          <w:szCs w:val="24"/>
        </w:rPr>
        <w:t>ed</w:t>
      </w:r>
      <w:r>
        <w:rPr>
          <w:rFonts w:cs="Arial"/>
          <w:color w:val="000000"/>
          <w:szCs w:val="24"/>
        </w:rPr>
        <w:t xml:space="preserve"> should be included in the MRCC calculation.  These general plant accounts contain costs that are far removed from any customer-serving function.  </w:t>
      </w:r>
      <w:r w:rsidRPr="000D3BD6">
        <w:rPr>
          <w:rFonts w:cs="Arial"/>
          <w:szCs w:val="24"/>
        </w:rPr>
        <w:t>Brief, p</w:t>
      </w:r>
      <w:r>
        <w:rPr>
          <w:rFonts w:cs="Arial"/>
          <w:szCs w:val="24"/>
        </w:rPr>
        <w:t>p</w:t>
      </w:r>
      <w:r w:rsidRPr="000D3BD6">
        <w:rPr>
          <w:rFonts w:cs="Arial"/>
          <w:szCs w:val="24"/>
        </w:rPr>
        <w:t>. 11</w:t>
      </w:r>
      <w:r>
        <w:rPr>
          <w:rFonts w:cs="Arial"/>
          <w:szCs w:val="24"/>
        </w:rPr>
        <w:t xml:space="preserve">, </w:t>
      </w:r>
      <w:r>
        <w:rPr>
          <w:rFonts w:cs="Arial"/>
          <w:color w:val="000000"/>
          <w:szCs w:val="24"/>
        </w:rPr>
        <w:t>13 and 14.</w:t>
      </w:r>
    </w:p>
    <w:p w14:paraId="6BE55238" w14:textId="77777777" w:rsidR="007A0456" w:rsidRDefault="007A0456" w:rsidP="007A0456">
      <w:pPr>
        <w:pStyle w:val="NoSpacing"/>
        <w:jc w:val="both"/>
        <w:rPr>
          <w:rFonts w:ascii="Arial" w:hAnsi="Arial" w:cs="Arial"/>
          <w:sz w:val="24"/>
          <w:szCs w:val="24"/>
        </w:rPr>
      </w:pPr>
      <w:r>
        <w:rPr>
          <w:rFonts w:ascii="Arial" w:hAnsi="Arial" w:cs="Arial"/>
          <w:sz w:val="24"/>
          <w:szCs w:val="24"/>
        </w:rPr>
        <w:tab/>
      </w:r>
    </w:p>
    <w:p w14:paraId="57901751" w14:textId="4E896C2F" w:rsidR="007A0456" w:rsidRDefault="007A0456" w:rsidP="007A0456">
      <w:pPr>
        <w:pStyle w:val="NoSpacing"/>
        <w:ind w:firstLine="720"/>
        <w:jc w:val="both"/>
        <w:rPr>
          <w:rFonts w:ascii="Arial" w:hAnsi="Arial" w:cs="Arial"/>
          <w:color w:val="000000"/>
          <w:sz w:val="24"/>
          <w:szCs w:val="24"/>
        </w:rPr>
      </w:pPr>
      <w:r>
        <w:rPr>
          <w:rFonts w:ascii="Arial" w:hAnsi="Arial" w:cs="Arial"/>
          <w:sz w:val="24"/>
          <w:szCs w:val="24"/>
        </w:rPr>
        <w:t xml:space="preserve">The Authority determines that </w:t>
      </w:r>
      <w:r w:rsidR="005A4ADA">
        <w:rPr>
          <w:rFonts w:ascii="Arial" w:hAnsi="Arial" w:cs="Arial"/>
          <w:sz w:val="24"/>
          <w:szCs w:val="24"/>
        </w:rPr>
        <w:t>Accounts</w:t>
      </w:r>
      <w:r>
        <w:rPr>
          <w:rFonts w:ascii="Arial" w:hAnsi="Arial" w:cs="Arial"/>
          <w:sz w:val="24"/>
          <w:szCs w:val="24"/>
        </w:rPr>
        <w:t xml:space="preserve"> 391 through 399.1 may contain some costs that are directly related to the statutory functions.  The Companies must include only costs that are necessary for employees to perform their jobs and that are integral to the statutory</w:t>
      </w:r>
      <w:r w:rsidR="004B09A5">
        <w:rPr>
          <w:rFonts w:ascii="Arial" w:hAnsi="Arial" w:cs="Arial"/>
          <w:sz w:val="24"/>
          <w:szCs w:val="24"/>
        </w:rPr>
        <w:t xml:space="preserve"> functions.</w:t>
      </w:r>
      <w:r>
        <w:rPr>
          <w:rFonts w:ascii="Arial" w:hAnsi="Arial" w:cs="Arial"/>
          <w:sz w:val="24"/>
          <w:szCs w:val="24"/>
        </w:rPr>
        <w:t xml:space="preserve">  For example, the transportation equipment in the EDC’s fleet may be dedicated to meter reading</w:t>
      </w:r>
      <w:r w:rsidR="004B09A5">
        <w:rPr>
          <w:rFonts w:ascii="Arial" w:hAnsi="Arial" w:cs="Arial"/>
          <w:sz w:val="24"/>
          <w:szCs w:val="24"/>
        </w:rPr>
        <w:t>,</w:t>
      </w:r>
      <w:r>
        <w:rPr>
          <w:rFonts w:ascii="Arial" w:hAnsi="Arial" w:cs="Arial"/>
          <w:sz w:val="24"/>
          <w:szCs w:val="24"/>
        </w:rPr>
        <w:t xml:space="preserve"> or certain office furniture purchased to furnish the customer service department. </w:t>
      </w:r>
      <w:r w:rsidR="00383CF6">
        <w:rPr>
          <w:rFonts w:ascii="Arial" w:hAnsi="Arial" w:cs="Arial"/>
          <w:sz w:val="24"/>
          <w:szCs w:val="24"/>
        </w:rPr>
        <w:t xml:space="preserve"> </w:t>
      </w:r>
      <w:r>
        <w:rPr>
          <w:rFonts w:ascii="Arial" w:hAnsi="Arial" w:cs="Arial"/>
          <w:sz w:val="24"/>
          <w:szCs w:val="24"/>
        </w:rPr>
        <w:t xml:space="preserve">However, </w:t>
      </w:r>
      <w:r w:rsidR="00AC5B6B">
        <w:rPr>
          <w:rFonts w:ascii="Arial" w:hAnsi="Arial" w:cs="Arial"/>
          <w:sz w:val="24"/>
          <w:szCs w:val="24"/>
        </w:rPr>
        <w:t>the Companies must use direct assignment where possible or cost allocation methodology as discussed in Section III.B.</w:t>
      </w:r>
      <w:r w:rsidR="00150B0E">
        <w:rPr>
          <w:rFonts w:ascii="Arial" w:hAnsi="Arial" w:cs="Arial"/>
          <w:sz w:val="24"/>
          <w:szCs w:val="24"/>
        </w:rPr>
        <w:t>4</w:t>
      </w:r>
      <w:r w:rsidR="00AC5B6B">
        <w:rPr>
          <w:rFonts w:ascii="Arial" w:hAnsi="Arial" w:cs="Arial"/>
          <w:sz w:val="24"/>
          <w:szCs w:val="24"/>
        </w:rPr>
        <w:t xml:space="preserve">. </w:t>
      </w:r>
      <w:r w:rsidR="00AC5B6B" w:rsidRPr="00877D32">
        <w:rPr>
          <w:rFonts w:ascii="Arial" w:hAnsi="Arial" w:cs="Arial"/>
          <w:sz w:val="24"/>
          <w:szCs w:val="24"/>
          <w:u w:val="single"/>
        </w:rPr>
        <w:t>MRCC Application</w:t>
      </w:r>
      <w:r w:rsidR="00AC5B6B">
        <w:rPr>
          <w:rFonts w:ascii="Arial" w:hAnsi="Arial" w:cs="Arial"/>
          <w:sz w:val="24"/>
          <w:szCs w:val="24"/>
        </w:rPr>
        <w:t xml:space="preserve"> </w:t>
      </w:r>
      <w:r>
        <w:rPr>
          <w:rFonts w:ascii="Arial" w:hAnsi="Arial" w:cs="Arial"/>
          <w:sz w:val="24"/>
          <w:szCs w:val="24"/>
        </w:rPr>
        <w:t>for shared service company functions</w:t>
      </w:r>
      <w:r w:rsidRPr="008053D8">
        <w:rPr>
          <w:rFonts w:ascii="Arial" w:hAnsi="Arial" w:cs="Arial"/>
          <w:sz w:val="24"/>
          <w:szCs w:val="24"/>
        </w:rPr>
        <w:t xml:space="preserve"> </w:t>
      </w:r>
      <w:r w:rsidR="00AC5B6B">
        <w:rPr>
          <w:rFonts w:ascii="Arial" w:hAnsi="Arial" w:cs="Arial"/>
          <w:sz w:val="24"/>
          <w:szCs w:val="24"/>
        </w:rPr>
        <w:t xml:space="preserve">to </w:t>
      </w:r>
      <w:r>
        <w:rPr>
          <w:rFonts w:ascii="Arial" w:hAnsi="Arial" w:cs="Arial"/>
          <w:sz w:val="24"/>
          <w:szCs w:val="24"/>
        </w:rPr>
        <w:t>properly</w:t>
      </w:r>
      <w:r w:rsidRPr="008053D8">
        <w:rPr>
          <w:rFonts w:ascii="Arial" w:hAnsi="Arial" w:cs="Arial"/>
          <w:sz w:val="24"/>
          <w:szCs w:val="24"/>
        </w:rPr>
        <w:t xml:space="preserve"> assign costs</w:t>
      </w:r>
      <w:r>
        <w:rPr>
          <w:rFonts w:ascii="Arial" w:hAnsi="Arial" w:cs="Arial"/>
          <w:sz w:val="24"/>
          <w:szCs w:val="24"/>
        </w:rPr>
        <w:t xml:space="preserve">.  </w:t>
      </w:r>
      <w:r w:rsidRPr="008053D8">
        <w:rPr>
          <w:rFonts w:ascii="Arial" w:hAnsi="Arial" w:cs="Arial"/>
          <w:sz w:val="24"/>
          <w:szCs w:val="24"/>
        </w:rPr>
        <w:t xml:space="preserve">Includable costs </w:t>
      </w:r>
      <w:r>
        <w:rPr>
          <w:rFonts w:ascii="Arial" w:hAnsi="Arial" w:cs="Arial"/>
          <w:sz w:val="24"/>
          <w:szCs w:val="24"/>
        </w:rPr>
        <w:t xml:space="preserve">in </w:t>
      </w:r>
      <w:r w:rsidR="005A4ADA">
        <w:rPr>
          <w:rFonts w:ascii="Arial" w:hAnsi="Arial" w:cs="Arial"/>
          <w:sz w:val="24"/>
          <w:szCs w:val="24"/>
        </w:rPr>
        <w:t>Accounts</w:t>
      </w:r>
      <w:r>
        <w:rPr>
          <w:rFonts w:ascii="Arial" w:hAnsi="Arial" w:cs="Arial"/>
          <w:sz w:val="24"/>
          <w:szCs w:val="24"/>
        </w:rPr>
        <w:t xml:space="preserve"> 391 through 399.1 </w:t>
      </w:r>
      <w:r w:rsidRPr="008053D8">
        <w:rPr>
          <w:rFonts w:ascii="Arial" w:hAnsi="Arial" w:cs="Arial"/>
          <w:sz w:val="24"/>
          <w:szCs w:val="24"/>
        </w:rPr>
        <w:t xml:space="preserve">will need to be </w:t>
      </w:r>
      <w:r>
        <w:rPr>
          <w:rFonts w:ascii="Arial" w:hAnsi="Arial" w:cs="Arial"/>
          <w:sz w:val="24"/>
          <w:szCs w:val="24"/>
        </w:rPr>
        <w:t xml:space="preserve">clearly </w:t>
      </w:r>
      <w:r w:rsidRPr="008053D8">
        <w:rPr>
          <w:rFonts w:ascii="Arial" w:hAnsi="Arial" w:cs="Arial"/>
          <w:sz w:val="24"/>
          <w:szCs w:val="24"/>
        </w:rPr>
        <w:t>identified</w:t>
      </w:r>
      <w:r>
        <w:rPr>
          <w:rFonts w:ascii="Arial" w:hAnsi="Arial" w:cs="Arial"/>
          <w:sz w:val="24"/>
          <w:szCs w:val="24"/>
        </w:rPr>
        <w:t xml:space="preserve"> at a sub-account level by the Companies </w:t>
      </w:r>
      <w:r w:rsidRPr="008053D8">
        <w:rPr>
          <w:rFonts w:ascii="Arial" w:hAnsi="Arial" w:cs="Arial"/>
          <w:sz w:val="24"/>
          <w:szCs w:val="24"/>
        </w:rPr>
        <w:t>t</w:t>
      </w:r>
      <w:r>
        <w:rPr>
          <w:rFonts w:ascii="Arial" w:hAnsi="Arial" w:cs="Arial"/>
          <w:sz w:val="24"/>
          <w:szCs w:val="24"/>
        </w:rPr>
        <w:t xml:space="preserve">o </w:t>
      </w:r>
      <w:r w:rsidRPr="008053D8">
        <w:rPr>
          <w:rFonts w:ascii="Arial" w:hAnsi="Arial" w:cs="Arial"/>
          <w:sz w:val="24"/>
          <w:szCs w:val="24"/>
        </w:rPr>
        <w:t xml:space="preserve">ensure that </w:t>
      </w:r>
      <w:r>
        <w:rPr>
          <w:rFonts w:ascii="Arial" w:hAnsi="Arial" w:cs="Arial"/>
          <w:sz w:val="24"/>
          <w:szCs w:val="24"/>
        </w:rPr>
        <w:t xml:space="preserve">the EDC included </w:t>
      </w:r>
      <w:r w:rsidRPr="008053D8">
        <w:rPr>
          <w:rFonts w:ascii="Arial" w:hAnsi="Arial" w:cs="Arial"/>
          <w:sz w:val="24"/>
          <w:szCs w:val="24"/>
        </w:rPr>
        <w:t xml:space="preserve">only costs associated with the statutory functions </w:t>
      </w:r>
      <w:r>
        <w:rPr>
          <w:rFonts w:ascii="Arial" w:hAnsi="Arial" w:cs="Arial"/>
          <w:sz w:val="24"/>
          <w:szCs w:val="24"/>
        </w:rPr>
        <w:t xml:space="preserve">and </w:t>
      </w:r>
      <w:r w:rsidRPr="008053D8">
        <w:rPr>
          <w:rFonts w:ascii="Arial" w:hAnsi="Arial" w:cs="Arial"/>
          <w:sz w:val="24"/>
          <w:szCs w:val="24"/>
        </w:rPr>
        <w:t>are captured in the MRCC</w:t>
      </w:r>
      <w:r>
        <w:rPr>
          <w:rFonts w:ascii="Arial" w:hAnsi="Arial" w:cs="Arial"/>
          <w:sz w:val="24"/>
          <w:szCs w:val="24"/>
        </w:rPr>
        <w:t xml:space="preserve"> calculation</w:t>
      </w:r>
      <w:r w:rsidRPr="008053D8">
        <w:rPr>
          <w:rFonts w:ascii="Arial" w:hAnsi="Arial" w:cs="Arial"/>
          <w:sz w:val="24"/>
          <w:szCs w:val="24"/>
        </w:rPr>
        <w:t xml:space="preserve">.  </w:t>
      </w:r>
      <w:r>
        <w:rPr>
          <w:rFonts w:ascii="Arial" w:hAnsi="Arial" w:cs="Arial"/>
          <w:sz w:val="24"/>
          <w:szCs w:val="24"/>
        </w:rPr>
        <w:t>Based on the above, t</w:t>
      </w:r>
      <w:r w:rsidRPr="008053D8">
        <w:rPr>
          <w:rFonts w:ascii="Arial" w:hAnsi="Arial" w:cs="Arial"/>
          <w:sz w:val="24"/>
          <w:szCs w:val="24"/>
        </w:rPr>
        <w:t>he Authority will allow the customer-related costs in</w:t>
      </w:r>
      <w:r>
        <w:rPr>
          <w:rFonts w:ascii="Arial" w:hAnsi="Arial" w:cs="Arial"/>
          <w:sz w:val="24"/>
          <w:szCs w:val="24"/>
        </w:rPr>
        <w:t xml:space="preserve"> </w:t>
      </w:r>
      <w:r w:rsidR="005A4ADA">
        <w:rPr>
          <w:rFonts w:ascii="Arial" w:hAnsi="Arial" w:cs="Arial"/>
          <w:sz w:val="24"/>
          <w:szCs w:val="24"/>
        </w:rPr>
        <w:t>Accounts</w:t>
      </w:r>
      <w:r>
        <w:rPr>
          <w:rFonts w:ascii="Arial" w:hAnsi="Arial" w:cs="Arial"/>
          <w:sz w:val="24"/>
          <w:szCs w:val="24"/>
        </w:rPr>
        <w:t xml:space="preserve"> 391 through 399.1 to be </w:t>
      </w:r>
      <w:r w:rsidRPr="008053D8">
        <w:rPr>
          <w:rFonts w:ascii="Arial" w:hAnsi="Arial" w:cs="Arial"/>
          <w:sz w:val="24"/>
          <w:szCs w:val="24"/>
        </w:rPr>
        <w:t>in</w:t>
      </w:r>
      <w:r>
        <w:rPr>
          <w:rFonts w:ascii="Arial" w:hAnsi="Arial" w:cs="Arial"/>
          <w:sz w:val="24"/>
          <w:szCs w:val="24"/>
        </w:rPr>
        <w:t>cluded in</w:t>
      </w:r>
      <w:r w:rsidRPr="008053D8">
        <w:rPr>
          <w:rFonts w:ascii="Arial" w:hAnsi="Arial" w:cs="Arial"/>
          <w:sz w:val="24"/>
          <w:szCs w:val="24"/>
        </w:rPr>
        <w:t xml:space="preserve"> the </w:t>
      </w:r>
      <w:r>
        <w:rPr>
          <w:rFonts w:ascii="Arial" w:hAnsi="Arial" w:cs="Arial"/>
          <w:sz w:val="24"/>
          <w:szCs w:val="24"/>
        </w:rPr>
        <w:t xml:space="preserve">MRCC </w:t>
      </w:r>
      <w:r w:rsidRPr="008053D8">
        <w:rPr>
          <w:rFonts w:ascii="Arial" w:hAnsi="Arial" w:cs="Arial"/>
          <w:sz w:val="24"/>
          <w:szCs w:val="24"/>
        </w:rPr>
        <w:t xml:space="preserve">calculation </w:t>
      </w:r>
      <w:r>
        <w:rPr>
          <w:rFonts w:ascii="Arial" w:hAnsi="Arial" w:cs="Arial"/>
          <w:sz w:val="24"/>
          <w:szCs w:val="24"/>
        </w:rPr>
        <w:t xml:space="preserve">to the extent that directly related costs are </w:t>
      </w:r>
      <w:r w:rsidRPr="008053D8">
        <w:rPr>
          <w:rFonts w:ascii="Arial" w:hAnsi="Arial" w:cs="Arial"/>
          <w:sz w:val="24"/>
          <w:szCs w:val="24"/>
        </w:rPr>
        <w:t xml:space="preserve">identified </w:t>
      </w:r>
      <w:r>
        <w:rPr>
          <w:rFonts w:ascii="Arial" w:hAnsi="Arial" w:cs="Arial"/>
          <w:sz w:val="24"/>
          <w:szCs w:val="24"/>
        </w:rPr>
        <w:t xml:space="preserve">using </w:t>
      </w:r>
      <w:r w:rsidRPr="008053D8">
        <w:rPr>
          <w:rFonts w:ascii="Arial" w:hAnsi="Arial" w:cs="Arial"/>
          <w:sz w:val="24"/>
          <w:szCs w:val="24"/>
        </w:rPr>
        <w:t>direct assignment</w:t>
      </w:r>
      <w:r>
        <w:rPr>
          <w:rFonts w:ascii="Arial" w:hAnsi="Arial" w:cs="Arial"/>
          <w:sz w:val="24"/>
          <w:szCs w:val="24"/>
        </w:rPr>
        <w:t>.</w:t>
      </w:r>
      <w:r w:rsidRPr="008053D8">
        <w:rPr>
          <w:rFonts w:ascii="Arial" w:hAnsi="Arial" w:cs="Arial"/>
          <w:sz w:val="24"/>
          <w:szCs w:val="24"/>
        </w:rPr>
        <w:t xml:space="preserve">  </w:t>
      </w:r>
      <w:r>
        <w:rPr>
          <w:rFonts w:ascii="Arial" w:hAnsi="Arial" w:cs="Arial"/>
          <w:sz w:val="24"/>
          <w:szCs w:val="24"/>
        </w:rPr>
        <w:t>The Authority finds that common utility plant such as land and/or buildings are used for the overall utility system operations, across many different utility functions and are not driven in significant part by the provision of the statutory functions.</w:t>
      </w:r>
      <w:r>
        <w:rPr>
          <w:rFonts w:ascii="Arial" w:hAnsi="Arial" w:cs="Arial"/>
          <w:color w:val="000000"/>
          <w:sz w:val="24"/>
          <w:szCs w:val="24"/>
        </w:rPr>
        <w:t xml:space="preserve">  </w:t>
      </w:r>
      <w:r>
        <w:rPr>
          <w:rFonts w:ascii="Arial" w:hAnsi="Arial" w:cs="Arial"/>
          <w:sz w:val="24"/>
          <w:szCs w:val="24"/>
        </w:rPr>
        <w:t xml:space="preserve">As such, </w:t>
      </w:r>
      <w:r w:rsidRPr="008053D8">
        <w:rPr>
          <w:rFonts w:ascii="Arial" w:hAnsi="Arial" w:cs="Arial"/>
          <w:color w:val="000000"/>
          <w:sz w:val="24"/>
          <w:szCs w:val="24"/>
        </w:rPr>
        <w:t xml:space="preserve">the </w:t>
      </w:r>
      <w:r>
        <w:rPr>
          <w:rFonts w:ascii="Arial" w:hAnsi="Arial" w:cs="Arial"/>
          <w:color w:val="000000"/>
          <w:sz w:val="24"/>
          <w:szCs w:val="24"/>
        </w:rPr>
        <w:t>C</w:t>
      </w:r>
      <w:r w:rsidRPr="008053D8">
        <w:rPr>
          <w:rFonts w:ascii="Arial" w:hAnsi="Arial" w:cs="Arial"/>
          <w:color w:val="000000"/>
          <w:sz w:val="24"/>
          <w:szCs w:val="24"/>
        </w:rPr>
        <w:t xml:space="preserve">ompanies </w:t>
      </w:r>
      <w:r>
        <w:rPr>
          <w:rFonts w:ascii="Arial" w:hAnsi="Arial" w:cs="Arial"/>
          <w:color w:val="000000"/>
          <w:sz w:val="24"/>
          <w:szCs w:val="24"/>
        </w:rPr>
        <w:t xml:space="preserve">are directed </w:t>
      </w:r>
      <w:r w:rsidRPr="008053D8">
        <w:rPr>
          <w:rFonts w:ascii="Arial" w:hAnsi="Arial" w:cs="Arial"/>
          <w:color w:val="000000"/>
          <w:sz w:val="24"/>
          <w:szCs w:val="24"/>
        </w:rPr>
        <w:t xml:space="preserve">to exclude any costs related to </w:t>
      </w:r>
      <w:r w:rsidR="005A4ADA">
        <w:rPr>
          <w:rFonts w:ascii="Arial" w:hAnsi="Arial" w:cs="Arial"/>
          <w:color w:val="000000"/>
          <w:sz w:val="24"/>
          <w:szCs w:val="24"/>
        </w:rPr>
        <w:t>Accounts</w:t>
      </w:r>
      <w:r>
        <w:rPr>
          <w:rFonts w:ascii="Arial" w:hAnsi="Arial" w:cs="Arial"/>
          <w:color w:val="000000"/>
          <w:sz w:val="24"/>
          <w:szCs w:val="24"/>
        </w:rPr>
        <w:t xml:space="preserve"> 389</w:t>
      </w:r>
      <w:r w:rsidRPr="008053D8">
        <w:rPr>
          <w:rFonts w:ascii="Arial" w:hAnsi="Arial" w:cs="Arial"/>
          <w:color w:val="000000"/>
          <w:sz w:val="24"/>
          <w:szCs w:val="24"/>
        </w:rPr>
        <w:t xml:space="preserve"> </w:t>
      </w:r>
      <w:r w:rsidRPr="002A67E2">
        <w:rPr>
          <w:rFonts w:ascii="Arial" w:hAnsi="Arial" w:cs="Arial"/>
          <w:color w:val="000000"/>
          <w:sz w:val="24"/>
          <w:szCs w:val="24"/>
        </w:rPr>
        <w:t>and</w:t>
      </w:r>
      <w:r>
        <w:rPr>
          <w:rFonts w:ascii="Arial" w:hAnsi="Arial" w:cs="Arial"/>
          <w:color w:val="000000"/>
          <w:sz w:val="24"/>
          <w:szCs w:val="24"/>
        </w:rPr>
        <w:t xml:space="preserve"> </w:t>
      </w:r>
      <w:r w:rsidRPr="002A67E2">
        <w:rPr>
          <w:rFonts w:ascii="Arial" w:hAnsi="Arial" w:cs="Arial"/>
          <w:color w:val="000000"/>
          <w:sz w:val="24"/>
          <w:szCs w:val="24"/>
        </w:rPr>
        <w:t>390</w:t>
      </w:r>
      <w:r>
        <w:rPr>
          <w:rFonts w:ascii="Arial" w:hAnsi="Arial" w:cs="Arial"/>
          <w:color w:val="000000"/>
          <w:sz w:val="24"/>
          <w:szCs w:val="24"/>
        </w:rPr>
        <w:t xml:space="preserve"> </w:t>
      </w:r>
      <w:r>
        <w:rPr>
          <w:rFonts w:ascii="Arial" w:hAnsi="Arial" w:cs="Arial"/>
          <w:sz w:val="24"/>
          <w:szCs w:val="24"/>
        </w:rPr>
        <w:t>from the MRCC calculation</w:t>
      </w:r>
      <w:r>
        <w:rPr>
          <w:rFonts w:ascii="Arial" w:hAnsi="Arial" w:cs="Arial"/>
          <w:color w:val="000000"/>
          <w:sz w:val="24"/>
          <w:szCs w:val="24"/>
        </w:rPr>
        <w:t xml:space="preserve">s. </w:t>
      </w:r>
    </w:p>
    <w:p w14:paraId="4DDB6AB2" w14:textId="77777777" w:rsidR="007A0456" w:rsidRPr="0021356A" w:rsidRDefault="007A0456" w:rsidP="007A0456">
      <w:pPr>
        <w:jc w:val="both"/>
      </w:pPr>
    </w:p>
    <w:p w14:paraId="75991A8F" w14:textId="50BDAA51" w:rsidR="007A0456" w:rsidRDefault="007A0456" w:rsidP="00E1092F">
      <w:pPr>
        <w:pStyle w:val="Heading3"/>
        <w:tabs>
          <w:tab w:val="clear" w:pos="1800"/>
          <w:tab w:val="num" w:pos="2160"/>
        </w:tabs>
        <w:ind w:hanging="720"/>
      </w:pPr>
      <w:bookmarkStart w:id="69" w:name="_Toc499050493"/>
      <w:bookmarkStart w:id="70" w:name="_Toc501528281"/>
      <w:r w:rsidRPr="00244993">
        <w:t xml:space="preserve">Income </w:t>
      </w:r>
      <w:r w:rsidR="005A4ADA">
        <w:t>Accounts</w:t>
      </w:r>
      <w:r>
        <w:t xml:space="preserve"> 400 – 408.1</w:t>
      </w:r>
      <w:bookmarkEnd w:id="69"/>
      <w:bookmarkEnd w:id="70"/>
    </w:p>
    <w:p w14:paraId="0D9CCF5F" w14:textId="77777777" w:rsidR="007A0456" w:rsidRPr="00DE56BC" w:rsidRDefault="007A0456" w:rsidP="007A0456">
      <w:pPr>
        <w:jc w:val="both"/>
      </w:pPr>
    </w:p>
    <w:p w14:paraId="53CC26E2" w14:textId="77777777" w:rsidR="007A0456" w:rsidRDefault="007A0456" w:rsidP="007A0456">
      <w:pPr>
        <w:ind w:left="90" w:firstLine="630"/>
        <w:jc w:val="both"/>
        <w:rPr>
          <w:rFonts w:cs="Arial"/>
          <w:szCs w:val="24"/>
        </w:rPr>
      </w:pPr>
      <w:r>
        <w:rPr>
          <w:rFonts w:cs="Arial"/>
          <w:szCs w:val="24"/>
        </w:rPr>
        <w:t xml:space="preserve">Income accounts </w:t>
      </w:r>
      <w:r w:rsidRPr="00053027">
        <w:rPr>
          <w:rFonts w:cs="Arial"/>
          <w:szCs w:val="24"/>
        </w:rPr>
        <w:t xml:space="preserve">proposed by one or more of the Parties in the instant proceeding are recorded in the </w:t>
      </w:r>
      <w:r>
        <w:rPr>
          <w:rFonts w:cs="Arial"/>
          <w:szCs w:val="24"/>
        </w:rPr>
        <w:t>FERC Accounts</w:t>
      </w:r>
      <w:r w:rsidRPr="00053027">
        <w:rPr>
          <w:rFonts w:cs="Arial"/>
          <w:szCs w:val="24"/>
        </w:rPr>
        <w:t xml:space="preserve"> as follows:</w:t>
      </w:r>
    </w:p>
    <w:p w14:paraId="59FC8EDB" w14:textId="77777777" w:rsidR="007A0456" w:rsidRDefault="007A0456" w:rsidP="007A0456">
      <w:pPr>
        <w:ind w:left="90" w:firstLine="630"/>
        <w:jc w:val="both"/>
        <w:rPr>
          <w:rFonts w:cs="Arial"/>
          <w:szCs w:val="24"/>
        </w:rPr>
      </w:pPr>
    </w:p>
    <w:p w14:paraId="490150D5" w14:textId="77777777" w:rsidR="007A0456" w:rsidRDefault="007A0456" w:rsidP="007E4DE4">
      <w:pPr>
        <w:pStyle w:val="ListParagraph"/>
        <w:numPr>
          <w:ilvl w:val="0"/>
          <w:numId w:val="8"/>
        </w:numPr>
        <w:spacing w:after="120"/>
        <w:ind w:left="1080"/>
        <w:contextualSpacing w:val="0"/>
        <w:jc w:val="both"/>
        <w:rPr>
          <w:rFonts w:cs="Arial"/>
          <w:szCs w:val="24"/>
        </w:rPr>
      </w:pPr>
      <w:r>
        <w:rPr>
          <w:rFonts w:cs="Arial"/>
          <w:szCs w:val="24"/>
        </w:rPr>
        <w:t xml:space="preserve">Account 403, </w:t>
      </w:r>
      <w:r w:rsidRPr="00053027">
        <w:rPr>
          <w:rFonts w:cs="Arial"/>
          <w:szCs w:val="24"/>
          <w:u w:val="single"/>
        </w:rPr>
        <w:t>Depreciation Expense</w:t>
      </w:r>
      <w:r w:rsidRPr="00D743C1">
        <w:rPr>
          <w:rFonts w:cs="Arial"/>
          <w:szCs w:val="24"/>
          <w:u w:val="single"/>
        </w:rPr>
        <w:t xml:space="preserve"> for Asset Retirement Costs</w:t>
      </w:r>
      <w:r>
        <w:rPr>
          <w:rFonts w:cs="Arial"/>
          <w:szCs w:val="24"/>
        </w:rPr>
        <w:t>, includes</w:t>
      </w:r>
      <w:r w:rsidRPr="00D743C1">
        <w:rPr>
          <w:rFonts w:cs="Arial"/>
          <w:szCs w:val="24"/>
        </w:rPr>
        <w:t xml:space="preserve"> </w:t>
      </w:r>
      <w:r>
        <w:rPr>
          <w:rFonts w:cs="Arial"/>
          <w:szCs w:val="24"/>
        </w:rPr>
        <w:t>the amount of depreciation expense for all classes of depreciable electric plant except those chargeable to clearing accounts or merchandising, jobbing and contract work.</w:t>
      </w:r>
    </w:p>
    <w:p w14:paraId="5286DD16" w14:textId="77777777" w:rsidR="007A0456" w:rsidRDefault="007A0456" w:rsidP="007E4DE4">
      <w:pPr>
        <w:pStyle w:val="ListParagraph"/>
        <w:numPr>
          <w:ilvl w:val="0"/>
          <w:numId w:val="8"/>
        </w:numPr>
        <w:spacing w:after="120"/>
        <w:ind w:left="1080"/>
        <w:contextualSpacing w:val="0"/>
        <w:jc w:val="both"/>
        <w:rPr>
          <w:rFonts w:cs="Arial"/>
          <w:szCs w:val="24"/>
        </w:rPr>
      </w:pPr>
      <w:r>
        <w:rPr>
          <w:rFonts w:cs="Arial"/>
          <w:szCs w:val="24"/>
        </w:rPr>
        <w:t xml:space="preserve">Account 407.3, </w:t>
      </w:r>
      <w:r w:rsidRPr="00D743C1">
        <w:rPr>
          <w:rFonts w:cs="Arial"/>
          <w:szCs w:val="24"/>
          <w:u w:val="single"/>
        </w:rPr>
        <w:t xml:space="preserve">Regulatory </w:t>
      </w:r>
      <w:r>
        <w:rPr>
          <w:rFonts w:cs="Arial"/>
          <w:szCs w:val="24"/>
          <w:u w:val="single"/>
        </w:rPr>
        <w:t>Debits</w:t>
      </w:r>
      <w:r>
        <w:rPr>
          <w:rFonts w:cs="Arial"/>
          <w:szCs w:val="24"/>
        </w:rPr>
        <w:t>, includes</w:t>
      </w:r>
      <w:r w:rsidRPr="00D743C1">
        <w:rPr>
          <w:rFonts w:cs="Arial"/>
          <w:szCs w:val="24"/>
        </w:rPr>
        <w:t xml:space="preserve"> </w:t>
      </w:r>
      <w:r>
        <w:rPr>
          <w:rFonts w:cs="Arial"/>
          <w:szCs w:val="24"/>
        </w:rPr>
        <w:t>the regulatory liabilities imposed on the utility by the ratemaking actions of regulatory agencies.</w:t>
      </w:r>
    </w:p>
    <w:p w14:paraId="1ADC6970" w14:textId="77777777" w:rsidR="007A0456" w:rsidRDefault="007A0456" w:rsidP="007E4DE4">
      <w:pPr>
        <w:pStyle w:val="ListParagraph"/>
        <w:numPr>
          <w:ilvl w:val="0"/>
          <w:numId w:val="8"/>
        </w:numPr>
        <w:ind w:left="1080"/>
        <w:jc w:val="both"/>
        <w:rPr>
          <w:rFonts w:cs="Arial"/>
          <w:szCs w:val="24"/>
        </w:rPr>
      </w:pPr>
      <w:r>
        <w:rPr>
          <w:rFonts w:cs="Arial"/>
          <w:szCs w:val="24"/>
        </w:rPr>
        <w:t xml:space="preserve">Account 408.1, </w:t>
      </w:r>
      <w:r w:rsidRPr="003504DD">
        <w:rPr>
          <w:rFonts w:cs="Arial"/>
          <w:szCs w:val="24"/>
          <w:u w:val="single"/>
        </w:rPr>
        <w:t>Taxes Other than Income Taxes Utility Operating Income</w:t>
      </w:r>
      <w:r>
        <w:rPr>
          <w:rFonts w:cs="Arial"/>
          <w:szCs w:val="24"/>
        </w:rPr>
        <w:t xml:space="preserve">, includes taxes other than income which relate to utility operating income. </w:t>
      </w:r>
    </w:p>
    <w:p w14:paraId="14C5BC5D" w14:textId="77777777" w:rsidR="007A0456" w:rsidRPr="002A67E2" w:rsidRDefault="007A0456" w:rsidP="007A0456">
      <w:pPr>
        <w:pStyle w:val="ListParagraph"/>
        <w:jc w:val="both"/>
        <w:rPr>
          <w:rFonts w:cs="Arial"/>
          <w:szCs w:val="24"/>
        </w:rPr>
      </w:pPr>
    </w:p>
    <w:p w14:paraId="00D80AFD" w14:textId="77777777" w:rsidR="007A0456" w:rsidRPr="0099082F" w:rsidRDefault="007A0456" w:rsidP="007A0456">
      <w:pPr>
        <w:ind w:firstLine="720"/>
        <w:jc w:val="both"/>
        <w:rPr>
          <w:rFonts w:cs="Arial"/>
          <w:szCs w:val="24"/>
        </w:rPr>
      </w:pPr>
      <w:r>
        <w:rPr>
          <w:rFonts w:cs="Arial"/>
          <w:szCs w:val="24"/>
        </w:rPr>
        <w:t xml:space="preserve">UI included costs in Account 408.1, for payroll and property taxes under both its proposed MRCC COSS and direct assignment cost methodologies.  </w:t>
      </w:r>
      <w:r>
        <w:rPr>
          <w:rFonts w:cs="Arial"/>
          <w:color w:val="000000"/>
          <w:szCs w:val="24"/>
        </w:rPr>
        <w:t xml:space="preserve">Late Filed Exhibit No. 3, Attachment, Supplement 2.  </w:t>
      </w:r>
      <w:r w:rsidRPr="0099082F">
        <w:rPr>
          <w:rFonts w:cs="Arial"/>
          <w:szCs w:val="24"/>
        </w:rPr>
        <w:t xml:space="preserve">CL&amp;P included in its MRCC calculation:  depreciation and depreciation transfer credits for </w:t>
      </w:r>
      <w:r>
        <w:rPr>
          <w:rFonts w:cs="Arial"/>
          <w:szCs w:val="24"/>
        </w:rPr>
        <w:t xml:space="preserve">Account </w:t>
      </w:r>
      <w:r w:rsidRPr="0099082F">
        <w:rPr>
          <w:rFonts w:cs="Arial"/>
          <w:szCs w:val="24"/>
        </w:rPr>
        <w:t xml:space="preserve">403 related to gross general plant; </w:t>
      </w:r>
      <w:r>
        <w:rPr>
          <w:rFonts w:cs="Arial"/>
          <w:szCs w:val="24"/>
        </w:rPr>
        <w:t xml:space="preserve">Account </w:t>
      </w:r>
      <w:r w:rsidRPr="0099082F">
        <w:rPr>
          <w:rFonts w:cs="Arial"/>
          <w:szCs w:val="24"/>
        </w:rPr>
        <w:t xml:space="preserve">407 that included regulatory debits for deferred expenses for radio system; CIAC; non-tax gross ups; and other regulatory debits.  Late Filed Exhibit No. 9, Attachment 1, pp. 8 and 9.  </w:t>
      </w:r>
    </w:p>
    <w:p w14:paraId="7B2A3F28" w14:textId="77777777" w:rsidR="007A0456" w:rsidRPr="0099082F" w:rsidRDefault="007A0456" w:rsidP="007A0456">
      <w:pPr>
        <w:ind w:firstLine="720"/>
        <w:jc w:val="both"/>
        <w:rPr>
          <w:rFonts w:cs="Arial"/>
          <w:szCs w:val="24"/>
        </w:rPr>
      </w:pPr>
    </w:p>
    <w:p w14:paraId="1EC5EB07" w14:textId="77777777" w:rsidR="007A0456" w:rsidRDefault="007A0456" w:rsidP="007A0456">
      <w:pPr>
        <w:jc w:val="both"/>
        <w:rPr>
          <w:rFonts w:cs="Arial"/>
          <w:szCs w:val="24"/>
        </w:rPr>
      </w:pPr>
      <w:r>
        <w:rPr>
          <w:rFonts w:cs="Arial"/>
          <w:szCs w:val="24"/>
        </w:rPr>
        <w:lastRenderedPageBreak/>
        <w:tab/>
      </w:r>
      <w:r>
        <w:rPr>
          <w:rFonts w:cs="Arial"/>
          <w:color w:val="000000"/>
          <w:szCs w:val="24"/>
        </w:rPr>
        <w:t xml:space="preserve">The OCC stated that it is reasonable for the Companies to include in the MRCC calculation income and property taxes that are associated with includable fixed costs related to the statutory functions.  Additionally, employee-related taxes such as unemployment, workers compensation and the employer’s share of the Federal Insurance Contribution Act should be includable in the MRCC calculation.  </w:t>
      </w:r>
      <w:r w:rsidRPr="0027755D">
        <w:rPr>
          <w:rFonts w:cs="Arial"/>
          <w:szCs w:val="24"/>
        </w:rPr>
        <w:t>Written Comments</w:t>
      </w:r>
      <w:r>
        <w:rPr>
          <w:rFonts w:cs="Arial"/>
          <w:szCs w:val="24"/>
        </w:rPr>
        <w:t>,</w:t>
      </w:r>
      <w:r w:rsidRPr="0027755D">
        <w:rPr>
          <w:rFonts w:cs="Arial"/>
          <w:szCs w:val="24"/>
        </w:rPr>
        <w:t xml:space="preserve"> </w:t>
      </w:r>
      <w:r>
        <w:rPr>
          <w:rFonts w:cs="Arial"/>
          <w:szCs w:val="24"/>
        </w:rPr>
        <w:t>pp. 4 and 5.</w:t>
      </w:r>
    </w:p>
    <w:p w14:paraId="29D6368C" w14:textId="77777777" w:rsidR="007A0456" w:rsidRPr="0027755D" w:rsidRDefault="007A0456" w:rsidP="007A0456">
      <w:pPr>
        <w:jc w:val="both"/>
        <w:rPr>
          <w:rFonts w:cs="Arial"/>
          <w:szCs w:val="24"/>
        </w:rPr>
      </w:pPr>
    </w:p>
    <w:p w14:paraId="19F76BE2" w14:textId="36967FB4" w:rsidR="007A0456" w:rsidRDefault="007A0456" w:rsidP="007A0456">
      <w:pPr>
        <w:autoSpaceDE w:val="0"/>
        <w:autoSpaceDN w:val="0"/>
        <w:adjustRightInd w:val="0"/>
        <w:ind w:firstLine="720"/>
        <w:jc w:val="both"/>
        <w:rPr>
          <w:rFonts w:cs="Arial"/>
          <w:szCs w:val="24"/>
        </w:rPr>
      </w:pPr>
      <w:r w:rsidRPr="00BC4F6E">
        <w:rPr>
          <w:rFonts w:cs="Arial"/>
          <w:color w:val="000000"/>
          <w:szCs w:val="24"/>
        </w:rPr>
        <w:t xml:space="preserve">The Authority finds that payroll and property taxes </w:t>
      </w:r>
      <w:r>
        <w:rPr>
          <w:rFonts w:cs="Arial"/>
          <w:color w:val="000000"/>
          <w:szCs w:val="24"/>
        </w:rPr>
        <w:t xml:space="preserve">in </w:t>
      </w:r>
      <w:r w:rsidRPr="00BC4F6E">
        <w:rPr>
          <w:rFonts w:cs="Arial"/>
          <w:color w:val="000000"/>
          <w:szCs w:val="24"/>
        </w:rPr>
        <w:t>Account 408.1</w:t>
      </w:r>
      <w:r w:rsidRPr="004959FF">
        <w:rPr>
          <w:rFonts w:cs="Arial"/>
          <w:color w:val="000000"/>
          <w:szCs w:val="24"/>
        </w:rPr>
        <w:t xml:space="preserve"> associated</w:t>
      </w:r>
      <w:r w:rsidRPr="00BC4F6E">
        <w:rPr>
          <w:rFonts w:cs="Arial"/>
          <w:color w:val="000000"/>
          <w:szCs w:val="24"/>
        </w:rPr>
        <w:t xml:space="preserve"> </w:t>
      </w:r>
      <w:r w:rsidRPr="004959FF">
        <w:rPr>
          <w:rFonts w:cs="Arial"/>
          <w:color w:val="000000"/>
          <w:szCs w:val="24"/>
        </w:rPr>
        <w:t>with</w:t>
      </w:r>
      <w:r w:rsidRPr="00BC4F6E">
        <w:rPr>
          <w:rFonts w:cs="Arial"/>
          <w:color w:val="000000"/>
          <w:szCs w:val="24"/>
        </w:rPr>
        <w:t xml:space="preserve"> </w:t>
      </w:r>
      <w:r w:rsidRPr="004959FF">
        <w:rPr>
          <w:rFonts w:cs="Arial"/>
          <w:color w:val="000000"/>
          <w:szCs w:val="24"/>
        </w:rPr>
        <w:t>includable</w:t>
      </w:r>
      <w:r w:rsidRPr="00BC4F6E">
        <w:rPr>
          <w:rFonts w:cs="Arial"/>
          <w:color w:val="000000"/>
          <w:szCs w:val="24"/>
        </w:rPr>
        <w:t xml:space="preserve"> rate base and expense items</w:t>
      </w:r>
      <w:r w:rsidR="009A5726">
        <w:rPr>
          <w:rFonts w:cs="Arial"/>
          <w:color w:val="000000"/>
          <w:szCs w:val="24"/>
        </w:rPr>
        <w:t>,</w:t>
      </w:r>
      <w:r w:rsidRPr="00BC4F6E">
        <w:rPr>
          <w:rFonts w:cs="Arial"/>
          <w:color w:val="000000"/>
          <w:szCs w:val="24"/>
        </w:rPr>
        <w:t xml:space="preserve"> identified by the Authority in Section</w:t>
      </w:r>
      <w:r w:rsidRPr="00BC4F6E">
        <w:rPr>
          <w:rFonts w:cs="Arial"/>
          <w:szCs w:val="24"/>
        </w:rPr>
        <w:t xml:space="preserve"> III.</w:t>
      </w:r>
      <w:r w:rsidRPr="00EE32E1">
        <w:rPr>
          <w:rFonts w:cs="Arial"/>
          <w:szCs w:val="24"/>
        </w:rPr>
        <w:t>B.</w:t>
      </w:r>
      <w:r w:rsidRPr="00BC4F6E">
        <w:rPr>
          <w:rFonts w:cs="Arial"/>
          <w:szCs w:val="24"/>
        </w:rPr>
        <w:t xml:space="preserve"> </w:t>
      </w:r>
      <w:r w:rsidR="002662C5" w:rsidRPr="002662C5">
        <w:rPr>
          <w:rFonts w:cs="Arial"/>
          <w:szCs w:val="24"/>
          <w:u w:val="single"/>
        </w:rPr>
        <w:t xml:space="preserve">Assignment of </w:t>
      </w:r>
      <w:r w:rsidRPr="002662C5">
        <w:rPr>
          <w:rFonts w:cs="Arial"/>
          <w:szCs w:val="24"/>
          <w:u w:val="single"/>
        </w:rPr>
        <w:t>Cost</w:t>
      </w:r>
      <w:r w:rsidR="002662C5" w:rsidRPr="002662C5">
        <w:rPr>
          <w:rFonts w:cs="Arial"/>
          <w:szCs w:val="24"/>
          <w:u w:val="single"/>
        </w:rPr>
        <w:t>s</w:t>
      </w:r>
      <w:r w:rsidR="002662C5">
        <w:rPr>
          <w:rFonts w:cs="Arial"/>
          <w:szCs w:val="24"/>
          <w:u w:val="single"/>
        </w:rPr>
        <w:t>;</w:t>
      </w:r>
      <w:r w:rsidRPr="00BC4F6E">
        <w:rPr>
          <w:rFonts w:cs="Arial"/>
          <w:szCs w:val="24"/>
          <w:u w:val="single"/>
        </w:rPr>
        <w:t xml:space="preserve"> </w:t>
      </w:r>
      <w:r w:rsidR="002662C5">
        <w:rPr>
          <w:rFonts w:cs="Arial"/>
          <w:szCs w:val="24"/>
          <w:u w:val="single"/>
        </w:rPr>
        <w:t>MRCC</w:t>
      </w:r>
      <w:r w:rsidR="004B09A5">
        <w:rPr>
          <w:rFonts w:cs="Arial"/>
          <w:szCs w:val="24"/>
          <w:u w:val="single"/>
        </w:rPr>
        <w:t xml:space="preserve"> </w:t>
      </w:r>
      <w:r w:rsidRPr="00BC4F6E">
        <w:rPr>
          <w:rFonts w:cs="Arial"/>
          <w:szCs w:val="24"/>
          <w:u w:val="single"/>
        </w:rPr>
        <w:t>Methodology</w:t>
      </w:r>
      <w:r w:rsidRPr="00BC4F6E">
        <w:rPr>
          <w:rFonts w:cs="Arial"/>
          <w:szCs w:val="24"/>
        </w:rPr>
        <w:t>, are includable in the MRCC calculation</w:t>
      </w:r>
      <w:r w:rsidRPr="00BC4F6E">
        <w:rPr>
          <w:rFonts w:cs="Arial"/>
          <w:color w:val="000000"/>
          <w:szCs w:val="24"/>
        </w:rPr>
        <w:t>.</w:t>
      </w:r>
      <w:r>
        <w:rPr>
          <w:rFonts w:cs="Arial"/>
          <w:color w:val="000000"/>
          <w:szCs w:val="24"/>
        </w:rPr>
        <w:t xml:space="preserve">  </w:t>
      </w:r>
      <w:r>
        <w:rPr>
          <w:rFonts w:cs="Arial"/>
          <w:szCs w:val="24"/>
        </w:rPr>
        <w:t>For example, payroll taxes related to includable employees</w:t>
      </w:r>
      <w:r w:rsidR="009A5726">
        <w:rPr>
          <w:rFonts w:cs="Arial"/>
          <w:szCs w:val="24"/>
        </w:rPr>
        <w:t xml:space="preserve">, </w:t>
      </w:r>
      <w:r>
        <w:rPr>
          <w:rFonts w:cs="Arial"/>
          <w:szCs w:val="24"/>
        </w:rPr>
        <w:t>such as service technicians who install meters for residential customer service</w:t>
      </w:r>
      <w:r w:rsidR="009A5726">
        <w:rPr>
          <w:rFonts w:cs="Arial"/>
          <w:szCs w:val="24"/>
        </w:rPr>
        <w:t xml:space="preserve">, </w:t>
      </w:r>
      <w:r>
        <w:rPr>
          <w:rFonts w:cs="Arial"/>
          <w:szCs w:val="24"/>
        </w:rPr>
        <w:t>is a necessary and unavoidable component of the cost of providing such service</w:t>
      </w:r>
      <w:r w:rsidR="009A5726">
        <w:rPr>
          <w:rFonts w:cs="Arial"/>
          <w:szCs w:val="24"/>
        </w:rPr>
        <w:t xml:space="preserve">.  Therefore, it </w:t>
      </w:r>
      <w:r>
        <w:rPr>
          <w:rFonts w:cs="Arial"/>
          <w:szCs w:val="24"/>
        </w:rPr>
        <w:t xml:space="preserve">is appropriate for inclusion in the calculation.  Consequently, the Authority </w:t>
      </w:r>
      <w:r>
        <w:rPr>
          <w:rFonts w:cs="Arial"/>
          <w:color w:val="000000"/>
          <w:szCs w:val="24"/>
        </w:rPr>
        <w:t xml:space="preserve">determines that these costs should be included in the </w:t>
      </w:r>
      <w:r>
        <w:rPr>
          <w:rFonts w:cs="Arial"/>
          <w:szCs w:val="24"/>
        </w:rPr>
        <w:t>MRCC</w:t>
      </w:r>
      <w:r>
        <w:rPr>
          <w:rFonts w:cs="Arial"/>
          <w:color w:val="000000"/>
          <w:szCs w:val="24"/>
        </w:rPr>
        <w:t xml:space="preserve"> calculation.</w:t>
      </w:r>
      <w:r w:rsidR="0046147A">
        <w:rPr>
          <w:rFonts w:cs="Arial"/>
          <w:color w:val="000000"/>
          <w:szCs w:val="24"/>
        </w:rPr>
        <w:t xml:space="preserve"> </w:t>
      </w:r>
      <w:r w:rsidRPr="0080289B">
        <w:rPr>
          <w:rFonts w:cs="Arial"/>
          <w:color w:val="000000"/>
          <w:szCs w:val="24"/>
        </w:rPr>
        <w:t xml:space="preserve"> </w:t>
      </w:r>
      <w:r>
        <w:rPr>
          <w:rFonts w:cs="Arial"/>
          <w:color w:val="000000"/>
          <w:szCs w:val="24"/>
        </w:rPr>
        <w:t xml:space="preserve">These costs should be </w:t>
      </w:r>
      <w:r w:rsidRPr="008053D8">
        <w:rPr>
          <w:rFonts w:cs="Arial"/>
          <w:szCs w:val="24"/>
        </w:rPr>
        <w:t xml:space="preserve">identified </w:t>
      </w:r>
      <w:r>
        <w:rPr>
          <w:rFonts w:cs="Arial"/>
          <w:szCs w:val="24"/>
        </w:rPr>
        <w:t xml:space="preserve">by the EDCs </w:t>
      </w:r>
      <w:r w:rsidRPr="008053D8">
        <w:rPr>
          <w:rFonts w:cs="Arial"/>
          <w:szCs w:val="24"/>
        </w:rPr>
        <w:t xml:space="preserve">as directly related </w:t>
      </w:r>
      <w:r>
        <w:rPr>
          <w:rFonts w:cs="Arial"/>
          <w:szCs w:val="24"/>
        </w:rPr>
        <w:t xml:space="preserve">costs </w:t>
      </w:r>
      <w:r w:rsidRPr="008053D8">
        <w:rPr>
          <w:rFonts w:cs="Arial"/>
          <w:szCs w:val="24"/>
        </w:rPr>
        <w:t>to the statutory functions</w:t>
      </w:r>
      <w:r>
        <w:rPr>
          <w:rFonts w:cs="Arial"/>
          <w:szCs w:val="24"/>
        </w:rPr>
        <w:t xml:space="preserve">.  </w:t>
      </w:r>
    </w:p>
    <w:p w14:paraId="43F27A78" w14:textId="77777777" w:rsidR="007A0456" w:rsidRDefault="007A0456" w:rsidP="007A0456">
      <w:pPr>
        <w:autoSpaceDE w:val="0"/>
        <w:autoSpaceDN w:val="0"/>
        <w:adjustRightInd w:val="0"/>
        <w:jc w:val="both"/>
        <w:rPr>
          <w:rFonts w:cs="Arial"/>
          <w:color w:val="000000"/>
          <w:szCs w:val="24"/>
        </w:rPr>
      </w:pPr>
    </w:p>
    <w:p w14:paraId="6B06CEA4" w14:textId="6C98092E" w:rsidR="007A0456" w:rsidRDefault="007A0456" w:rsidP="00E1092F">
      <w:pPr>
        <w:autoSpaceDE w:val="0"/>
        <w:autoSpaceDN w:val="0"/>
        <w:adjustRightInd w:val="0"/>
        <w:jc w:val="both"/>
        <w:rPr>
          <w:rFonts w:cs="Arial"/>
          <w:color w:val="000000"/>
          <w:szCs w:val="24"/>
        </w:rPr>
      </w:pPr>
      <w:r>
        <w:rPr>
          <w:rFonts w:cs="Arial"/>
          <w:color w:val="000000"/>
          <w:szCs w:val="24"/>
        </w:rPr>
        <w:tab/>
        <w:t xml:space="preserve">The Authority finds that the costs associated with </w:t>
      </w:r>
      <w:r w:rsidR="005A4ADA">
        <w:rPr>
          <w:rFonts w:cs="Arial"/>
          <w:color w:val="000000"/>
          <w:szCs w:val="24"/>
        </w:rPr>
        <w:t>Accounts</w:t>
      </w:r>
      <w:r>
        <w:rPr>
          <w:rFonts w:cs="Arial"/>
          <w:color w:val="000000"/>
          <w:szCs w:val="24"/>
        </w:rPr>
        <w:t xml:space="preserve"> 403 and 407.3, with the exception of includable plant previously identified above, are outside of the statutory functions.  Therefore, these accounts shall be excluded from the MRCC calculation.  </w:t>
      </w:r>
    </w:p>
    <w:p w14:paraId="6E619BDD" w14:textId="77777777" w:rsidR="00AC5B6B" w:rsidRDefault="00AC5B6B" w:rsidP="00E1092F">
      <w:pPr>
        <w:autoSpaceDE w:val="0"/>
        <w:autoSpaceDN w:val="0"/>
        <w:adjustRightInd w:val="0"/>
        <w:jc w:val="both"/>
        <w:rPr>
          <w:rFonts w:cs="Arial"/>
          <w:color w:val="000000"/>
          <w:szCs w:val="24"/>
        </w:rPr>
      </w:pPr>
    </w:p>
    <w:p w14:paraId="7F326941" w14:textId="1BCD6435" w:rsidR="007A0456" w:rsidRPr="000D3BD6" w:rsidRDefault="007A0456" w:rsidP="00E1092F">
      <w:pPr>
        <w:pStyle w:val="Heading3"/>
        <w:tabs>
          <w:tab w:val="clear" w:pos="1800"/>
          <w:tab w:val="num" w:pos="2160"/>
        </w:tabs>
        <w:ind w:hanging="720"/>
      </w:pPr>
      <w:bookmarkStart w:id="71" w:name="_Toc499050494"/>
      <w:bookmarkStart w:id="72" w:name="_Toc501528282"/>
      <w:r w:rsidRPr="000D3BD6">
        <w:t xml:space="preserve">Other Operating Revenue – </w:t>
      </w:r>
      <w:r w:rsidR="005A4ADA">
        <w:t>Accounts</w:t>
      </w:r>
      <w:r w:rsidRPr="000D3BD6">
        <w:t xml:space="preserve"> 447 - 457</w:t>
      </w:r>
      <w:bookmarkEnd w:id="71"/>
      <w:bookmarkEnd w:id="72"/>
      <w:r w:rsidRPr="000D3BD6">
        <w:t xml:space="preserve"> </w:t>
      </w:r>
    </w:p>
    <w:p w14:paraId="4BFCD03C" w14:textId="77777777" w:rsidR="007A0456" w:rsidRPr="000D3BD6" w:rsidRDefault="007A0456" w:rsidP="007A0456">
      <w:pPr>
        <w:jc w:val="both"/>
      </w:pPr>
    </w:p>
    <w:p w14:paraId="3CCD5DBF" w14:textId="77777777" w:rsidR="007A0456" w:rsidRPr="000D3BD6" w:rsidRDefault="007A0456" w:rsidP="007A0456">
      <w:pPr>
        <w:ind w:left="90" w:firstLine="630"/>
        <w:jc w:val="both"/>
        <w:rPr>
          <w:rFonts w:cs="Arial"/>
          <w:szCs w:val="24"/>
        </w:rPr>
      </w:pPr>
      <w:r>
        <w:rPr>
          <w:rFonts w:cs="Arial"/>
          <w:szCs w:val="24"/>
        </w:rPr>
        <w:t>The i</w:t>
      </w:r>
      <w:r w:rsidRPr="000D3BD6">
        <w:rPr>
          <w:rFonts w:cs="Arial"/>
          <w:szCs w:val="24"/>
        </w:rPr>
        <w:t xml:space="preserve">ncome </w:t>
      </w:r>
      <w:r>
        <w:rPr>
          <w:rFonts w:cs="Arial"/>
          <w:szCs w:val="24"/>
        </w:rPr>
        <w:t>a</w:t>
      </w:r>
      <w:r w:rsidRPr="000D3BD6">
        <w:rPr>
          <w:rFonts w:cs="Arial"/>
          <w:szCs w:val="24"/>
        </w:rPr>
        <w:t xml:space="preserve">ccounts proposed by one or more of the Parties in the instant proceeding are recorded in the </w:t>
      </w:r>
      <w:r>
        <w:rPr>
          <w:rFonts w:cs="Arial"/>
          <w:szCs w:val="24"/>
        </w:rPr>
        <w:t>FERC Accounts</w:t>
      </w:r>
      <w:r w:rsidRPr="000D3BD6">
        <w:rPr>
          <w:rFonts w:cs="Arial"/>
          <w:szCs w:val="24"/>
        </w:rPr>
        <w:t xml:space="preserve"> as follows:</w:t>
      </w:r>
    </w:p>
    <w:p w14:paraId="2D923AF6" w14:textId="77777777" w:rsidR="007A0456" w:rsidRPr="000D3BD6" w:rsidRDefault="007A0456" w:rsidP="007A0456">
      <w:pPr>
        <w:ind w:left="90" w:firstLine="630"/>
        <w:jc w:val="both"/>
        <w:rPr>
          <w:rFonts w:cs="Arial"/>
          <w:szCs w:val="24"/>
        </w:rPr>
      </w:pPr>
    </w:p>
    <w:p w14:paraId="5DECA949" w14:textId="77777777" w:rsidR="007A0456" w:rsidRPr="000D3BD6" w:rsidRDefault="007A0456" w:rsidP="007E4DE4">
      <w:pPr>
        <w:pStyle w:val="ListParagraph"/>
        <w:numPr>
          <w:ilvl w:val="0"/>
          <w:numId w:val="8"/>
        </w:numPr>
        <w:spacing w:after="120"/>
        <w:ind w:left="1080"/>
        <w:contextualSpacing w:val="0"/>
        <w:jc w:val="both"/>
        <w:rPr>
          <w:rFonts w:cs="Arial"/>
          <w:szCs w:val="24"/>
        </w:rPr>
      </w:pPr>
      <w:r>
        <w:rPr>
          <w:rFonts w:cs="Arial"/>
          <w:szCs w:val="24"/>
        </w:rPr>
        <w:t xml:space="preserve">Account </w:t>
      </w:r>
      <w:r w:rsidRPr="000D3BD6">
        <w:rPr>
          <w:rFonts w:cs="Arial"/>
          <w:szCs w:val="24"/>
        </w:rPr>
        <w:t xml:space="preserve">447, </w:t>
      </w:r>
      <w:r w:rsidRPr="000D3BD6">
        <w:rPr>
          <w:rFonts w:cs="Arial"/>
          <w:szCs w:val="24"/>
          <w:u w:val="single"/>
        </w:rPr>
        <w:t>Sales for Resale</w:t>
      </w:r>
      <w:r>
        <w:rPr>
          <w:rFonts w:cs="Arial"/>
          <w:szCs w:val="24"/>
        </w:rPr>
        <w:t>, includes</w:t>
      </w:r>
      <w:r w:rsidRPr="000D3BD6">
        <w:rPr>
          <w:rFonts w:cs="Arial"/>
          <w:szCs w:val="24"/>
        </w:rPr>
        <w:t xml:space="preserve"> the net billing for electricity supplied to other electric utilities or to public authorities for resale purpose. </w:t>
      </w:r>
    </w:p>
    <w:p w14:paraId="5B273F04" w14:textId="77777777" w:rsidR="007A0456" w:rsidRPr="000D3BD6" w:rsidRDefault="007A0456" w:rsidP="007E4DE4">
      <w:pPr>
        <w:pStyle w:val="ListParagraph"/>
        <w:numPr>
          <w:ilvl w:val="0"/>
          <w:numId w:val="8"/>
        </w:numPr>
        <w:spacing w:after="120"/>
        <w:ind w:left="1080"/>
        <w:contextualSpacing w:val="0"/>
        <w:jc w:val="both"/>
        <w:rPr>
          <w:rFonts w:cs="Arial"/>
          <w:szCs w:val="24"/>
        </w:rPr>
      </w:pPr>
      <w:r>
        <w:rPr>
          <w:rFonts w:cs="Arial"/>
          <w:szCs w:val="24"/>
        </w:rPr>
        <w:t xml:space="preserve">Account </w:t>
      </w:r>
      <w:r w:rsidRPr="000D3BD6">
        <w:rPr>
          <w:rFonts w:cs="Arial"/>
          <w:szCs w:val="24"/>
        </w:rPr>
        <w:t xml:space="preserve">450, </w:t>
      </w:r>
      <w:r w:rsidRPr="000D3BD6">
        <w:rPr>
          <w:rFonts w:cs="Arial"/>
          <w:szCs w:val="24"/>
          <w:u w:val="single"/>
        </w:rPr>
        <w:t>Forfeited Discounts</w:t>
      </w:r>
      <w:r>
        <w:rPr>
          <w:rFonts w:cs="Arial"/>
          <w:szCs w:val="24"/>
        </w:rPr>
        <w:t>, includes</w:t>
      </w:r>
      <w:r w:rsidRPr="000D3BD6">
        <w:rPr>
          <w:rFonts w:cs="Arial"/>
          <w:szCs w:val="24"/>
        </w:rPr>
        <w:t xml:space="preserve"> the amount of discounts forfeited or additional charges imposed because of the failure of customers to pay their electric bills before a specified date. </w:t>
      </w:r>
    </w:p>
    <w:p w14:paraId="0BA97311" w14:textId="77777777" w:rsidR="007A0456" w:rsidRPr="000D3BD6" w:rsidRDefault="007A0456" w:rsidP="007E4DE4">
      <w:pPr>
        <w:pStyle w:val="ListParagraph"/>
        <w:numPr>
          <w:ilvl w:val="0"/>
          <w:numId w:val="8"/>
        </w:numPr>
        <w:spacing w:after="120"/>
        <w:ind w:left="1080"/>
        <w:contextualSpacing w:val="0"/>
        <w:jc w:val="both"/>
        <w:rPr>
          <w:rFonts w:cs="Arial"/>
          <w:szCs w:val="24"/>
        </w:rPr>
      </w:pPr>
      <w:r>
        <w:rPr>
          <w:rFonts w:cs="Arial"/>
          <w:szCs w:val="24"/>
        </w:rPr>
        <w:t xml:space="preserve">Account </w:t>
      </w:r>
      <w:r w:rsidRPr="000D3BD6">
        <w:rPr>
          <w:rFonts w:cs="Arial"/>
          <w:szCs w:val="24"/>
        </w:rPr>
        <w:t xml:space="preserve">451, </w:t>
      </w:r>
      <w:r w:rsidRPr="000D3BD6">
        <w:rPr>
          <w:rFonts w:cs="Arial"/>
          <w:szCs w:val="24"/>
          <w:u w:val="single"/>
        </w:rPr>
        <w:t>Miscellaneous Service Revenues</w:t>
      </w:r>
      <w:r>
        <w:rPr>
          <w:rFonts w:cs="Arial"/>
          <w:szCs w:val="24"/>
        </w:rPr>
        <w:t>, includes</w:t>
      </w:r>
      <w:r w:rsidRPr="000D3BD6">
        <w:rPr>
          <w:rFonts w:cs="Arial"/>
          <w:szCs w:val="24"/>
        </w:rPr>
        <w:t xml:space="preserve"> all revenues for all miscellaneous services and charges billed to customers which are specifically provided for in other accounts. </w:t>
      </w:r>
    </w:p>
    <w:p w14:paraId="7EB01B41" w14:textId="77777777" w:rsidR="007A0456" w:rsidRPr="000D3BD6" w:rsidRDefault="007A0456" w:rsidP="007E4DE4">
      <w:pPr>
        <w:pStyle w:val="ListParagraph"/>
        <w:numPr>
          <w:ilvl w:val="0"/>
          <w:numId w:val="8"/>
        </w:numPr>
        <w:spacing w:after="120"/>
        <w:ind w:left="1080"/>
        <w:contextualSpacing w:val="0"/>
        <w:jc w:val="both"/>
        <w:rPr>
          <w:rFonts w:cs="Arial"/>
          <w:szCs w:val="24"/>
        </w:rPr>
      </w:pPr>
      <w:r>
        <w:rPr>
          <w:rFonts w:cs="Arial"/>
          <w:szCs w:val="24"/>
        </w:rPr>
        <w:t xml:space="preserve">Account </w:t>
      </w:r>
      <w:r w:rsidRPr="000D3BD6">
        <w:rPr>
          <w:rFonts w:cs="Arial"/>
          <w:szCs w:val="24"/>
        </w:rPr>
        <w:t xml:space="preserve">454, </w:t>
      </w:r>
      <w:r w:rsidRPr="000D3BD6">
        <w:rPr>
          <w:rFonts w:cs="Arial"/>
          <w:szCs w:val="24"/>
          <w:u w:val="single"/>
        </w:rPr>
        <w:t>Rent from Electric Property</w:t>
      </w:r>
      <w:r>
        <w:rPr>
          <w:rFonts w:cs="Arial"/>
          <w:szCs w:val="24"/>
        </w:rPr>
        <w:t>, includes</w:t>
      </w:r>
      <w:r w:rsidRPr="000D3BD6">
        <w:rPr>
          <w:rFonts w:cs="Arial"/>
          <w:szCs w:val="24"/>
        </w:rPr>
        <w:t xml:space="preserve"> rents received for the use by other of land, buildings and other properties the regulatory liabilities imposed on the utility by the ratemaking actions of regulatory agencies.</w:t>
      </w:r>
    </w:p>
    <w:p w14:paraId="451282C6" w14:textId="77777777" w:rsidR="007A0456" w:rsidRPr="000D3BD6" w:rsidRDefault="007A0456" w:rsidP="007E4DE4">
      <w:pPr>
        <w:pStyle w:val="ListParagraph"/>
        <w:numPr>
          <w:ilvl w:val="0"/>
          <w:numId w:val="8"/>
        </w:numPr>
        <w:ind w:left="1080"/>
        <w:jc w:val="both"/>
        <w:rPr>
          <w:rFonts w:cs="Arial"/>
          <w:szCs w:val="24"/>
        </w:rPr>
      </w:pPr>
      <w:r>
        <w:rPr>
          <w:rFonts w:cs="Arial"/>
          <w:szCs w:val="24"/>
        </w:rPr>
        <w:t xml:space="preserve">Account </w:t>
      </w:r>
      <w:r w:rsidRPr="000D3BD6">
        <w:rPr>
          <w:rFonts w:cs="Arial"/>
          <w:szCs w:val="24"/>
        </w:rPr>
        <w:t xml:space="preserve">456, </w:t>
      </w:r>
      <w:r w:rsidRPr="000D3BD6">
        <w:rPr>
          <w:rFonts w:cs="Arial"/>
          <w:szCs w:val="24"/>
          <w:u w:val="single"/>
        </w:rPr>
        <w:t>Other Electric Revenues</w:t>
      </w:r>
      <w:r>
        <w:rPr>
          <w:rFonts w:cs="Arial"/>
          <w:szCs w:val="24"/>
        </w:rPr>
        <w:t>, includes</w:t>
      </w:r>
      <w:r w:rsidRPr="000D3BD6">
        <w:rPr>
          <w:rFonts w:cs="Arial"/>
          <w:szCs w:val="24"/>
        </w:rPr>
        <w:t xml:space="preserve"> revenues derived from operations not includable in any of the foregoing accounts. </w:t>
      </w:r>
    </w:p>
    <w:p w14:paraId="722FD100" w14:textId="77777777" w:rsidR="007A0456" w:rsidRPr="000D3BD6" w:rsidRDefault="007A0456" w:rsidP="007A0456">
      <w:pPr>
        <w:autoSpaceDE w:val="0"/>
        <w:autoSpaceDN w:val="0"/>
        <w:adjustRightInd w:val="0"/>
        <w:ind w:firstLine="720"/>
        <w:jc w:val="both"/>
        <w:rPr>
          <w:rFonts w:cs="Arial"/>
          <w:szCs w:val="24"/>
        </w:rPr>
      </w:pPr>
    </w:p>
    <w:p w14:paraId="2F71DC7F" w14:textId="77777777" w:rsidR="007A0456" w:rsidRDefault="007A0456" w:rsidP="007A0456">
      <w:pPr>
        <w:autoSpaceDE w:val="0"/>
        <w:autoSpaceDN w:val="0"/>
        <w:adjustRightInd w:val="0"/>
        <w:ind w:firstLine="720"/>
        <w:jc w:val="both"/>
        <w:rPr>
          <w:rFonts w:cs="Arial"/>
          <w:szCs w:val="24"/>
        </w:rPr>
      </w:pPr>
      <w:r w:rsidRPr="000D3BD6">
        <w:rPr>
          <w:rFonts w:cs="Arial"/>
          <w:szCs w:val="24"/>
        </w:rPr>
        <w:t xml:space="preserve">UI included revenue credits for late fees and returned check fees in its proposed COSS and direct assignment MRCC calculation methodologies. </w:t>
      </w:r>
      <w:r>
        <w:rPr>
          <w:rFonts w:cs="Arial"/>
          <w:szCs w:val="24"/>
        </w:rPr>
        <w:t xml:space="preserve"> UI asserted that the</w:t>
      </w:r>
      <w:r w:rsidRPr="000D3BD6">
        <w:rPr>
          <w:rFonts w:cs="Arial"/>
          <w:szCs w:val="24"/>
        </w:rPr>
        <w:t xml:space="preserve"> revenue accounts should be </w:t>
      </w:r>
      <w:r>
        <w:rPr>
          <w:rFonts w:cs="Arial"/>
          <w:szCs w:val="24"/>
        </w:rPr>
        <w:t xml:space="preserve">included in the MRCC calculation as an offset to the expenses associated with Account 904, </w:t>
      </w:r>
      <w:r w:rsidRPr="0086027F">
        <w:rPr>
          <w:rFonts w:cs="Arial"/>
          <w:szCs w:val="24"/>
          <w:u w:val="single"/>
        </w:rPr>
        <w:t>Uncollectibles</w:t>
      </w:r>
      <w:r>
        <w:rPr>
          <w:rFonts w:cs="Arial"/>
          <w:szCs w:val="24"/>
        </w:rPr>
        <w:t xml:space="preserve">.  </w:t>
      </w:r>
      <w:r w:rsidRPr="000D3BD6">
        <w:rPr>
          <w:rFonts w:cs="Arial"/>
          <w:szCs w:val="24"/>
        </w:rPr>
        <w:t xml:space="preserve">Response to Late Filed Exhibit No. 1, Revised Attachment.  </w:t>
      </w:r>
    </w:p>
    <w:p w14:paraId="3E24B267" w14:textId="77777777" w:rsidR="007A0456" w:rsidRDefault="007A0456" w:rsidP="007A0456">
      <w:pPr>
        <w:autoSpaceDE w:val="0"/>
        <w:autoSpaceDN w:val="0"/>
        <w:adjustRightInd w:val="0"/>
        <w:ind w:firstLine="720"/>
        <w:jc w:val="both"/>
        <w:rPr>
          <w:rFonts w:cs="Arial"/>
          <w:szCs w:val="24"/>
        </w:rPr>
      </w:pPr>
    </w:p>
    <w:p w14:paraId="20DCF116" w14:textId="19B55A75" w:rsidR="007A0456" w:rsidRDefault="007A0456" w:rsidP="007A0456">
      <w:pPr>
        <w:ind w:firstLine="720"/>
        <w:jc w:val="both"/>
        <w:rPr>
          <w:rFonts w:cs="Arial"/>
          <w:szCs w:val="24"/>
        </w:rPr>
      </w:pPr>
      <w:r>
        <w:rPr>
          <w:rFonts w:cs="Arial"/>
          <w:szCs w:val="24"/>
        </w:rPr>
        <w:lastRenderedPageBreak/>
        <w:t xml:space="preserve">CL&amp;P included </w:t>
      </w:r>
      <w:r w:rsidR="005A4ADA">
        <w:rPr>
          <w:rFonts w:cs="Arial"/>
          <w:szCs w:val="24"/>
        </w:rPr>
        <w:t>Accounts</w:t>
      </w:r>
      <w:r>
        <w:rPr>
          <w:rFonts w:cs="Arial"/>
          <w:szCs w:val="24"/>
        </w:rPr>
        <w:t xml:space="preserve"> 454 and 456 in its proposed MRCC calculation.  Late </w:t>
      </w:r>
      <w:r>
        <w:rPr>
          <w:rFonts w:cs="Arial"/>
          <w:color w:val="000000"/>
          <w:szCs w:val="24"/>
        </w:rPr>
        <w:t>Filed Exhibit No. 9, Attachment 1, p. 4.</w:t>
      </w:r>
    </w:p>
    <w:p w14:paraId="5719A066" w14:textId="77777777" w:rsidR="007A0456" w:rsidRDefault="007A0456" w:rsidP="007A0456">
      <w:pPr>
        <w:ind w:firstLine="720"/>
        <w:jc w:val="both"/>
        <w:rPr>
          <w:rFonts w:cs="Arial"/>
          <w:szCs w:val="24"/>
        </w:rPr>
      </w:pPr>
    </w:p>
    <w:p w14:paraId="0D2B46DE" w14:textId="77777777" w:rsidR="007A0456" w:rsidRPr="00527925" w:rsidRDefault="007A0456" w:rsidP="007A0456">
      <w:pPr>
        <w:ind w:firstLine="720"/>
        <w:jc w:val="both"/>
        <w:rPr>
          <w:rFonts w:cs="Arial"/>
          <w:szCs w:val="24"/>
        </w:rPr>
      </w:pPr>
      <w:r>
        <w:rPr>
          <w:rFonts w:cs="Arial"/>
          <w:szCs w:val="24"/>
        </w:rPr>
        <w:t xml:space="preserve">The OCC included Account 450 in conjunction with the inclusion of Account 904 in the calculation and noted that account expenses are collected on a per-customer basis.  The OCC also recommended that Account 451 be included in the MRCC calculation.  Brief, p. 12. </w:t>
      </w:r>
    </w:p>
    <w:p w14:paraId="504A7602" w14:textId="77777777" w:rsidR="007A0456" w:rsidRDefault="007A0456" w:rsidP="007A0456">
      <w:pPr>
        <w:autoSpaceDE w:val="0"/>
        <w:autoSpaceDN w:val="0"/>
        <w:adjustRightInd w:val="0"/>
        <w:jc w:val="both"/>
        <w:rPr>
          <w:rFonts w:cs="Arial"/>
          <w:color w:val="000000"/>
          <w:szCs w:val="24"/>
        </w:rPr>
      </w:pPr>
    </w:p>
    <w:p w14:paraId="539E0FE1" w14:textId="60CEA99D" w:rsidR="007A0456" w:rsidRDefault="007A0456" w:rsidP="007A0456">
      <w:pPr>
        <w:autoSpaceDE w:val="0"/>
        <w:autoSpaceDN w:val="0"/>
        <w:adjustRightInd w:val="0"/>
        <w:jc w:val="both"/>
        <w:rPr>
          <w:rFonts w:cs="Arial"/>
          <w:color w:val="000000"/>
          <w:szCs w:val="24"/>
        </w:rPr>
      </w:pPr>
      <w:r>
        <w:rPr>
          <w:rFonts w:cs="Arial"/>
          <w:color w:val="000000"/>
          <w:szCs w:val="24"/>
        </w:rPr>
        <w:tab/>
        <w:t xml:space="preserve">The Authority finds that Account 451 may include some revenues directly related to the customer service function and includable as part of the MRCC calculation. </w:t>
      </w:r>
      <w:r w:rsidR="00AC5B6B">
        <w:rPr>
          <w:rFonts w:cs="Arial"/>
          <w:color w:val="000000"/>
          <w:szCs w:val="24"/>
        </w:rPr>
        <w:t xml:space="preserve"> The Companies must </w:t>
      </w:r>
      <w:r w:rsidR="00AC5B6B">
        <w:rPr>
          <w:rFonts w:cs="Arial"/>
          <w:szCs w:val="24"/>
        </w:rPr>
        <w:t>use direct assignment where possible or cost allocation methodology as discussed in Section III.B.</w:t>
      </w:r>
      <w:r w:rsidR="00D47802">
        <w:rPr>
          <w:rFonts w:cs="Arial"/>
          <w:szCs w:val="24"/>
        </w:rPr>
        <w:t>4</w:t>
      </w:r>
      <w:r w:rsidR="00AC5B6B">
        <w:rPr>
          <w:rFonts w:cs="Arial"/>
          <w:szCs w:val="24"/>
        </w:rPr>
        <w:t xml:space="preserve">. </w:t>
      </w:r>
      <w:r w:rsidR="00AC5B6B" w:rsidRPr="00877D32">
        <w:rPr>
          <w:rFonts w:cs="Arial"/>
          <w:szCs w:val="24"/>
          <w:u w:val="single"/>
        </w:rPr>
        <w:t>MRCC Application</w:t>
      </w:r>
      <w:r w:rsidR="00AC5B6B" w:rsidRPr="00D47802">
        <w:rPr>
          <w:rFonts w:cs="Arial"/>
          <w:szCs w:val="24"/>
        </w:rPr>
        <w:t xml:space="preserve">, </w:t>
      </w:r>
      <w:r>
        <w:rPr>
          <w:rFonts w:cs="Arial"/>
          <w:color w:val="000000"/>
          <w:szCs w:val="24"/>
        </w:rPr>
        <w:t xml:space="preserve">since the revenue is for </w:t>
      </w:r>
      <w:r w:rsidRPr="000D3BD6">
        <w:rPr>
          <w:rFonts w:cs="Arial"/>
          <w:szCs w:val="24"/>
        </w:rPr>
        <w:t>miscellaneous services and charges billed to customers</w:t>
      </w:r>
      <w:r>
        <w:rPr>
          <w:rFonts w:cs="Arial"/>
          <w:color w:val="000000"/>
          <w:szCs w:val="24"/>
        </w:rPr>
        <w:t xml:space="preserve">.  For example, the Companies may collect fees for connecting or disconnecting service for residential non-heating customers.  These miscellaneous revenues are tied to the statutory functions and therefore included in the MRCC calculation.  The Authority also finds that </w:t>
      </w:r>
      <w:r w:rsidR="005A4ADA">
        <w:rPr>
          <w:rFonts w:cs="Arial"/>
          <w:color w:val="000000"/>
          <w:szCs w:val="24"/>
        </w:rPr>
        <w:t>Accounts</w:t>
      </w:r>
      <w:r>
        <w:rPr>
          <w:rFonts w:cs="Arial"/>
          <w:color w:val="000000"/>
          <w:szCs w:val="24"/>
        </w:rPr>
        <w:t xml:space="preserve"> 447, 450, 454, and 456 do not appear to link to the provision of the statutory functions, and are therefore not includable in the MRCC calculation. </w:t>
      </w:r>
    </w:p>
    <w:p w14:paraId="71D40CD1" w14:textId="77777777" w:rsidR="007A0456" w:rsidRDefault="007A0456" w:rsidP="007A0456">
      <w:pPr>
        <w:rPr>
          <w:b/>
          <w:color w:val="000000" w:themeColor="text1"/>
        </w:rPr>
      </w:pPr>
      <w:bookmarkStart w:id="73" w:name="_Toc499050495"/>
    </w:p>
    <w:p w14:paraId="6EFCA536" w14:textId="5307F8AC" w:rsidR="007A0456" w:rsidRPr="00812DCE" w:rsidRDefault="007A0456" w:rsidP="00E1092F">
      <w:pPr>
        <w:pStyle w:val="Heading3"/>
        <w:tabs>
          <w:tab w:val="clear" w:pos="1800"/>
          <w:tab w:val="num" w:pos="2160"/>
        </w:tabs>
        <w:ind w:hanging="720"/>
      </w:pPr>
      <w:bookmarkStart w:id="74" w:name="_Toc501528283"/>
      <w:r w:rsidRPr="00812DCE">
        <w:t xml:space="preserve">Distribution Expenses </w:t>
      </w:r>
      <w:r w:rsidR="005A4ADA">
        <w:t>Accounts</w:t>
      </w:r>
      <w:r w:rsidRPr="00812DCE">
        <w:t xml:space="preserve"> 500-599</w:t>
      </w:r>
      <w:bookmarkEnd w:id="73"/>
      <w:bookmarkEnd w:id="74"/>
    </w:p>
    <w:p w14:paraId="6D5AE90C" w14:textId="77777777" w:rsidR="007A0456" w:rsidRDefault="007A0456" w:rsidP="007A0456">
      <w:pPr>
        <w:autoSpaceDE w:val="0"/>
        <w:autoSpaceDN w:val="0"/>
        <w:adjustRightInd w:val="0"/>
        <w:jc w:val="both"/>
        <w:rPr>
          <w:rFonts w:cs="Arial"/>
          <w:color w:val="000000"/>
          <w:szCs w:val="24"/>
        </w:rPr>
      </w:pPr>
    </w:p>
    <w:p w14:paraId="53AB68DE" w14:textId="50ADE924" w:rsidR="007A0456" w:rsidRDefault="005A4ADA" w:rsidP="007A0456">
      <w:pPr>
        <w:ind w:firstLine="720"/>
        <w:jc w:val="both"/>
        <w:rPr>
          <w:rFonts w:cs="Arial"/>
          <w:szCs w:val="24"/>
        </w:rPr>
      </w:pPr>
      <w:r>
        <w:rPr>
          <w:rFonts w:cs="Arial"/>
          <w:szCs w:val="24"/>
        </w:rPr>
        <w:t>Accounts</w:t>
      </w:r>
      <w:r w:rsidR="007A0456">
        <w:rPr>
          <w:rFonts w:cs="Arial"/>
          <w:szCs w:val="24"/>
        </w:rPr>
        <w:t xml:space="preserve"> 500-599, </w:t>
      </w:r>
      <w:r w:rsidR="007A0456" w:rsidRPr="0086027F">
        <w:rPr>
          <w:rFonts w:cs="Arial"/>
          <w:szCs w:val="24"/>
          <w:u w:val="single"/>
        </w:rPr>
        <w:t>Distribution Expenses</w:t>
      </w:r>
      <w:r w:rsidR="007A0456">
        <w:rPr>
          <w:rFonts w:cs="Arial"/>
          <w:szCs w:val="24"/>
        </w:rPr>
        <w:t>, contain several hundred titles.  The following discussion will be limited to the scope of the accounts identified by the Parties or the Authority as fixed O&amp;M expenses directly related to the statutory functions.  Consequently, the Authority will only address below the distribution expenses consistent with applicable services that the EDCs provide and are potentially appropriate for MRCC inclusion (e.</w:t>
      </w:r>
      <w:r w:rsidR="00065964">
        <w:rPr>
          <w:rFonts w:cs="Arial"/>
          <w:szCs w:val="24"/>
        </w:rPr>
        <w:t>g.</w:t>
      </w:r>
      <w:r w:rsidR="007A0456">
        <w:rPr>
          <w:rFonts w:cs="Arial"/>
          <w:szCs w:val="24"/>
        </w:rPr>
        <w:t>, generation and transmission related expenses are excluded from the discussion).</w:t>
      </w:r>
    </w:p>
    <w:p w14:paraId="71E3020F" w14:textId="77777777" w:rsidR="007A0456" w:rsidRDefault="007A0456" w:rsidP="007A0456">
      <w:pPr>
        <w:jc w:val="both"/>
        <w:rPr>
          <w:rFonts w:cs="Arial"/>
          <w:szCs w:val="24"/>
        </w:rPr>
      </w:pPr>
      <w:bookmarkStart w:id="75" w:name="_Hlk497713185"/>
      <w:bookmarkStart w:id="76" w:name="_Hlk497713498"/>
    </w:p>
    <w:p w14:paraId="2CD2EB7E" w14:textId="77777777" w:rsidR="007A0456" w:rsidRDefault="007A0456" w:rsidP="007A0456">
      <w:pPr>
        <w:ind w:firstLine="720"/>
        <w:jc w:val="both"/>
        <w:rPr>
          <w:rFonts w:cs="Arial"/>
          <w:szCs w:val="24"/>
        </w:rPr>
      </w:pPr>
      <w:r>
        <w:rPr>
          <w:rFonts w:cs="Arial"/>
          <w:szCs w:val="24"/>
        </w:rPr>
        <w:t>Distribution expenses are recorded in the FERC Accounts as follows:</w:t>
      </w:r>
      <w:bookmarkEnd w:id="75"/>
    </w:p>
    <w:p w14:paraId="32A105EF" w14:textId="77777777" w:rsidR="007A0456" w:rsidRDefault="007A0456" w:rsidP="007A0456">
      <w:pPr>
        <w:jc w:val="both"/>
        <w:rPr>
          <w:rFonts w:cs="Arial"/>
          <w:szCs w:val="24"/>
        </w:rPr>
      </w:pPr>
    </w:p>
    <w:p w14:paraId="666D6E66" w14:textId="77777777" w:rsidR="007A0456" w:rsidRDefault="007A0456" w:rsidP="007E4DE4">
      <w:pPr>
        <w:pStyle w:val="ListParagraph"/>
        <w:numPr>
          <w:ilvl w:val="0"/>
          <w:numId w:val="9"/>
        </w:numPr>
        <w:spacing w:after="120"/>
        <w:contextualSpacing w:val="0"/>
        <w:jc w:val="both"/>
        <w:rPr>
          <w:rFonts w:cs="Arial"/>
          <w:szCs w:val="24"/>
          <w:u w:val="single"/>
        </w:rPr>
      </w:pPr>
      <w:bookmarkStart w:id="77" w:name="_Hlk497711660"/>
      <w:bookmarkStart w:id="78" w:name="_Hlk497712834"/>
      <w:bookmarkEnd w:id="76"/>
      <w:r>
        <w:rPr>
          <w:rFonts w:cs="Arial"/>
          <w:szCs w:val="24"/>
        </w:rPr>
        <w:t xml:space="preserve">Account 580, </w:t>
      </w:r>
      <w:r>
        <w:rPr>
          <w:rFonts w:cs="Arial"/>
          <w:szCs w:val="24"/>
          <w:u w:val="single"/>
        </w:rPr>
        <w:t>Operations Supervision and Engineering</w:t>
      </w:r>
      <w:bookmarkStart w:id="79" w:name="_Hlk497713941"/>
      <w:bookmarkStart w:id="80" w:name="_Hlk497714825"/>
      <w:bookmarkEnd w:id="77"/>
      <w:r>
        <w:rPr>
          <w:rFonts w:cs="Arial"/>
          <w:szCs w:val="24"/>
        </w:rPr>
        <w:t>, includes</w:t>
      </w:r>
      <w:r>
        <w:rPr>
          <w:rFonts w:cs="Arial"/>
          <w:color w:val="000000"/>
          <w:szCs w:val="24"/>
        </w:rPr>
        <w:t xml:space="preserve"> the cost of </w:t>
      </w:r>
      <w:bookmarkEnd w:id="79"/>
      <w:r>
        <w:rPr>
          <w:rFonts w:cs="Arial"/>
          <w:color w:val="000000"/>
          <w:szCs w:val="24"/>
        </w:rPr>
        <w:t>labor and expenses for the general supervision and direction of the operation of the distribution system</w:t>
      </w:r>
      <w:bookmarkEnd w:id="80"/>
      <w:r>
        <w:rPr>
          <w:rFonts w:cs="Arial"/>
          <w:color w:val="000000"/>
          <w:szCs w:val="24"/>
        </w:rPr>
        <w:t xml:space="preserve"> including line and meter operations.</w:t>
      </w:r>
      <w:r>
        <w:rPr>
          <w:rFonts w:cs="Arial"/>
          <w:szCs w:val="24"/>
          <w:u w:val="single"/>
        </w:rPr>
        <w:t xml:space="preserve"> </w:t>
      </w:r>
    </w:p>
    <w:p w14:paraId="0F313153"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583, </w:t>
      </w:r>
      <w:r>
        <w:rPr>
          <w:rFonts w:cs="Arial"/>
          <w:szCs w:val="24"/>
          <w:u w:val="single"/>
        </w:rPr>
        <w:t>Overhead Line Expense</w:t>
      </w:r>
      <w:r>
        <w:rPr>
          <w:rFonts w:cs="Arial"/>
          <w:color w:val="000000"/>
          <w:szCs w:val="24"/>
        </w:rPr>
        <w:t xml:space="preserve">, includes the cost of labor, </w:t>
      </w:r>
      <w:bookmarkStart w:id="81" w:name="_Hlk497714181"/>
      <w:r>
        <w:rPr>
          <w:rFonts w:cs="Arial"/>
          <w:color w:val="000000"/>
          <w:szCs w:val="24"/>
        </w:rPr>
        <w:t>materials used and expenses incurred in the operation of overhead distribution of lines and stations.</w:t>
      </w:r>
      <w:r>
        <w:rPr>
          <w:rFonts w:cs="Arial"/>
          <w:szCs w:val="24"/>
        </w:rPr>
        <w:t xml:space="preserve"> </w:t>
      </w:r>
    </w:p>
    <w:bookmarkEnd w:id="81"/>
    <w:p w14:paraId="6D3DF0B3"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584, </w:t>
      </w:r>
      <w:r>
        <w:rPr>
          <w:rFonts w:cs="Arial"/>
          <w:szCs w:val="24"/>
          <w:u w:val="single"/>
        </w:rPr>
        <w:t>Underground Line Expense</w:t>
      </w:r>
      <w:r>
        <w:rPr>
          <w:rFonts w:cs="Arial"/>
          <w:szCs w:val="24"/>
        </w:rPr>
        <w:t>, includes</w:t>
      </w:r>
      <w:r>
        <w:rPr>
          <w:rFonts w:cs="Arial"/>
          <w:color w:val="000000"/>
          <w:szCs w:val="24"/>
        </w:rPr>
        <w:t xml:space="preserve"> the cost of labor, materials used and expenses incurred in the operation of underground distribution of lines and stations.</w:t>
      </w:r>
      <w:r>
        <w:rPr>
          <w:rFonts w:cs="Arial"/>
          <w:szCs w:val="24"/>
        </w:rPr>
        <w:t xml:space="preserve"> </w:t>
      </w:r>
    </w:p>
    <w:p w14:paraId="7C480207" w14:textId="77777777" w:rsidR="007A0456" w:rsidRDefault="007A0456" w:rsidP="007E4DE4">
      <w:pPr>
        <w:pStyle w:val="ListParagraph"/>
        <w:numPr>
          <w:ilvl w:val="0"/>
          <w:numId w:val="9"/>
        </w:numPr>
        <w:spacing w:after="120"/>
        <w:contextualSpacing w:val="0"/>
        <w:jc w:val="both"/>
        <w:rPr>
          <w:rFonts w:cs="Arial"/>
          <w:szCs w:val="24"/>
          <w:u w:val="single"/>
        </w:rPr>
      </w:pPr>
      <w:r>
        <w:rPr>
          <w:rFonts w:cs="Arial"/>
          <w:szCs w:val="24"/>
        </w:rPr>
        <w:t xml:space="preserve">Account 586, </w:t>
      </w:r>
      <w:r>
        <w:rPr>
          <w:rFonts w:cs="Arial"/>
          <w:szCs w:val="24"/>
          <w:u w:val="single"/>
        </w:rPr>
        <w:t>Meter Expense</w:t>
      </w:r>
      <w:r>
        <w:rPr>
          <w:rFonts w:cs="Arial"/>
          <w:szCs w:val="24"/>
        </w:rPr>
        <w:t>, includes</w:t>
      </w:r>
      <w:r>
        <w:rPr>
          <w:rFonts w:cs="Arial"/>
          <w:color w:val="000000"/>
          <w:szCs w:val="24"/>
        </w:rPr>
        <w:t xml:space="preserve"> the cost of</w:t>
      </w:r>
      <w:r>
        <w:rPr>
          <w:rFonts w:cs="Arial"/>
          <w:szCs w:val="24"/>
        </w:rPr>
        <w:t xml:space="preserve"> labor, </w:t>
      </w:r>
      <w:r>
        <w:rPr>
          <w:rFonts w:cs="Arial"/>
          <w:color w:val="000000"/>
          <w:szCs w:val="24"/>
        </w:rPr>
        <w:t>materials used and expenses in the operation of customer meters and associated equipment.</w:t>
      </w:r>
    </w:p>
    <w:p w14:paraId="7182C23F"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587, </w:t>
      </w:r>
      <w:r>
        <w:rPr>
          <w:rFonts w:cs="Arial"/>
          <w:szCs w:val="24"/>
          <w:u w:val="single"/>
        </w:rPr>
        <w:t>Customer Installation</w:t>
      </w:r>
      <w:r>
        <w:rPr>
          <w:rFonts w:cs="Arial"/>
          <w:szCs w:val="24"/>
        </w:rPr>
        <w:t>, includes</w:t>
      </w:r>
      <w:r>
        <w:rPr>
          <w:rFonts w:cs="Arial"/>
          <w:color w:val="000000"/>
          <w:szCs w:val="24"/>
        </w:rPr>
        <w:t xml:space="preserve"> the cost of </w:t>
      </w:r>
      <w:r>
        <w:rPr>
          <w:rFonts w:cs="Arial"/>
          <w:szCs w:val="24"/>
        </w:rPr>
        <w:t xml:space="preserve">labor, </w:t>
      </w:r>
      <w:r>
        <w:rPr>
          <w:rFonts w:cs="Arial"/>
          <w:color w:val="000000"/>
          <w:szCs w:val="24"/>
        </w:rPr>
        <w:t>materials used and expenses incurred on work of customer installations.</w:t>
      </w:r>
    </w:p>
    <w:p w14:paraId="4062E6E5"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lastRenderedPageBreak/>
        <w:t xml:space="preserve">Account 588, </w:t>
      </w:r>
      <w:r>
        <w:rPr>
          <w:rFonts w:cs="Arial"/>
          <w:szCs w:val="24"/>
          <w:u w:val="single"/>
        </w:rPr>
        <w:t>Miscellaneous Distribution Expenses</w:t>
      </w:r>
      <w:r>
        <w:rPr>
          <w:rFonts w:cs="Arial"/>
          <w:szCs w:val="24"/>
        </w:rPr>
        <w:t>, includes</w:t>
      </w:r>
      <w:r>
        <w:rPr>
          <w:rFonts w:cs="Arial"/>
          <w:color w:val="000000"/>
          <w:szCs w:val="24"/>
        </w:rPr>
        <w:t xml:space="preserve"> the cost of </w:t>
      </w:r>
      <w:r>
        <w:rPr>
          <w:rFonts w:cs="Arial"/>
          <w:szCs w:val="24"/>
        </w:rPr>
        <w:t xml:space="preserve">labor, </w:t>
      </w:r>
      <w:r>
        <w:rPr>
          <w:rFonts w:cs="Arial"/>
          <w:color w:val="000000"/>
          <w:szCs w:val="24"/>
        </w:rPr>
        <w:t xml:space="preserve">materials used and expenses incurred on distribution system operations not provided for elsewhere. </w:t>
      </w:r>
    </w:p>
    <w:p w14:paraId="2D40AA59"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589, </w:t>
      </w:r>
      <w:r>
        <w:rPr>
          <w:rFonts w:cs="Arial"/>
          <w:szCs w:val="24"/>
          <w:u w:val="single"/>
        </w:rPr>
        <w:t>Rents</w:t>
      </w:r>
      <w:r>
        <w:rPr>
          <w:rFonts w:cs="Arial"/>
          <w:szCs w:val="24"/>
        </w:rPr>
        <w:t>, includes</w:t>
      </w:r>
      <w:r>
        <w:rPr>
          <w:rFonts w:cs="Arial"/>
          <w:color w:val="000000"/>
          <w:szCs w:val="24"/>
        </w:rPr>
        <w:t xml:space="preserve"> the rents of property of other used, occupied or operated in the connection of the distribution system. </w:t>
      </w:r>
    </w:p>
    <w:p w14:paraId="24D3D2EE"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590, </w:t>
      </w:r>
      <w:bookmarkStart w:id="82" w:name="_Hlk498317251"/>
      <w:r>
        <w:rPr>
          <w:rFonts w:cs="Arial"/>
          <w:szCs w:val="24"/>
          <w:u w:val="single"/>
        </w:rPr>
        <w:t>Maintenance Supervision and Engineering</w:t>
      </w:r>
      <w:bookmarkStart w:id="83" w:name="_Hlk497714897"/>
      <w:bookmarkEnd w:id="82"/>
      <w:r>
        <w:rPr>
          <w:rFonts w:cs="Arial"/>
          <w:color w:val="000000"/>
          <w:szCs w:val="24"/>
        </w:rPr>
        <w:t>, includes the cost of labor and expenses for the general supervision and direction of the maintenance</w:t>
      </w:r>
      <w:bookmarkEnd w:id="83"/>
      <w:r>
        <w:rPr>
          <w:rFonts w:cs="Arial"/>
          <w:color w:val="000000"/>
          <w:szCs w:val="24"/>
        </w:rPr>
        <w:t xml:space="preserve"> of the distribution system.</w:t>
      </w:r>
    </w:p>
    <w:bookmarkEnd w:id="78"/>
    <w:p w14:paraId="6D4FA995"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591, </w:t>
      </w:r>
      <w:r>
        <w:rPr>
          <w:rFonts w:cs="Arial"/>
          <w:szCs w:val="24"/>
          <w:u w:val="single"/>
        </w:rPr>
        <w:t>Maintenance of Structures</w:t>
      </w:r>
      <w:r>
        <w:rPr>
          <w:rFonts w:cs="Arial"/>
          <w:color w:val="000000"/>
          <w:szCs w:val="24"/>
        </w:rPr>
        <w:t xml:space="preserve">, includes the cost of labor and expenses for the general supervision and direction of the maintenance of structures. </w:t>
      </w:r>
    </w:p>
    <w:p w14:paraId="2429B104"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593, </w:t>
      </w:r>
      <w:r>
        <w:rPr>
          <w:rFonts w:cs="Arial"/>
          <w:szCs w:val="24"/>
          <w:u w:val="single"/>
        </w:rPr>
        <w:t>Maintenance of Overhead Lines</w:t>
      </w:r>
      <w:r>
        <w:rPr>
          <w:rFonts w:cs="Arial"/>
          <w:color w:val="000000"/>
          <w:szCs w:val="24"/>
        </w:rPr>
        <w:t xml:space="preserve">, includes the cost of labor, materials used and expenses incurred in the maintenance of overhead distribution line facilities. </w:t>
      </w:r>
    </w:p>
    <w:p w14:paraId="6E78B1E7"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594, </w:t>
      </w:r>
      <w:bookmarkStart w:id="84" w:name="_Hlk497712128"/>
      <w:r>
        <w:rPr>
          <w:rFonts w:cs="Arial"/>
          <w:szCs w:val="24"/>
          <w:u w:val="single"/>
        </w:rPr>
        <w:t>Maintenance of Underground Lines</w:t>
      </w:r>
      <w:bookmarkEnd w:id="84"/>
      <w:r>
        <w:rPr>
          <w:rFonts w:cs="Arial"/>
          <w:color w:val="000000"/>
          <w:szCs w:val="24"/>
        </w:rPr>
        <w:t>, includes the cost of labor, materials used and expenses incurred in the maintenance of underground distribution line facilities.</w:t>
      </w:r>
    </w:p>
    <w:p w14:paraId="274DE7C0"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595, </w:t>
      </w:r>
      <w:r>
        <w:rPr>
          <w:rFonts w:cs="Arial"/>
          <w:szCs w:val="24"/>
          <w:u w:val="single"/>
        </w:rPr>
        <w:t>Maintenance of Line Transformers</w:t>
      </w:r>
      <w:r>
        <w:rPr>
          <w:rFonts w:cs="Arial"/>
          <w:szCs w:val="24"/>
        </w:rPr>
        <w:t>, includes</w:t>
      </w:r>
      <w:r>
        <w:rPr>
          <w:rFonts w:cs="Arial"/>
          <w:color w:val="000000"/>
          <w:szCs w:val="24"/>
        </w:rPr>
        <w:t xml:space="preserve"> the cost of labor, materials used and expenses incurred in the maintenance of transformers.</w:t>
      </w:r>
    </w:p>
    <w:p w14:paraId="72C07BE6" w14:textId="77777777" w:rsidR="007A0456" w:rsidRDefault="007A0456" w:rsidP="007E4DE4">
      <w:pPr>
        <w:pStyle w:val="ListParagraph"/>
        <w:numPr>
          <w:ilvl w:val="0"/>
          <w:numId w:val="9"/>
        </w:numPr>
        <w:spacing w:after="120"/>
        <w:contextualSpacing w:val="0"/>
        <w:jc w:val="both"/>
        <w:rPr>
          <w:rFonts w:cs="Arial"/>
          <w:szCs w:val="24"/>
        </w:rPr>
      </w:pPr>
      <w:bookmarkStart w:id="85" w:name="_Hlk498317449"/>
      <w:r>
        <w:rPr>
          <w:rFonts w:cs="Arial"/>
          <w:szCs w:val="24"/>
        </w:rPr>
        <w:t xml:space="preserve">Account 597, </w:t>
      </w:r>
      <w:r>
        <w:rPr>
          <w:rFonts w:cs="Arial"/>
          <w:szCs w:val="24"/>
          <w:u w:val="single"/>
        </w:rPr>
        <w:t>Maintenance of Meters</w:t>
      </w:r>
      <w:bookmarkEnd w:id="85"/>
      <w:r>
        <w:rPr>
          <w:rFonts w:cs="Arial"/>
          <w:color w:val="000000"/>
          <w:szCs w:val="24"/>
        </w:rPr>
        <w:t>, includes the cost of labor, materials used and expenses incurred in the maintenance of meters.</w:t>
      </w:r>
    </w:p>
    <w:p w14:paraId="5D5E2DE0" w14:textId="77777777" w:rsidR="007A0456" w:rsidRDefault="007A0456" w:rsidP="007E4DE4">
      <w:pPr>
        <w:pStyle w:val="ListParagraph"/>
        <w:numPr>
          <w:ilvl w:val="0"/>
          <w:numId w:val="9"/>
        </w:numPr>
        <w:jc w:val="both"/>
        <w:rPr>
          <w:rFonts w:cs="Arial"/>
          <w:szCs w:val="24"/>
        </w:rPr>
      </w:pPr>
      <w:r>
        <w:rPr>
          <w:rFonts w:cs="Arial"/>
          <w:color w:val="000000"/>
          <w:szCs w:val="24"/>
        </w:rPr>
        <w:t xml:space="preserve">Account 598, </w:t>
      </w:r>
      <w:r>
        <w:rPr>
          <w:rFonts w:cs="Arial"/>
          <w:color w:val="000000"/>
          <w:szCs w:val="24"/>
          <w:u w:val="single"/>
        </w:rPr>
        <w:t>Maintenance of Miscellaneous Distribution Plant</w:t>
      </w:r>
      <w:r>
        <w:rPr>
          <w:rFonts w:cs="Arial"/>
          <w:color w:val="000000"/>
          <w:szCs w:val="24"/>
        </w:rPr>
        <w:t>, includes the cost of labor, materials used and expenses incurred in maintenance of plant the book cost of which is includable in Account 371, Installations on Customer’s Premises and Account 372, Leased Property on Customer’s Premises.</w:t>
      </w:r>
    </w:p>
    <w:p w14:paraId="0112C604" w14:textId="77777777" w:rsidR="007A0456" w:rsidRDefault="007A0456" w:rsidP="007A0456">
      <w:pPr>
        <w:ind w:firstLine="720"/>
        <w:jc w:val="both"/>
        <w:rPr>
          <w:rFonts w:cs="Arial"/>
          <w:szCs w:val="24"/>
        </w:rPr>
      </w:pPr>
    </w:p>
    <w:p w14:paraId="4843408C" w14:textId="123494CB" w:rsidR="007A0456" w:rsidRDefault="007A0456" w:rsidP="007A0456">
      <w:pPr>
        <w:ind w:firstLine="720"/>
        <w:jc w:val="both"/>
        <w:rPr>
          <w:rFonts w:cs="Arial"/>
          <w:szCs w:val="24"/>
        </w:rPr>
      </w:pPr>
      <w:r>
        <w:rPr>
          <w:rFonts w:cs="Arial"/>
          <w:szCs w:val="24"/>
        </w:rPr>
        <w:t xml:space="preserve">Under its proposed fully allocated MRCC COSS methodology, UI included O&amp;M expenses for </w:t>
      </w:r>
      <w:r w:rsidR="005A4ADA">
        <w:rPr>
          <w:rFonts w:cs="Arial"/>
          <w:szCs w:val="24"/>
        </w:rPr>
        <w:t>Accounts</w:t>
      </w:r>
      <w:r>
        <w:rPr>
          <w:rFonts w:cs="Arial"/>
          <w:szCs w:val="24"/>
        </w:rPr>
        <w:t xml:space="preserve"> 580 and 590 under the </w:t>
      </w:r>
      <w:r w:rsidR="00C143C2">
        <w:rPr>
          <w:rFonts w:cs="Arial"/>
          <w:szCs w:val="24"/>
        </w:rPr>
        <w:t>M</w:t>
      </w:r>
      <w:r>
        <w:rPr>
          <w:rFonts w:cs="Arial"/>
          <w:szCs w:val="24"/>
        </w:rPr>
        <w:t xml:space="preserve">etering and </w:t>
      </w:r>
      <w:r w:rsidR="00C143C2">
        <w:rPr>
          <w:rFonts w:cs="Arial"/>
          <w:szCs w:val="24"/>
        </w:rPr>
        <w:t>S</w:t>
      </w:r>
      <w:r>
        <w:rPr>
          <w:rFonts w:cs="Arial"/>
          <w:szCs w:val="24"/>
        </w:rPr>
        <w:t xml:space="preserve">ervice </w:t>
      </w:r>
      <w:r w:rsidR="00C143C2">
        <w:rPr>
          <w:rFonts w:cs="Arial"/>
          <w:szCs w:val="24"/>
        </w:rPr>
        <w:t>C</w:t>
      </w:r>
      <w:r>
        <w:rPr>
          <w:rFonts w:cs="Arial"/>
          <w:szCs w:val="24"/>
        </w:rPr>
        <w:t xml:space="preserve">onnection functions; </w:t>
      </w:r>
      <w:r w:rsidR="005A4ADA">
        <w:rPr>
          <w:rFonts w:cs="Arial"/>
          <w:szCs w:val="24"/>
        </w:rPr>
        <w:t>Accounts</w:t>
      </w:r>
      <w:r>
        <w:rPr>
          <w:rFonts w:cs="Arial"/>
          <w:szCs w:val="24"/>
        </w:rPr>
        <w:t xml:space="preserve"> 583, 584, 588, 593, and 594 for the Service Connection function; and </w:t>
      </w:r>
      <w:r w:rsidR="005A4ADA">
        <w:rPr>
          <w:rFonts w:cs="Arial"/>
          <w:szCs w:val="24"/>
        </w:rPr>
        <w:t>Accounts</w:t>
      </w:r>
      <w:r>
        <w:rPr>
          <w:rFonts w:cs="Arial"/>
          <w:szCs w:val="24"/>
        </w:rPr>
        <w:t xml:space="preserve"> 597 and 598 for the Metering function.  However, using the proposed direct assignment methodology, UI only included in its MRCC calculation expenses for </w:t>
      </w:r>
      <w:r w:rsidR="005A4ADA">
        <w:rPr>
          <w:rFonts w:cs="Arial"/>
          <w:szCs w:val="24"/>
        </w:rPr>
        <w:t>Accounts</w:t>
      </w:r>
      <w:r>
        <w:rPr>
          <w:rFonts w:cs="Arial"/>
          <w:szCs w:val="24"/>
        </w:rPr>
        <w:t xml:space="preserve"> 580, 583, and 586.  The company removed </w:t>
      </w:r>
      <w:r w:rsidR="005A4ADA">
        <w:rPr>
          <w:rFonts w:cs="Arial"/>
          <w:szCs w:val="24"/>
        </w:rPr>
        <w:t>Accounts</w:t>
      </w:r>
      <w:r>
        <w:rPr>
          <w:rFonts w:cs="Arial"/>
          <w:szCs w:val="24"/>
        </w:rPr>
        <w:t xml:space="preserve"> 588 and 594 from its MRCC calculation.  Under the direct assignment methodology, Account 584 was removed, which had </w:t>
      </w:r>
      <w:r w:rsidR="00065964">
        <w:rPr>
          <w:rFonts w:cs="Arial"/>
          <w:szCs w:val="24"/>
        </w:rPr>
        <w:t>zero</w:t>
      </w:r>
      <w:r>
        <w:rPr>
          <w:rFonts w:cs="Arial"/>
          <w:szCs w:val="24"/>
        </w:rPr>
        <w:t xml:space="preserve"> expenses.  Response to Late Filed Exhibit No. 3, Attachment Supplement 2; Revised Response to Late Filed Exhibit No. 1.  </w:t>
      </w:r>
    </w:p>
    <w:p w14:paraId="5710246F" w14:textId="77777777" w:rsidR="007A0456" w:rsidRDefault="007A0456" w:rsidP="007A0456">
      <w:pPr>
        <w:autoSpaceDE w:val="0"/>
        <w:autoSpaceDN w:val="0"/>
        <w:adjustRightInd w:val="0"/>
        <w:ind w:firstLine="720"/>
        <w:jc w:val="both"/>
        <w:rPr>
          <w:rFonts w:cs="Arial"/>
          <w:szCs w:val="24"/>
        </w:rPr>
      </w:pPr>
    </w:p>
    <w:p w14:paraId="21529902" w14:textId="2ED3196E" w:rsidR="007A0456" w:rsidRDefault="007A0456" w:rsidP="007A0456">
      <w:pPr>
        <w:autoSpaceDE w:val="0"/>
        <w:autoSpaceDN w:val="0"/>
        <w:adjustRightInd w:val="0"/>
        <w:ind w:firstLine="720"/>
        <w:jc w:val="both"/>
        <w:rPr>
          <w:rFonts w:cs="Arial"/>
          <w:color w:val="000000"/>
          <w:szCs w:val="24"/>
        </w:rPr>
      </w:pPr>
      <w:r>
        <w:rPr>
          <w:rFonts w:cs="Arial"/>
          <w:szCs w:val="24"/>
        </w:rPr>
        <w:t xml:space="preserve">In its proposed MRCC COSS, CL&amp;P included O&amp;M expenses for </w:t>
      </w:r>
      <w:r w:rsidR="005A4ADA">
        <w:rPr>
          <w:rFonts w:cs="Arial"/>
          <w:szCs w:val="24"/>
        </w:rPr>
        <w:t>Accounts</w:t>
      </w:r>
      <w:r>
        <w:rPr>
          <w:rFonts w:cs="Arial"/>
          <w:szCs w:val="24"/>
        </w:rPr>
        <w:t xml:space="preserve"> 580, 590 (under the metering and service connection functions); </w:t>
      </w:r>
      <w:r w:rsidR="005A4ADA">
        <w:rPr>
          <w:rFonts w:cs="Arial"/>
          <w:szCs w:val="24"/>
        </w:rPr>
        <w:t>Accounts</w:t>
      </w:r>
      <w:r>
        <w:rPr>
          <w:rFonts w:cs="Arial"/>
          <w:szCs w:val="24"/>
        </w:rPr>
        <w:t xml:space="preserve"> 583, 584, 587, 593, 594 and 595 (under the service connection function); and 597 and 598 (for the metering function).  Additionally, CL&amp;P included rent expenses under Account 589 as part of the distribution expenses in its calculation.  </w:t>
      </w:r>
      <w:r>
        <w:rPr>
          <w:rFonts w:cs="Arial"/>
          <w:color w:val="000000"/>
          <w:szCs w:val="24"/>
        </w:rPr>
        <w:t xml:space="preserve">CL&amp;P utilized internal allocators for </w:t>
      </w:r>
      <w:r w:rsidR="005A4ADA">
        <w:rPr>
          <w:rFonts w:cs="Arial"/>
          <w:color w:val="000000"/>
          <w:szCs w:val="24"/>
        </w:rPr>
        <w:t>Accounts</w:t>
      </w:r>
      <w:r>
        <w:rPr>
          <w:rFonts w:cs="Arial"/>
          <w:color w:val="000000"/>
          <w:szCs w:val="24"/>
        </w:rPr>
        <w:t xml:space="preserve"> 583, 584, 586, 588 and 589.  Account 583 contained expenses for overhead and underground line, pole inspections, transformers and transformer credits.  Expenses for Account 588 and Account 589 were allocated consistent with overall gross </w:t>
      </w:r>
      <w:r>
        <w:rPr>
          <w:rFonts w:cs="Arial"/>
          <w:color w:val="000000"/>
          <w:szCs w:val="24"/>
        </w:rPr>
        <w:lastRenderedPageBreak/>
        <w:t xml:space="preserve">distribution plant.  </w:t>
      </w:r>
      <w:r>
        <w:rPr>
          <w:rFonts w:cs="Arial"/>
          <w:szCs w:val="24"/>
        </w:rPr>
        <w:t xml:space="preserve">Written Comments, WC-6, Attachment 1; </w:t>
      </w:r>
      <w:r>
        <w:rPr>
          <w:rFonts w:cs="Arial"/>
          <w:color w:val="000000"/>
          <w:szCs w:val="24"/>
        </w:rPr>
        <w:t xml:space="preserve">Late Filed Exhibit No. 9, Attachment 1, p. 5.  </w:t>
      </w:r>
    </w:p>
    <w:p w14:paraId="78C49DAB" w14:textId="77777777" w:rsidR="007A0456" w:rsidRDefault="007A0456" w:rsidP="007A0456">
      <w:pPr>
        <w:ind w:firstLine="720"/>
        <w:jc w:val="both"/>
        <w:rPr>
          <w:rFonts w:cs="Arial"/>
          <w:szCs w:val="24"/>
        </w:rPr>
      </w:pPr>
    </w:p>
    <w:p w14:paraId="29E18EF3" w14:textId="1D3FC52A" w:rsidR="007A0456" w:rsidRDefault="007A0456" w:rsidP="007A0456">
      <w:pPr>
        <w:ind w:firstLine="720"/>
        <w:jc w:val="both"/>
        <w:rPr>
          <w:rFonts w:cs="Arial"/>
          <w:szCs w:val="24"/>
        </w:rPr>
      </w:pPr>
      <w:r>
        <w:rPr>
          <w:rFonts w:cs="Arial"/>
          <w:szCs w:val="24"/>
        </w:rPr>
        <w:t xml:space="preserve">The OCC included in its proposed MRCC calculation the O&amp;M expense accounts that are not in dispute by the Parties.  </w:t>
      </w:r>
      <w:r w:rsidR="005A4ADA">
        <w:rPr>
          <w:rFonts w:cs="Arial"/>
          <w:szCs w:val="24"/>
        </w:rPr>
        <w:t>Accounts</w:t>
      </w:r>
      <w:r>
        <w:rPr>
          <w:rFonts w:cs="Arial"/>
          <w:szCs w:val="24"/>
        </w:rPr>
        <w:t xml:space="preserve"> 586 and 597 were identified for the metering function.  In addition, </w:t>
      </w:r>
      <w:r w:rsidR="005A4ADA">
        <w:rPr>
          <w:rFonts w:cs="Arial"/>
          <w:szCs w:val="24"/>
        </w:rPr>
        <w:t>Accounts</w:t>
      </w:r>
      <w:r>
        <w:rPr>
          <w:rFonts w:cs="Arial"/>
          <w:szCs w:val="24"/>
        </w:rPr>
        <w:t xml:space="preserve"> 583, 584, 593 and 594 were identified for service connections while </w:t>
      </w:r>
      <w:r w:rsidR="005A4ADA">
        <w:rPr>
          <w:rFonts w:cs="Arial"/>
          <w:szCs w:val="24"/>
        </w:rPr>
        <w:t>Accounts</w:t>
      </w:r>
      <w:r>
        <w:rPr>
          <w:rFonts w:cs="Arial"/>
          <w:szCs w:val="24"/>
        </w:rPr>
        <w:t xml:space="preserve"> 580 and 590 were listed for the portion of costs associated with the metering and service connection functions.  Brief, p. 11.</w:t>
      </w:r>
    </w:p>
    <w:p w14:paraId="4D35D46C" w14:textId="77777777" w:rsidR="007A0456" w:rsidRDefault="007A0456" w:rsidP="007A0456">
      <w:pPr>
        <w:ind w:firstLine="720"/>
        <w:jc w:val="both"/>
        <w:rPr>
          <w:rFonts w:cs="Arial"/>
          <w:szCs w:val="24"/>
        </w:rPr>
      </w:pPr>
    </w:p>
    <w:p w14:paraId="25230C67" w14:textId="721365D1" w:rsidR="007A0456" w:rsidRDefault="007A0456" w:rsidP="007A0456">
      <w:pPr>
        <w:ind w:firstLine="720"/>
        <w:jc w:val="both"/>
        <w:rPr>
          <w:rFonts w:cs="Arial"/>
          <w:szCs w:val="24"/>
        </w:rPr>
      </w:pPr>
      <w:r>
        <w:rPr>
          <w:rFonts w:cs="Arial"/>
          <w:szCs w:val="24"/>
        </w:rPr>
        <w:t xml:space="preserve">The Authority finds that </w:t>
      </w:r>
      <w:r w:rsidR="005A4ADA">
        <w:rPr>
          <w:rFonts w:cs="Arial"/>
          <w:szCs w:val="24"/>
        </w:rPr>
        <w:t>Accounts</w:t>
      </w:r>
      <w:r>
        <w:rPr>
          <w:rFonts w:cs="Arial"/>
          <w:szCs w:val="24"/>
        </w:rPr>
        <w:t xml:space="preserve"> 580, 583, 584, 586, 590, 593, 594 and 597 may contain costs that are includable in the MRCC </w:t>
      </w:r>
      <w:r w:rsidR="00065964">
        <w:rPr>
          <w:rFonts w:cs="Arial"/>
          <w:szCs w:val="24"/>
        </w:rPr>
        <w:t xml:space="preserve">calculation </w:t>
      </w:r>
      <w:r>
        <w:rPr>
          <w:rFonts w:cs="Arial"/>
          <w:szCs w:val="24"/>
        </w:rPr>
        <w:t xml:space="preserve">as some of the distribution O&amp;M expenses necessary to perform the metering and service connection functions.  Consequently, only O&amp;M expenses that are linked to the distribution plant accounts </w:t>
      </w:r>
      <w:r w:rsidR="00065964">
        <w:rPr>
          <w:rFonts w:cs="Arial"/>
          <w:szCs w:val="24"/>
        </w:rPr>
        <w:t xml:space="preserve">are </w:t>
      </w:r>
      <w:r>
        <w:rPr>
          <w:rFonts w:cs="Arial"/>
          <w:szCs w:val="24"/>
        </w:rPr>
        <w:t xml:space="preserve">identified by the Authority </w:t>
      </w:r>
      <w:r w:rsidR="00065964">
        <w:rPr>
          <w:rFonts w:cs="Arial"/>
          <w:szCs w:val="24"/>
        </w:rPr>
        <w:t xml:space="preserve">in the instant Decision </w:t>
      </w:r>
      <w:r>
        <w:rPr>
          <w:rFonts w:cs="Arial"/>
          <w:szCs w:val="24"/>
        </w:rPr>
        <w:t>as includable in the MRCC calculation.</w:t>
      </w:r>
      <w:r w:rsidRPr="00207170">
        <w:rPr>
          <w:rFonts w:cs="Arial"/>
          <w:szCs w:val="24"/>
        </w:rPr>
        <w:t xml:space="preserve">  </w:t>
      </w:r>
      <w:r>
        <w:rPr>
          <w:rFonts w:cs="Arial"/>
          <w:szCs w:val="24"/>
        </w:rPr>
        <w:t xml:space="preserve">The Authority will allow the residential non-heating customer portions of the expenses in these accounts to be included in the MRCC calculation, after the expenses have been identified through direct assignment as attributable to the statutory functions. </w:t>
      </w:r>
      <w:r w:rsidR="00C649FD">
        <w:rPr>
          <w:rFonts w:cs="Arial"/>
          <w:szCs w:val="24"/>
        </w:rPr>
        <w:t xml:space="preserve"> </w:t>
      </w:r>
      <w:r>
        <w:rPr>
          <w:rFonts w:cs="Arial"/>
          <w:szCs w:val="24"/>
        </w:rPr>
        <w:t>CL&amp;P included other costs that are not directly related to the statutory functions within Account 584</w:t>
      </w:r>
      <w:r w:rsidR="00DE4489">
        <w:rPr>
          <w:rFonts w:cs="Arial"/>
          <w:szCs w:val="24"/>
        </w:rPr>
        <w:t>.  C</w:t>
      </w:r>
      <w:r>
        <w:rPr>
          <w:rFonts w:cs="Arial"/>
          <w:color w:val="000000"/>
          <w:szCs w:val="24"/>
        </w:rPr>
        <w:t xml:space="preserve">osts </w:t>
      </w:r>
      <w:r>
        <w:rPr>
          <w:rFonts w:cs="Arial"/>
          <w:szCs w:val="24"/>
        </w:rPr>
        <w:t>associated with pole inspections and transformer expenses, which are associated with other distribution plant</w:t>
      </w:r>
      <w:r w:rsidR="00DE4489">
        <w:rPr>
          <w:rFonts w:cs="Arial"/>
          <w:szCs w:val="24"/>
        </w:rPr>
        <w:t>,</w:t>
      </w:r>
      <w:r>
        <w:rPr>
          <w:rFonts w:cs="Arial"/>
          <w:szCs w:val="24"/>
        </w:rPr>
        <w:t xml:space="preserve"> are excluded from the MRCC calculation.  Also, the Authority finds that the remaining distribution expense accounts that include </w:t>
      </w:r>
      <w:r w:rsidR="005A4ADA">
        <w:rPr>
          <w:rFonts w:cs="Arial"/>
          <w:szCs w:val="24"/>
        </w:rPr>
        <w:t>Accounts</w:t>
      </w:r>
      <w:r>
        <w:rPr>
          <w:rFonts w:cs="Arial"/>
          <w:szCs w:val="24"/>
        </w:rPr>
        <w:t xml:space="preserve"> 587, 588, 589, and 595 contain costs associated with minimum system distribution plant and are in excess of the metering or service connection functions.  Account 598 is associated with maintenance of miscellaneous distribution plant that has no apparent relationship to any of the statutory functions.  Therefore, the Authority deems that </w:t>
      </w:r>
      <w:r w:rsidR="005A4ADA">
        <w:rPr>
          <w:rFonts w:cs="Arial"/>
          <w:szCs w:val="24"/>
        </w:rPr>
        <w:t>Accounts</w:t>
      </w:r>
      <w:r>
        <w:rPr>
          <w:rFonts w:cs="Arial"/>
          <w:szCs w:val="24"/>
        </w:rPr>
        <w:t xml:space="preserve"> 587, 588, 589, 595 and 598 are excluded from the MRCC calculation. </w:t>
      </w:r>
    </w:p>
    <w:p w14:paraId="4C9F84BD" w14:textId="77777777" w:rsidR="007A0456" w:rsidRDefault="007A0456" w:rsidP="007A0456">
      <w:pPr>
        <w:ind w:firstLine="720"/>
        <w:jc w:val="both"/>
        <w:rPr>
          <w:rFonts w:cs="Arial"/>
          <w:szCs w:val="24"/>
        </w:rPr>
      </w:pPr>
    </w:p>
    <w:p w14:paraId="1EB41EC7" w14:textId="0C475BE2" w:rsidR="007A0456" w:rsidRDefault="007A0456" w:rsidP="00E1092F">
      <w:pPr>
        <w:pStyle w:val="Heading3"/>
        <w:tabs>
          <w:tab w:val="clear" w:pos="1800"/>
          <w:tab w:val="num" w:pos="2160"/>
        </w:tabs>
        <w:ind w:hanging="720"/>
      </w:pPr>
      <w:bookmarkStart w:id="86" w:name="_Toc499050496"/>
      <w:bookmarkStart w:id="87" w:name="_Toc501528284"/>
      <w:r w:rsidRPr="00DE56BC">
        <w:t>Customer Account</w:t>
      </w:r>
      <w:r>
        <w:t>s</w:t>
      </w:r>
      <w:r w:rsidRPr="00DE56BC">
        <w:t xml:space="preserve"> Expenses</w:t>
      </w:r>
      <w:r>
        <w:t xml:space="preserve">, </w:t>
      </w:r>
      <w:r w:rsidR="005A4ADA">
        <w:t>Accounts</w:t>
      </w:r>
      <w:r>
        <w:t xml:space="preserve"> 901- 905</w:t>
      </w:r>
      <w:bookmarkEnd w:id="86"/>
      <w:bookmarkEnd w:id="87"/>
    </w:p>
    <w:p w14:paraId="7F0D8325" w14:textId="77777777" w:rsidR="007A0456" w:rsidRDefault="007A0456" w:rsidP="007A0456">
      <w:pPr>
        <w:jc w:val="both"/>
        <w:rPr>
          <w:rFonts w:cs="Arial"/>
          <w:szCs w:val="24"/>
        </w:rPr>
      </w:pPr>
    </w:p>
    <w:p w14:paraId="446D0DE3" w14:textId="77777777" w:rsidR="007A0456" w:rsidRDefault="007A0456" w:rsidP="007A0456">
      <w:pPr>
        <w:ind w:firstLine="720"/>
        <w:jc w:val="both"/>
        <w:rPr>
          <w:rFonts w:cs="Arial"/>
          <w:szCs w:val="24"/>
        </w:rPr>
      </w:pPr>
      <w:r>
        <w:rPr>
          <w:rFonts w:cs="Arial"/>
          <w:szCs w:val="24"/>
        </w:rPr>
        <w:t>Customer accounts expenses are recorded in the FERC Accounts as follows:</w:t>
      </w:r>
    </w:p>
    <w:p w14:paraId="26BAA997" w14:textId="77777777" w:rsidR="007A0456" w:rsidRDefault="007A0456" w:rsidP="007A0456">
      <w:pPr>
        <w:jc w:val="both"/>
        <w:rPr>
          <w:rFonts w:cs="Arial"/>
          <w:szCs w:val="24"/>
        </w:rPr>
      </w:pPr>
    </w:p>
    <w:p w14:paraId="6208BD73" w14:textId="77777777" w:rsidR="007A0456" w:rsidRDefault="007A0456" w:rsidP="007E4DE4">
      <w:pPr>
        <w:pStyle w:val="ListParagraph"/>
        <w:numPr>
          <w:ilvl w:val="0"/>
          <w:numId w:val="9"/>
        </w:numPr>
        <w:spacing w:after="120"/>
        <w:contextualSpacing w:val="0"/>
        <w:jc w:val="both"/>
        <w:rPr>
          <w:rFonts w:cs="Arial"/>
          <w:szCs w:val="24"/>
          <w:u w:val="single"/>
        </w:rPr>
      </w:pPr>
      <w:bookmarkStart w:id="88" w:name="_Hlk497713354"/>
      <w:bookmarkStart w:id="89" w:name="_Hlk498317636"/>
      <w:r>
        <w:rPr>
          <w:rFonts w:cs="Arial"/>
          <w:szCs w:val="24"/>
        </w:rPr>
        <w:t xml:space="preserve">Account 901, </w:t>
      </w:r>
      <w:r>
        <w:rPr>
          <w:rFonts w:cs="Arial"/>
          <w:szCs w:val="24"/>
          <w:u w:val="single"/>
        </w:rPr>
        <w:t>Supervision</w:t>
      </w:r>
      <w:r>
        <w:rPr>
          <w:rFonts w:cs="Arial"/>
          <w:szCs w:val="24"/>
        </w:rPr>
        <w:t>, includes</w:t>
      </w:r>
      <w:r>
        <w:rPr>
          <w:rFonts w:cs="Arial"/>
          <w:color w:val="000000"/>
          <w:szCs w:val="24"/>
        </w:rPr>
        <w:t xml:space="preserve"> the cost of labor and expenses incurred for the general direction and supervision of customer accounting and collecting activities.</w:t>
      </w:r>
    </w:p>
    <w:p w14:paraId="0458DC71"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902, </w:t>
      </w:r>
      <w:r>
        <w:rPr>
          <w:rFonts w:cs="Arial"/>
          <w:szCs w:val="24"/>
          <w:u w:val="single"/>
        </w:rPr>
        <w:t>Meter Reading</w:t>
      </w:r>
      <w:r>
        <w:rPr>
          <w:rFonts w:cs="Arial"/>
          <w:color w:val="000000"/>
          <w:szCs w:val="24"/>
        </w:rPr>
        <w:t>, includes the cost of labor materials and expenses incurred in reading customer meters and determining consumption performed by employees engaged in reading meters.</w:t>
      </w:r>
    </w:p>
    <w:p w14:paraId="600D9199"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903, </w:t>
      </w:r>
      <w:r>
        <w:rPr>
          <w:rFonts w:cs="Arial"/>
          <w:szCs w:val="24"/>
          <w:u w:val="single"/>
        </w:rPr>
        <w:t>Customer Records and Collection Expense</w:t>
      </w:r>
      <w:r>
        <w:rPr>
          <w:rFonts w:cs="Arial"/>
          <w:color w:val="000000"/>
          <w:szCs w:val="24"/>
        </w:rPr>
        <w:t xml:space="preserve">, includes the cost of labor, materials and expenses incurred on work on customer applications, contracts, orders and credit investigations. </w:t>
      </w:r>
    </w:p>
    <w:p w14:paraId="03977D6B" w14:textId="2751386F" w:rsidR="007A0456" w:rsidRDefault="007A0456" w:rsidP="007E4DE4">
      <w:pPr>
        <w:pStyle w:val="ListParagraph"/>
        <w:numPr>
          <w:ilvl w:val="0"/>
          <w:numId w:val="9"/>
        </w:numPr>
        <w:spacing w:after="120"/>
        <w:contextualSpacing w:val="0"/>
        <w:jc w:val="both"/>
        <w:rPr>
          <w:rFonts w:cs="Arial"/>
          <w:szCs w:val="24"/>
          <w:u w:val="single"/>
        </w:rPr>
      </w:pPr>
      <w:r>
        <w:rPr>
          <w:rFonts w:cs="Arial"/>
          <w:szCs w:val="24"/>
        </w:rPr>
        <w:t xml:space="preserve">Account 904, </w:t>
      </w:r>
      <w:r>
        <w:rPr>
          <w:rFonts w:cs="Arial"/>
          <w:szCs w:val="24"/>
          <w:u w:val="single"/>
        </w:rPr>
        <w:t>Uncollectible Accounts</w:t>
      </w:r>
      <w:r w:rsidR="00065964">
        <w:rPr>
          <w:rFonts w:cs="Arial"/>
          <w:b/>
          <w:szCs w:val="24"/>
        </w:rPr>
        <w:t xml:space="preserve">, </w:t>
      </w:r>
      <w:r>
        <w:rPr>
          <w:rFonts w:cs="Arial"/>
          <w:szCs w:val="24"/>
        </w:rPr>
        <w:t xml:space="preserve">the account shall be charged with amounts sufficient to provide for losses from uncollectible utility revenues. </w:t>
      </w:r>
      <w:r>
        <w:rPr>
          <w:rFonts w:cs="Arial"/>
          <w:b/>
          <w:szCs w:val="24"/>
        </w:rPr>
        <w:t xml:space="preserve"> </w:t>
      </w:r>
      <w:bookmarkEnd w:id="88"/>
    </w:p>
    <w:p w14:paraId="65B31563" w14:textId="77777777" w:rsidR="007A0456" w:rsidRPr="002A67E2" w:rsidRDefault="007A0456" w:rsidP="007E4DE4">
      <w:pPr>
        <w:pStyle w:val="ListParagraph"/>
        <w:numPr>
          <w:ilvl w:val="0"/>
          <w:numId w:val="9"/>
        </w:numPr>
        <w:jc w:val="both"/>
        <w:rPr>
          <w:rFonts w:cs="Arial"/>
          <w:szCs w:val="24"/>
          <w:u w:val="single"/>
        </w:rPr>
      </w:pPr>
      <w:r>
        <w:rPr>
          <w:rFonts w:cs="Arial"/>
          <w:szCs w:val="24"/>
        </w:rPr>
        <w:t xml:space="preserve">Account 905, </w:t>
      </w:r>
      <w:r>
        <w:rPr>
          <w:rFonts w:cs="Arial"/>
          <w:szCs w:val="24"/>
          <w:u w:val="single"/>
        </w:rPr>
        <w:t>Miscellaneous Customer Accounts Expense</w:t>
      </w:r>
      <w:r>
        <w:rPr>
          <w:rFonts w:cs="Arial"/>
          <w:szCs w:val="24"/>
        </w:rPr>
        <w:t>, includes</w:t>
      </w:r>
      <w:r>
        <w:rPr>
          <w:rFonts w:cs="Arial"/>
          <w:color w:val="000000"/>
          <w:szCs w:val="24"/>
        </w:rPr>
        <w:t xml:space="preserve"> the cost of labor, materials and expenses incurred not provided for in other accounts.</w:t>
      </w:r>
    </w:p>
    <w:bookmarkEnd w:id="89"/>
    <w:p w14:paraId="2248548D" w14:textId="77777777" w:rsidR="007A0456" w:rsidRDefault="007A0456" w:rsidP="007A0456">
      <w:pPr>
        <w:ind w:firstLine="720"/>
        <w:jc w:val="both"/>
        <w:rPr>
          <w:rFonts w:cs="Arial"/>
          <w:szCs w:val="24"/>
        </w:rPr>
      </w:pPr>
    </w:p>
    <w:p w14:paraId="4BE07A0B" w14:textId="74A14847" w:rsidR="007A0456" w:rsidRDefault="007A0456" w:rsidP="007A0456">
      <w:pPr>
        <w:ind w:firstLine="720"/>
        <w:jc w:val="both"/>
        <w:rPr>
          <w:rFonts w:cs="Arial"/>
          <w:szCs w:val="24"/>
        </w:rPr>
      </w:pPr>
      <w:r>
        <w:rPr>
          <w:rFonts w:cs="Arial"/>
          <w:szCs w:val="24"/>
        </w:rPr>
        <w:lastRenderedPageBreak/>
        <w:t xml:space="preserve">Under both its proposed MRCC COSS and direct assignment cost methodologies, UI included expenses for </w:t>
      </w:r>
      <w:r w:rsidR="005A4ADA">
        <w:rPr>
          <w:rFonts w:cs="Arial"/>
          <w:szCs w:val="24"/>
        </w:rPr>
        <w:t>Accounts</w:t>
      </w:r>
      <w:r>
        <w:rPr>
          <w:rFonts w:cs="Arial"/>
          <w:szCs w:val="24"/>
        </w:rPr>
        <w:t xml:space="preserve"> 901 through 905.  UI included costs attributed for Account 901, primarily for the billing function with some additional costs attributed to the metering function.  Account 902 consists of metering reading costs and is attributed to the metering function.  </w:t>
      </w:r>
      <w:r w:rsidR="005A4ADA">
        <w:rPr>
          <w:rFonts w:cs="Arial"/>
          <w:szCs w:val="24"/>
        </w:rPr>
        <w:t>Accounts</w:t>
      </w:r>
      <w:r>
        <w:rPr>
          <w:rFonts w:cs="Arial"/>
          <w:szCs w:val="24"/>
        </w:rPr>
        <w:t xml:space="preserve"> 903 and 905 include costs associated with customer account records, orders and miscellaneous expenses, which were attributed to the billing function.  Response to Late Filed Exhibit No. 1, Revised Attachment 1;</w:t>
      </w:r>
      <w:r w:rsidRPr="00577E02">
        <w:rPr>
          <w:rFonts w:cs="Arial"/>
          <w:szCs w:val="24"/>
        </w:rPr>
        <w:t xml:space="preserve"> </w:t>
      </w:r>
      <w:r>
        <w:rPr>
          <w:rFonts w:cs="Arial"/>
          <w:szCs w:val="24"/>
        </w:rPr>
        <w:t>Late Filed Exhibit No. 3, Attachment, Supplement 2.  UI also proposed to include costs associated with Account 904 in its MRCC calculation.  UI asserted that uncollectible rate base and expense items should be included in the MRCC calculation because uncollectible accounts have billing implications.  The company also proposed to include revenues associated with late fees and returned check fees to offset the expenses associated with uncollectibles.  Colca PFT, pp. 9 and</w:t>
      </w:r>
      <w:r w:rsidR="00065964">
        <w:rPr>
          <w:rFonts w:cs="Arial"/>
          <w:szCs w:val="24"/>
        </w:rPr>
        <w:t> </w:t>
      </w:r>
      <w:r>
        <w:rPr>
          <w:rFonts w:cs="Arial"/>
          <w:szCs w:val="24"/>
        </w:rPr>
        <w:t>10.</w:t>
      </w:r>
    </w:p>
    <w:p w14:paraId="7DB6C325" w14:textId="77777777" w:rsidR="007A0456" w:rsidRDefault="007A0456" w:rsidP="007A0456">
      <w:pPr>
        <w:ind w:firstLine="720"/>
        <w:jc w:val="both"/>
        <w:rPr>
          <w:rFonts w:cs="Arial"/>
          <w:szCs w:val="24"/>
        </w:rPr>
      </w:pPr>
    </w:p>
    <w:p w14:paraId="520B397A" w14:textId="12CA88A2" w:rsidR="007A0456" w:rsidRDefault="007A0456" w:rsidP="007A0456">
      <w:pPr>
        <w:jc w:val="both"/>
        <w:rPr>
          <w:rFonts w:cs="Arial"/>
          <w:szCs w:val="24"/>
        </w:rPr>
      </w:pPr>
      <w:r w:rsidRPr="0086027F">
        <w:rPr>
          <w:rFonts w:cs="Arial"/>
          <w:szCs w:val="24"/>
        </w:rPr>
        <w:tab/>
        <w:t xml:space="preserve">CL&amp;P proposed to include costs associated with </w:t>
      </w:r>
      <w:r w:rsidR="005A4ADA">
        <w:rPr>
          <w:rFonts w:cs="Arial"/>
          <w:szCs w:val="24"/>
        </w:rPr>
        <w:t>Accounts</w:t>
      </w:r>
      <w:r w:rsidRPr="0086027F">
        <w:rPr>
          <w:rFonts w:cs="Arial"/>
          <w:szCs w:val="24"/>
        </w:rPr>
        <w:t xml:space="preserve"> 901, 902, 903, and 905 in the MRCC calculation.  For </w:t>
      </w:r>
      <w:r>
        <w:rPr>
          <w:rFonts w:cs="Arial"/>
          <w:szCs w:val="24"/>
        </w:rPr>
        <w:t xml:space="preserve">Account </w:t>
      </w:r>
      <w:r w:rsidRPr="0086027F">
        <w:rPr>
          <w:rFonts w:cs="Arial"/>
          <w:szCs w:val="24"/>
        </w:rPr>
        <w:t xml:space="preserve">901, CL&amp;P used internal allocators and summed the labor expenses from </w:t>
      </w:r>
      <w:r w:rsidR="005A4ADA">
        <w:rPr>
          <w:rFonts w:cs="Arial"/>
          <w:szCs w:val="24"/>
        </w:rPr>
        <w:t>Accounts</w:t>
      </w:r>
      <w:r w:rsidRPr="0086027F">
        <w:rPr>
          <w:rFonts w:cs="Arial"/>
          <w:szCs w:val="24"/>
        </w:rPr>
        <w:t xml:space="preserve"> 902 through 905 to determine the expenses associated with residential non</w:t>
      </w:r>
      <w:r w:rsidRPr="0086027F">
        <w:rPr>
          <w:rFonts w:cs="Arial"/>
          <w:szCs w:val="24"/>
        </w:rPr>
        <w:noBreakHyphen/>
        <w:t xml:space="preserve">heating customers.  CL&amp;P utilized a weighted meter reading cost allocator for </w:t>
      </w:r>
      <w:r>
        <w:rPr>
          <w:rFonts w:cs="Arial"/>
          <w:szCs w:val="24"/>
        </w:rPr>
        <w:t xml:space="preserve">Account </w:t>
      </w:r>
      <w:r w:rsidRPr="0086027F">
        <w:rPr>
          <w:rFonts w:cs="Arial"/>
          <w:szCs w:val="24"/>
        </w:rPr>
        <w:t xml:space="preserve">902 to determine the expenses for that </w:t>
      </w:r>
      <w:r>
        <w:rPr>
          <w:rFonts w:cs="Arial"/>
          <w:szCs w:val="24"/>
        </w:rPr>
        <w:t>account and attributed the expenses to the metering function.  Expenses associated with Account 903 were attributed to the billing function and expenses for Account 905 were attributed to the customer service function.  CL&amp;P utilized a direct assignment for Account 904 and attributed 0% of the costs to the customer component for residential non-heating customers.  Response to Late Filed Exhibit No. 9, Attachment 1.</w:t>
      </w:r>
    </w:p>
    <w:p w14:paraId="6D35F830" w14:textId="77777777" w:rsidR="00DE4489" w:rsidRDefault="00DE4489" w:rsidP="007A0456">
      <w:pPr>
        <w:jc w:val="both"/>
        <w:rPr>
          <w:rFonts w:cs="Arial"/>
          <w:szCs w:val="24"/>
        </w:rPr>
      </w:pPr>
    </w:p>
    <w:p w14:paraId="13A8DCC8" w14:textId="77777777" w:rsidR="007A0456" w:rsidRDefault="007A0456" w:rsidP="007A0456">
      <w:pPr>
        <w:ind w:firstLine="720"/>
        <w:jc w:val="both"/>
        <w:rPr>
          <w:rFonts w:cs="Arial"/>
          <w:szCs w:val="24"/>
        </w:rPr>
      </w:pPr>
      <w:r>
        <w:rPr>
          <w:rFonts w:cs="Arial"/>
          <w:szCs w:val="24"/>
        </w:rPr>
        <w:t>The OCC identified the customer expense accounts that are not in dispute by the parties.  The OCC’s table included Account 901 through 905 as account codes that have directly related costs to the statutory functions and would be included in the MRCC calculation. OCC Brief, Table 1, p. 11.</w:t>
      </w:r>
    </w:p>
    <w:p w14:paraId="502AA7DE" w14:textId="77777777" w:rsidR="007A0456" w:rsidRDefault="007A0456" w:rsidP="007A0456">
      <w:pPr>
        <w:ind w:firstLine="720"/>
        <w:jc w:val="both"/>
        <w:rPr>
          <w:rFonts w:cs="Arial"/>
          <w:szCs w:val="24"/>
        </w:rPr>
      </w:pPr>
    </w:p>
    <w:p w14:paraId="0F76C6DE" w14:textId="0CD78F95" w:rsidR="007A0456" w:rsidRDefault="007A0456" w:rsidP="007A0456">
      <w:pPr>
        <w:autoSpaceDE w:val="0"/>
        <w:autoSpaceDN w:val="0"/>
        <w:jc w:val="both"/>
        <w:rPr>
          <w:rFonts w:cs="Arial"/>
          <w:szCs w:val="24"/>
        </w:rPr>
      </w:pPr>
      <w:r>
        <w:rPr>
          <w:rFonts w:cs="Arial"/>
          <w:szCs w:val="24"/>
        </w:rPr>
        <w:tab/>
        <w:t xml:space="preserve">The Authority concludes that some expenses identified by the parties in </w:t>
      </w:r>
      <w:r w:rsidR="005A4ADA">
        <w:rPr>
          <w:rFonts w:cs="Arial"/>
          <w:szCs w:val="24"/>
        </w:rPr>
        <w:t>Accounts</w:t>
      </w:r>
      <w:r>
        <w:rPr>
          <w:rFonts w:cs="Arial"/>
          <w:szCs w:val="24"/>
        </w:rPr>
        <w:t xml:space="preserve"> 901, 902, 903, and 905 are directly related to billing, metering or customer service.  Therefore, the Authority deems costs in these </w:t>
      </w:r>
      <w:r w:rsidR="00065964">
        <w:rPr>
          <w:rFonts w:cs="Arial"/>
          <w:szCs w:val="24"/>
        </w:rPr>
        <w:t>a</w:t>
      </w:r>
      <w:r>
        <w:rPr>
          <w:rFonts w:cs="Arial"/>
          <w:szCs w:val="24"/>
        </w:rPr>
        <w:t>ccounts as eligible for inclusion in the MRCC calculation as identified through direct assignment.  If</w:t>
      </w:r>
      <w:r>
        <w:t xml:space="preserve"> direct assignment is not practical, such as shared customer service center operations that span multiple operating companies,</w:t>
      </w:r>
      <w:r>
        <w:rPr>
          <w:rFonts w:cs="Arial"/>
          <w:szCs w:val="24"/>
        </w:rPr>
        <w:t xml:space="preserve"> </w:t>
      </w:r>
      <w:r>
        <w:t>the Authority will consider cost allocation proposals</w:t>
      </w:r>
      <w:r w:rsidR="00420AB2">
        <w:t xml:space="preserve"> </w:t>
      </w:r>
      <w:r w:rsidR="00420AB2">
        <w:rPr>
          <w:rFonts w:cs="Arial"/>
          <w:szCs w:val="24"/>
        </w:rPr>
        <w:t>as discussed in Section III.B.</w:t>
      </w:r>
      <w:r w:rsidR="00D47802">
        <w:rPr>
          <w:rFonts w:cs="Arial"/>
          <w:szCs w:val="24"/>
        </w:rPr>
        <w:t>4</w:t>
      </w:r>
      <w:r w:rsidR="00420AB2">
        <w:rPr>
          <w:rFonts w:cs="Arial"/>
          <w:szCs w:val="24"/>
        </w:rPr>
        <w:t xml:space="preserve">. </w:t>
      </w:r>
      <w:r w:rsidR="00420AB2" w:rsidRPr="00877D32">
        <w:rPr>
          <w:rFonts w:cs="Arial"/>
          <w:szCs w:val="24"/>
          <w:u w:val="single"/>
        </w:rPr>
        <w:t>MRCC Application</w:t>
      </w:r>
      <w:r>
        <w:t xml:space="preserve">.  These proposals must conform to the requirements of </w:t>
      </w:r>
      <w:r>
        <w:rPr>
          <w:rFonts w:cs="Arial"/>
          <w:color w:val="000000"/>
          <w:szCs w:val="24"/>
        </w:rPr>
        <w:t>Conn. Gen. Stat. §16-243bb,</w:t>
      </w:r>
      <w:r>
        <w:t xml:space="preserve"> </w:t>
      </w:r>
      <w:r>
        <w:rPr>
          <w:rFonts w:cs="Arial"/>
          <w:color w:val="000000"/>
          <w:szCs w:val="24"/>
        </w:rPr>
        <w:t>where reasonable, to ensure that only directly related costs are included</w:t>
      </w:r>
      <w:r>
        <w:t>.</w:t>
      </w:r>
    </w:p>
    <w:p w14:paraId="5AB7F69B" w14:textId="77777777" w:rsidR="007A0456" w:rsidRDefault="007A0456" w:rsidP="007A0456">
      <w:pPr>
        <w:autoSpaceDE w:val="0"/>
        <w:autoSpaceDN w:val="0"/>
        <w:jc w:val="both"/>
        <w:rPr>
          <w:rFonts w:cs="Arial"/>
          <w:szCs w:val="24"/>
        </w:rPr>
      </w:pPr>
    </w:p>
    <w:p w14:paraId="5E7C8ED8" w14:textId="77777777" w:rsidR="007A0456" w:rsidRDefault="007A0456" w:rsidP="007A0456">
      <w:pPr>
        <w:autoSpaceDE w:val="0"/>
        <w:autoSpaceDN w:val="0"/>
        <w:jc w:val="both"/>
        <w:rPr>
          <w:rFonts w:cs="Arial"/>
          <w:szCs w:val="24"/>
        </w:rPr>
      </w:pPr>
      <w:r>
        <w:rPr>
          <w:rFonts w:cs="Arial"/>
          <w:szCs w:val="24"/>
        </w:rPr>
        <w:tab/>
        <w:t xml:space="preserve">The Authority finds that costs associated with Account 904 has no apparent relationship to the statutory functions.  The uncollectible allowance is approved in a general rate case as a public policy expense that recognizes that a certain portion of revenue will not be realized through customer receipts and will ultimately be charged off.  The purpose of the actual uncollectible allowance is to recognize and provide for the recovery of this revenue shortfall through base rates.  The uncollectible allowance does not include direct labor expenses incurred in the EDCs credit and collection activity, which are recorded in Account 903 for the billing function.  Based on the aforementioned, the Authority excludes these costs from the MRCC calculation.  </w:t>
      </w:r>
    </w:p>
    <w:p w14:paraId="4982A6D5" w14:textId="77777777" w:rsidR="007A0456" w:rsidRDefault="007A0456" w:rsidP="007A0456">
      <w:pPr>
        <w:autoSpaceDE w:val="0"/>
        <w:autoSpaceDN w:val="0"/>
        <w:ind w:firstLine="720"/>
        <w:jc w:val="both"/>
        <w:rPr>
          <w:rFonts w:cs="Arial"/>
          <w:szCs w:val="24"/>
        </w:rPr>
      </w:pPr>
      <w:r>
        <w:rPr>
          <w:rFonts w:cs="Arial"/>
          <w:szCs w:val="24"/>
        </w:rPr>
        <w:lastRenderedPageBreak/>
        <w:t xml:space="preserve">The Authority also excludes Account 144 that would incorporate for late fees and returned check fees revenues that partially offset the expenses incurred in Account 904.  Just as Account 904 is excluded from the MRCC calculation, the Authority finds that the associated revenues must also be excluded from the MRCC calculation.  </w:t>
      </w:r>
    </w:p>
    <w:p w14:paraId="34472401" w14:textId="77777777" w:rsidR="007A0456" w:rsidRDefault="007A0456" w:rsidP="007A0456">
      <w:pPr>
        <w:autoSpaceDE w:val="0"/>
        <w:autoSpaceDN w:val="0"/>
        <w:jc w:val="both"/>
        <w:rPr>
          <w:rFonts w:cs="Arial"/>
          <w:color w:val="000000"/>
          <w:szCs w:val="24"/>
        </w:rPr>
      </w:pPr>
    </w:p>
    <w:p w14:paraId="283D000C" w14:textId="46AE000C" w:rsidR="007A0456" w:rsidRDefault="007A0456" w:rsidP="00E1092F">
      <w:pPr>
        <w:pStyle w:val="Heading3"/>
        <w:tabs>
          <w:tab w:val="clear" w:pos="1800"/>
          <w:tab w:val="num" w:pos="2160"/>
        </w:tabs>
        <w:ind w:hanging="720"/>
      </w:pPr>
      <w:bookmarkStart w:id="90" w:name="_Toc499050497"/>
      <w:bookmarkStart w:id="91" w:name="_Toc501528285"/>
      <w:r w:rsidRPr="002047D0">
        <w:t>Customer Service and Informational Expenses</w:t>
      </w:r>
      <w:bookmarkEnd w:id="90"/>
      <w:bookmarkEnd w:id="91"/>
    </w:p>
    <w:p w14:paraId="4737A35A" w14:textId="77777777" w:rsidR="007A0456" w:rsidRPr="00F44ECA" w:rsidRDefault="007A0456" w:rsidP="007A0456">
      <w:pPr>
        <w:jc w:val="both"/>
      </w:pPr>
    </w:p>
    <w:p w14:paraId="3C82891D" w14:textId="77777777" w:rsidR="007A0456" w:rsidRDefault="007A0456" w:rsidP="007A0456">
      <w:pPr>
        <w:pStyle w:val="ListParagraph"/>
        <w:tabs>
          <w:tab w:val="left" w:pos="720"/>
        </w:tabs>
        <w:ind w:left="0"/>
        <w:jc w:val="both"/>
        <w:rPr>
          <w:rFonts w:cs="Arial"/>
          <w:szCs w:val="24"/>
        </w:rPr>
      </w:pPr>
      <w:r>
        <w:rPr>
          <w:rFonts w:cs="Arial"/>
          <w:szCs w:val="24"/>
        </w:rPr>
        <w:tab/>
        <w:t>Customer Service and Informational Expenses are recorded in the FERC Accounts as follows:</w:t>
      </w:r>
    </w:p>
    <w:p w14:paraId="76D2FA12" w14:textId="77777777" w:rsidR="007A0456" w:rsidRDefault="007A0456" w:rsidP="007A0456">
      <w:pPr>
        <w:pStyle w:val="ListParagraph"/>
        <w:jc w:val="both"/>
        <w:rPr>
          <w:rFonts w:cs="Arial"/>
          <w:szCs w:val="24"/>
        </w:rPr>
      </w:pPr>
    </w:p>
    <w:p w14:paraId="16D06AE5" w14:textId="77777777" w:rsidR="007A0456" w:rsidRDefault="007A0456" w:rsidP="007E4DE4">
      <w:pPr>
        <w:pStyle w:val="ListParagraph"/>
        <w:numPr>
          <w:ilvl w:val="0"/>
          <w:numId w:val="9"/>
        </w:numPr>
        <w:spacing w:after="120"/>
        <w:contextualSpacing w:val="0"/>
        <w:jc w:val="both"/>
        <w:rPr>
          <w:rFonts w:cs="Arial"/>
          <w:szCs w:val="24"/>
          <w:u w:val="single"/>
        </w:rPr>
      </w:pPr>
      <w:bookmarkStart w:id="92" w:name="_Hlk498317958"/>
      <w:r>
        <w:rPr>
          <w:rFonts w:cs="Arial"/>
          <w:szCs w:val="24"/>
        </w:rPr>
        <w:t xml:space="preserve">Account 907, </w:t>
      </w:r>
      <w:r>
        <w:rPr>
          <w:rFonts w:cs="Arial"/>
          <w:szCs w:val="24"/>
          <w:u w:val="single"/>
        </w:rPr>
        <w:t>Supervision</w:t>
      </w:r>
      <w:r>
        <w:rPr>
          <w:rFonts w:cs="Arial"/>
          <w:szCs w:val="24"/>
        </w:rPr>
        <w:t>, includes</w:t>
      </w:r>
      <w:r>
        <w:rPr>
          <w:rFonts w:cs="Arial"/>
          <w:color w:val="000000"/>
          <w:szCs w:val="24"/>
        </w:rPr>
        <w:t xml:space="preserve"> the cost of labor and expenses in the general direction and supervision of customer service activities, to encourage safe, efficient and economical use of the utility’s service. </w:t>
      </w:r>
    </w:p>
    <w:p w14:paraId="54A18B76"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908, </w:t>
      </w:r>
      <w:r>
        <w:rPr>
          <w:rFonts w:cs="Arial"/>
          <w:szCs w:val="24"/>
          <w:u w:val="single"/>
        </w:rPr>
        <w:t>Customer Assistance Expense</w:t>
      </w:r>
      <w:r>
        <w:rPr>
          <w:rFonts w:cs="Arial"/>
          <w:szCs w:val="24"/>
        </w:rPr>
        <w:t>, includes</w:t>
      </w:r>
      <w:r>
        <w:rPr>
          <w:rFonts w:cs="Arial"/>
          <w:color w:val="000000"/>
          <w:szCs w:val="24"/>
        </w:rPr>
        <w:t xml:space="preserve"> the cost of labor, materials and expenses incurred for includes the cost of labor and expenses incurred in providing instructions or assistance to customers to encourage safe, efficient and economical use of the utility’s service.</w:t>
      </w:r>
    </w:p>
    <w:p w14:paraId="54701784"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909, </w:t>
      </w:r>
      <w:r>
        <w:rPr>
          <w:rFonts w:cs="Arial"/>
          <w:szCs w:val="24"/>
          <w:u w:val="single"/>
        </w:rPr>
        <w:t>Informational and Instructional Advertising Expense</w:t>
      </w:r>
      <w:r>
        <w:rPr>
          <w:rFonts w:cs="Arial"/>
          <w:color w:val="000000"/>
          <w:szCs w:val="24"/>
        </w:rPr>
        <w:t xml:space="preserve"> service, includes the cost of labor, materials and expenses incurred in activities which convey information to customers to protect health, safety, to encourage environmental protection or to conserve energy.</w:t>
      </w:r>
    </w:p>
    <w:p w14:paraId="6B430123" w14:textId="77777777" w:rsidR="007A0456" w:rsidRDefault="007A0456" w:rsidP="007E4DE4">
      <w:pPr>
        <w:pStyle w:val="ListParagraph"/>
        <w:numPr>
          <w:ilvl w:val="0"/>
          <w:numId w:val="9"/>
        </w:numPr>
        <w:jc w:val="both"/>
        <w:rPr>
          <w:rFonts w:cs="Arial"/>
          <w:szCs w:val="24"/>
          <w:u w:val="single"/>
        </w:rPr>
      </w:pPr>
      <w:r>
        <w:rPr>
          <w:rFonts w:cs="Arial"/>
          <w:color w:val="000000"/>
          <w:szCs w:val="24"/>
        </w:rPr>
        <w:t xml:space="preserve">Account 910, </w:t>
      </w:r>
      <w:r>
        <w:rPr>
          <w:rFonts w:cs="Arial"/>
          <w:color w:val="000000"/>
          <w:szCs w:val="24"/>
          <w:u w:val="single"/>
        </w:rPr>
        <w:t>Miscellaneous Customer Service and Informational Expenses</w:t>
      </w:r>
      <w:r>
        <w:rPr>
          <w:rFonts w:cs="Arial"/>
          <w:color w:val="000000"/>
          <w:szCs w:val="24"/>
        </w:rPr>
        <w:t>, includes the cost of labor, materials and expenses incurred in connection with customer service and informational activities which are not includable in other customer information expense accounts</w:t>
      </w:r>
      <w:bookmarkEnd w:id="92"/>
      <w:r>
        <w:rPr>
          <w:rFonts w:cs="Arial"/>
          <w:color w:val="000000"/>
          <w:szCs w:val="24"/>
        </w:rPr>
        <w:t xml:space="preserve">. </w:t>
      </w:r>
    </w:p>
    <w:p w14:paraId="048F81EC" w14:textId="77777777" w:rsidR="007A0456" w:rsidRDefault="007A0456" w:rsidP="007A0456">
      <w:pPr>
        <w:pStyle w:val="ListParagraph"/>
        <w:jc w:val="both"/>
        <w:rPr>
          <w:rFonts w:cs="Arial"/>
          <w:szCs w:val="24"/>
        </w:rPr>
      </w:pPr>
    </w:p>
    <w:p w14:paraId="1077E4EC" w14:textId="35956C09" w:rsidR="007A0456" w:rsidRDefault="007A0456" w:rsidP="007A0456">
      <w:pPr>
        <w:pStyle w:val="ListParagraph"/>
        <w:ind w:left="0" w:firstLine="720"/>
        <w:jc w:val="both"/>
        <w:rPr>
          <w:rFonts w:cs="Arial"/>
          <w:szCs w:val="24"/>
        </w:rPr>
      </w:pPr>
      <w:r>
        <w:rPr>
          <w:rFonts w:cs="Arial"/>
          <w:szCs w:val="24"/>
        </w:rPr>
        <w:t xml:space="preserve">Under its proposed MRCC COSS and direct assignment cost methodologies, UI included expenses for </w:t>
      </w:r>
      <w:r w:rsidR="005A4ADA">
        <w:rPr>
          <w:rFonts w:cs="Arial"/>
          <w:szCs w:val="24"/>
        </w:rPr>
        <w:t>Accounts</w:t>
      </w:r>
      <w:r>
        <w:rPr>
          <w:rFonts w:cs="Arial"/>
          <w:szCs w:val="24"/>
        </w:rPr>
        <w:t xml:space="preserve"> 907, 908, and 910.  UI identified these costs as directly related to the customer service function.  The customer service function was based on communications by a customer to the company, typically to begin or end electric service at a location, and requests involving credit and collection activities.  Response to Late Filed Exhibit No. 3, Attachment, Supplement 2.</w:t>
      </w:r>
    </w:p>
    <w:p w14:paraId="6295EF53" w14:textId="77777777" w:rsidR="007A0456" w:rsidRDefault="007A0456" w:rsidP="007A0456">
      <w:pPr>
        <w:pStyle w:val="ListParagraph"/>
        <w:jc w:val="both"/>
        <w:rPr>
          <w:rFonts w:cs="Arial"/>
          <w:szCs w:val="24"/>
        </w:rPr>
      </w:pPr>
    </w:p>
    <w:p w14:paraId="2D0B28D5" w14:textId="0020C948" w:rsidR="007A0456" w:rsidRDefault="007A0456" w:rsidP="007A0456">
      <w:pPr>
        <w:pStyle w:val="ListParagraph"/>
        <w:ind w:left="0"/>
        <w:jc w:val="both"/>
        <w:rPr>
          <w:rFonts w:cs="Arial"/>
          <w:szCs w:val="24"/>
        </w:rPr>
      </w:pPr>
      <w:r>
        <w:rPr>
          <w:rFonts w:cs="Arial"/>
          <w:szCs w:val="24"/>
        </w:rPr>
        <w:tab/>
        <w:t xml:space="preserve">In its proposed MRCC COSS methodology, CL&amp;P identified </w:t>
      </w:r>
      <w:r w:rsidR="005A4ADA">
        <w:rPr>
          <w:rFonts w:cs="Arial"/>
          <w:szCs w:val="24"/>
        </w:rPr>
        <w:t>Accounts</w:t>
      </w:r>
      <w:r>
        <w:rPr>
          <w:rFonts w:cs="Arial"/>
          <w:szCs w:val="24"/>
        </w:rPr>
        <w:t xml:space="preserve"> 908 and 909 as including costs directly related to the service connection function.  For Account 908, the company utilized an internal allocator and identified the account as tied to the metering, billing and billing service functions. Although listed in its COSS, there were no expenses identified for Account 909.  Res</w:t>
      </w:r>
      <w:r w:rsidR="00E84AF1">
        <w:rPr>
          <w:rFonts w:cs="Arial"/>
          <w:szCs w:val="24"/>
        </w:rPr>
        <w:t>ponse to Late Filed Exhibit No. </w:t>
      </w:r>
      <w:r>
        <w:rPr>
          <w:rFonts w:cs="Arial"/>
          <w:szCs w:val="24"/>
        </w:rPr>
        <w:t>9, Attachment</w:t>
      </w:r>
      <w:r w:rsidR="00420AB2">
        <w:rPr>
          <w:rFonts w:cs="Arial"/>
          <w:szCs w:val="24"/>
        </w:rPr>
        <w:t> </w:t>
      </w:r>
      <w:r>
        <w:rPr>
          <w:rFonts w:cs="Arial"/>
          <w:szCs w:val="24"/>
        </w:rPr>
        <w:t xml:space="preserve">1. </w:t>
      </w:r>
    </w:p>
    <w:p w14:paraId="202A3984" w14:textId="77777777" w:rsidR="007A0456" w:rsidRDefault="007A0456" w:rsidP="007A0456">
      <w:pPr>
        <w:ind w:firstLine="720"/>
        <w:jc w:val="both"/>
        <w:rPr>
          <w:rFonts w:cs="Arial"/>
          <w:szCs w:val="24"/>
        </w:rPr>
      </w:pPr>
    </w:p>
    <w:p w14:paraId="0EED3108" w14:textId="6D525A9C" w:rsidR="007A0456" w:rsidRDefault="007A0456" w:rsidP="007A0456">
      <w:pPr>
        <w:ind w:firstLine="720"/>
        <w:jc w:val="both"/>
        <w:rPr>
          <w:rFonts w:cs="Arial"/>
          <w:szCs w:val="24"/>
        </w:rPr>
      </w:pPr>
      <w:r>
        <w:rPr>
          <w:rFonts w:cs="Arial"/>
          <w:szCs w:val="24"/>
        </w:rPr>
        <w:t xml:space="preserve">The OCC identified the customer service and expense accounts that are not in dispute by the parties.  The OCC’s table included </w:t>
      </w:r>
      <w:r w:rsidR="005A4ADA">
        <w:rPr>
          <w:rFonts w:cs="Arial"/>
          <w:szCs w:val="24"/>
        </w:rPr>
        <w:t>Accounts</w:t>
      </w:r>
      <w:r>
        <w:rPr>
          <w:rFonts w:cs="Arial"/>
          <w:szCs w:val="24"/>
        </w:rPr>
        <w:t xml:space="preserve"> 907, 908, and 910 as account codes that are directly related costs to the statutory functions and should be included in the MRCC calculation.  OCC Brief, p. 11.  </w:t>
      </w:r>
    </w:p>
    <w:p w14:paraId="3C7EBC99" w14:textId="77777777" w:rsidR="007A0456" w:rsidRDefault="007A0456" w:rsidP="007A0456">
      <w:pPr>
        <w:ind w:firstLine="360"/>
        <w:jc w:val="both"/>
        <w:rPr>
          <w:rFonts w:cs="Arial"/>
          <w:szCs w:val="24"/>
        </w:rPr>
      </w:pPr>
    </w:p>
    <w:p w14:paraId="6516185D" w14:textId="12F97229" w:rsidR="007A0456" w:rsidRDefault="007A0456" w:rsidP="007A0456">
      <w:pPr>
        <w:ind w:firstLine="720"/>
        <w:jc w:val="both"/>
        <w:rPr>
          <w:rFonts w:cs="Arial"/>
          <w:szCs w:val="24"/>
        </w:rPr>
      </w:pPr>
      <w:r>
        <w:rPr>
          <w:rFonts w:cs="Arial"/>
          <w:szCs w:val="24"/>
        </w:rPr>
        <w:t xml:space="preserve">The Authority finds that the types of expenses identified by the Parties for </w:t>
      </w:r>
      <w:r w:rsidR="005A4ADA">
        <w:rPr>
          <w:rFonts w:cs="Arial"/>
          <w:szCs w:val="24"/>
        </w:rPr>
        <w:t>Accounts</w:t>
      </w:r>
      <w:r>
        <w:rPr>
          <w:rFonts w:cs="Arial"/>
          <w:szCs w:val="24"/>
        </w:rPr>
        <w:t xml:space="preserve"> 907, 908 and 910 may include costs directly related to the provision of </w:t>
      </w:r>
      <w:r>
        <w:rPr>
          <w:rFonts w:cs="Arial"/>
          <w:szCs w:val="24"/>
        </w:rPr>
        <w:lastRenderedPageBreak/>
        <w:t>customer service.  Costs associated with these accounts may be includable in the MRCC calculation if identified separately as directly related to customer service function</w:t>
      </w:r>
      <w:r w:rsidR="00420AB2">
        <w:rPr>
          <w:rFonts w:cs="Arial"/>
          <w:szCs w:val="24"/>
        </w:rPr>
        <w:t>.  Costs must be identified</w:t>
      </w:r>
      <w:r>
        <w:rPr>
          <w:rFonts w:cs="Arial"/>
          <w:szCs w:val="24"/>
        </w:rPr>
        <w:t xml:space="preserve"> through direct assignment </w:t>
      </w:r>
      <w:r w:rsidR="00420AB2">
        <w:rPr>
          <w:rFonts w:cs="Arial"/>
          <w:szCs w:val="24"/>
        </w:rPr>
        <w:t>or cost allocation methodology as discussed in Section III.B.</w:t>
      </w:r>
      <w:r w:rsidR="00D47802">
        <w:rPr>
          <w:rFonts w:cs="Arial"/>
          <w:szCs w:val="24"/>
        </w:rPr>
        <w:t>4</w:t>
      </w:r>
      <w:r w:rsidR="00420AB2">
        <w:rPr>
          <w:rFonts w:cs="Arial"/>
          <w:szCs w:val="24"/>
        </w:rPr>
        <w:t xml:space="preserve">. </w:t>
      </w:r>
      <w:r w:rsidR="00420AB2" w:rsidRPr="00877D32">
        <w:rPr>
          <w:rFonts w:cs="Arial"/>
          <w:szCs w:val="24"/>
          <w:u w:val="single"/>
        </w:rPr>
        <w:t>MRCC Application</w:t>
      </w:r>
      <w:r w:rsidR="00420AB2">
        <w:rPr>
          <w:rFonts w:cs="Arial"/>
          <w:szCs w:val="24"/>
        </w:rPr>
        <w:t xml:space="preserve"> </w:t>
      </w:r>
      <w:r>
        <w:rPr>
          <w:rFonts w:cs="Arial"/>
          <w:szCs w:val="24"/>
        </w:rPr>
        <w:t>and not included in other recovery mechanisms, such as a conservation adjustment mechanism charge.  The Authority determines that Account 909 relates to advertising expenses and is outside of the statutory functions and should be excluded from the MRCC calculation.</w:t>
      </w:r>
      <w:r w:rsidR="003F6BF8">
        <w:rPr>
          <w:rFonts w:cs="Arial"/>
          <w:szCs w:val="24"/>
        </w:rPr>
        <w:t xml:space="preserve">  </w:t>
      </w:r>
    </w:p>
    <w:p w14:paraId="1BB19F60" w14:textId="77777777" w:rsidR="007A0456" w:rsidRDefault="007A0456" w:rsidP="007A0456">
      <w:pPr>
        <w:jc w:val="both"/>
        <w:rPr>
          <w:rFonts w:cs="Arial"/>
          <w:szCs w:val="24"/>
        </w:rPr>
      </w:pPr>
    </w:p>
    <w:p w14:paraId="083BD575" w14:textId="77777777" w:rsidR="007A0456" w:rsidRDefault="007A0456" w:rsidP="00E1092F">
      <w:pPr>
        <w:pStyle w:val="Heading3"/>
        <w:tabs>
          <w:tab w:val="clear" w:pos="1800"/>
          <w:tab w:val="num" w:pos="2160"/>
        </w:tabs>
        <w:ind w:hanging="720"/>
      </w:pPr>
      <w:bookmarkStart w:id="93" w:name="_Toc499050498"/>
      <w:bookmarkStart w:id="94" w:name="_Toc501528286"/>
      <w:r w:rsidRPr="002047D0">
        <w:t>Sales Expenses</w:t>
      </w:r>
      <w:bookmarkEnd w:id="93"/>
      <w:bookmarkEnd w:id="94"/>
    </w:p>
    <w:p w14:paraId="7A78AA17" w14:textId="77777777" w:rsidR="007A0456" w:rsidRPr="002047D0" w:rsidRDefault="007A0456" w:rsidP="007A0456">
      <w:pPr>
        <w:jc w:val="both"/>
      </w:pPr>
    </w:p>
    <w:p w14:paraId="0222243A" w14:textId="77777777" w:rsidR="007A0456" w:rsidRDefault="007A0456" w:rsidP="007A0456">
      <w:pPr>
        <w:ind w:firstLine="720"/>
        <w:jc w:val="both"/>
        <w:rPr>
          <w:rFonts w:cs="Arial"/>
          <w:szCs w:val="24"/>
        </w:rPr>
      </w:pPr>
      <w:r>
        <w:rPr>
          <w:rFonts w:cs="Arial"/>
          <w:szCs w:val="24"/>
        </w:rPr>
        <w:t>Sales expenses are recorded in the FERC Accounts as follows:</w:t>
      </w:r>
    </w:p>
    <w:p w14:paraId="72D47FE3" w14:textId="77777777" w:rsidR="007A0456" w:rsidRPr="0086027F" w:rsidRDefault="007A0456" w:rsidP="007A0456">
      <w:pPr>
        <w:jc w:val="both"/>
        <w:rPr>
          <w:rFonts w:cs="Arial"/>
          <w:szCs w:val="24"/>
        </w:rPr>
      </w:pPr>
    </w:p>
    <w:p w14:paraId="5D3B17DC" w14:textId="77777777" w:rsidR="007A0456" w:rsidRDefault="007A0456" w:rsidP="007E4DE4">
      <w:pPr>
        <w:pStyle w:val="ListParagraph"/>
        <w:numPr>
          <w:ilvl w:val="0"/>
          <w:numId w:val="9"/>
        </w:numPr>
        <w:spacing w:after="120"/>
        <w:contextualSpacing w:val="0"/>
        <w:jc w:val="both"/>
        <w:rPr>
          <w:rFonts w:cs="Arial"/>
          <w:szCs w:val="24"/>
          <w:u w:val="single"/>
        </w:rPr>
      </w:pPr>
      <w:r>
        <w:rPr>
          <w:rFonts w:cs="Arial"/>
          <w:szCs w:val="24"/>
        </w:rPr>
        <w:t xml:space="preserve">Account 911, </w:t>
      </w:r>
      <w:r>
        <w:rPr>
          <w:rFonts w:cs="Arial"/>
          <w:szCs w:val="24"/>
          <w:u w:val="single"/>
        </w:rPr>
        <w:t>Supervision</w:t>
      </w:r>
      <w:r>
        <w:rPr>
          <w:rFonts w:cs="Arial"/>
          <w:szCs w:val="24"/>
        </w:rPr>
        <w:t>, includes</w:t>
      </w:r>
      <w:r>
        <w:rPr>
          <w:rFonts w:cs="Arial"/>
          <w:color w:val="000000"/>
          <w:szCs w:val="24"/>
        </w:rPr>
        <w:t xml:space="preserve"> the cost of labor and expenses incurred for the general direction and supervision of sales activities, except merchandising.</w:t>
      </w:r>
    </w:p>
    <w:p w14:paraId="3F0F2F29"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912, </w:t>
      </w:r>
      <w:r>
        <w:rPr>
          <w:rFonts w:cs="Arial"/>
          <w:szCs w:val="24"/>
          <w:u w:val="single"/>
        </w:rPr>
        <w:t>Demonstrating and Selling Expense</w:t>
      </w:r>
      <w:r>
        <w:rPr>
          <w:rFonts w:cs="Arial"/>
          <w:color w:val="000000"/>
          <w:szCs w:val="24"/>
        </w:rPr>
        <w:t>, includes the cost of labor, materials used and expenses incurred in promotional, demonstrating and selling activities, except by merchandising, to promote the use of utility services.</w:t>
      </w:r>
    </w:p>
    <w:p w14:paraId="44910260" w14:textId="555D511B" w:rsidR="007A0456" w:rsidRDefault="007A0456" w:rsidP="007E4DE4">
      <w:pPr>
        <w:pStyle w:val="ListParagraph"/>
        <w:numPr>
          <w:ilvl w:val="0"/>
          <w:numId w:val="9"/>
        </w:numPr>
        <w:jc w:val="both"/>
        <w:rPr>
          <w:rFonts w:cs="Arial"/>
          <w:szCs w:val="24"/>
        </w:rPr>
      </w:pPr>
      <w:r>
        <w:rPr>
          <w:rFonts w:cs="Arial"/>
          <w:szCs w:val="24"/>
        </w:rPr>
        <w:t xml:space="preserve">Account 916, </w:t>
      </w:r>
      <w:r>
        <w:rPr>
          <w:rFonts w:cs="Arial"/>
          <w:szCs w:val="24"/>
          <w:u w:val="single"/>
        </w:rPr>
        <w:t>Miscellaneous Sales Expense</w:t>
      </w:r>
      <w:r>
        <w:rPr>
          <w:rFonts w:cs="Arial"/>
          <w:szCs w:val="24"/>
        </w:rPr>
        <w:t>, includes</w:t>
      </w:r>
      <w:r>
        <w:rPr>
          <w:rFonts w:cs="Arial"/>
          <w:color w:val="000000"/>
          <w:szCs w:val="24"/>
        </w:rPr>
        <w:t xml:space="preserve"> the cost of labor, materials used and expenses incurred with sales activities, except merchandising which are not includible in other sales expense accounts.</w:t>
      </w:r>
      <w:r w:rsidR="003F6BF8">
        <w:rPr>
          <w:rFonts w:cs="Arial"/>
          <w:color w:val="000000"/>
          <w:szCs w:val="24"/>
        </w:rPr>
        <w:t xml:space="preserve">  </w:t>
      </w:r>
    </w:p>
    <w:p w14:paraId="0A14E57C" w14:textId="77777777" w:rsidR="007A0456" w:rsidRDefault="007A0456" w:rsidP="007A0456">
      <w:pPr>
        <w:jc w:val="both"/>
        <w:rPr>
          <w:rFonts w:cs="Arial"/>
          <w:szCs w:val="24"/>
        </w:rPr>
      </w:pPr>
      <w:r>
        <w:rPr>
          <w:rFonts w:cs="Arial"/>
          <w:szCs w:val="24"/>
        </w:rPr>
        <w:tab/>
      </w:r>
    </w:p>
    <w:p w14:paraId="5EB479E5" w14:textId="77777777" w:rsidR="007A0456" w:rsidRDefault="007A0456" w:rsidP="007A0456">
      <w:pPr>
        <w:ind w:firstLine="720"/>
        <w:jc w:val="both"/>
        <w:rPr>
          <w:rFonts w:cs="Arial"/>
          <w:szCs w:val="24"/>
        </w:rPr>
      </w:pPr>
      <w:r>
        <w:rPr>
          <w:rFonts w:cs="Arial"/>
          <w:szCs w:val="24"/>
        </w:rPr>
        <w:t xml:space="preserve">UI excluded costs associated with sales expenses in its MRCC COSS and direct assignment proposals.  The company stated that the sales expenses were excluded because it did not seem to fit the definition of the statute.  Response to Late Filed Exhibit No. 3, Attachment Supplement 2; Tr. 08/16/17, p. 138.  </w:t>
      </w:r>
    </w:p>
    <w:p w14:paraId="4CB53AB4" w14:textId="77777777" w:rsidR="007A0456" w:rsidRDefault="007A0456" w:rsidP="007A0456">
      <w:pPr>
        <w:jc w:val="both"/>
        <w:rPr>
          <w:rFonts w:cs="Arial"/>
          <w:szCs w:val="24"/>
        </w:rPr>
      </w:pPr>
    </w:p>
    <w:p w14:paraId="5F99F689" w14:textId="55212AFD" w:rsidR="007A0456" w:rsidRDefault="007A0456" w:rsidP="007A0456">
      <w:pPr>
        <w:jc w:val="both"/>
        <w:rPr>
          <w:rFonts w:cs="Arial"/>
          <w:color w:val="000000"/>
          <w:szCs w:val="24"/>
        </w:rPr>
      </w:pPr>
      <w:r>
        <w:rPr>
          <w:rFonts w:cs="Arial"/>
          <w:szCs w:val="24"/>
        </w:rPr>
        <w:tab/>
        <w:t xml:space="preserve">CL&amp;P identified </w:t>
      </w:r>
      <w:r w:rsidR="005A4ADA">
        <w:rPr>
          <w:rFonts w:cs="Arial"/>
          <w:szCs w:val="24"/>
        </w:rPr>
        <w:t>Accounts</w:t>
      </w:r>
      <w:r>
        <w:rPr>
          <w:rFonts w:cs="Arial"/>
          <w:szCs w:val="24"/>
        </w:rPr>
        <w:t xml:space="preserve"> 911, 912 and 916 as accounts that have includable costs directly related to the customer service function.  In its proposed MRCC COSS, CL&amp;P included a credit for Account 911 and costs </w:t>
      </w:r>
      <w:bookmarkStart w:id="95" w:name="_Hlk497880131"/>
      <w:r>
        <w:rPr>
          <w:rFonts w:cs="Arial"/>
          <w:szCs w:val="24"/>
        </w:rPr>
        <w:t xml:space="preserve">associated with </w:t>
      </w:r>
      <w:bookmarkEnd w:id="95"/>
      <w:r>
        <w:rPr>
          <w:rFonts w:cs="Arial"/>
          <w:szCs w:val="24"/>
        </w:rPr>
        <w:t xml:space="preserve">Account 916 based on a weighted customer cost external allocator.  Written Comments, Attachment 1; </w:t>
      </w:r>
      <w:r>
        <w:rPr>
          <w:rFonts w:cs="Arial"/>
          <w:color w:val="000000"/>
          <w:szCs w:val="24"/>
        </w:rPr>
        <w:t>Late Filed Exhibit No. 9, Attachment 1, p. 7.</w:t>
      </w:r>
    </w:p>
    <w:p w14:paraId="3093DC3C" w14:textId="77777777" w:rsidR="007A0456" w:rsidRDefault="007A0456" w:rsidP="007A0456">
      <w:pPr>
        <w:jc w:val="both"/>
        <w:rPr>
          <w:rFonts w:cs="Arial"/>
          <w:szCs w:val="24"/>
        </w:rPr>
      </w:pPr>
    </w:p>
    <w:p w14:paraId="3374A3F1" w14:textId="0E419FE1" w:rsidR="007A0456" w:rsidRDefault="007A0456" w:rsidP="007A0456">
      <w:pPr>
        <w:jc w:val="both"/>
        <w:rPr>
          <w:rFonts w:cs="Arial"/>
          <w:szCs w:val="24"/>
        </w:rPr>
      </w:pPr>
      <w:r>
        <w:rPr>
          <w:rFonts w:cs="Arial"/>
          <w:szCs w:val="24"/>
        </w:rPr>
        <w:tab/>
        <w:t xml:space="preserve">The OCC identified sales expense </w:t>
      </w:r>
      <w:r w:rsidR="005A4ADA">
        <w:rPr>
          <w:rFonts w:cs="Arial"/>
          <w:szCs w:val="24"/>
        </w:rPr>
        <w:t>Accounts</w:t>
      </w:r>
      <w:r>
        <w:rPr>
          <w:rFonts w:cs="Arial"/>
          <w:szCs w:val="24"/>
        </w:rPr>
        <w:t xml:space="preserve"> 911 and 916 in the list of accounts that should be excluded from the MRCC calculation.  The OCC argued that there is no basis to include these accounts in the MRCC calculation. </w:t>
      </w:r>
      <w:r w:rsidR="0046147A">
        <w:rPr>
          <w:rFonts w:cs="Arial"/>
          <w:szCs w:val="24"/>
        </w:rPr>
        <w:t xml:space="preserve"> </w:t>
      </w:r>
      <w:r>
        <w:rPr>
          <w:rFonts w:cs="Arial"/>
          <w:szCs w:val="24"/>
        </w:rPr>
        <w:t>Brief, pp. 16 and 17.</w:t>
      </w:r>
    </w:p>
    <w:p w14:paraId="1CC22C98" w14:textId="77777777" w:rsidR="007A0456" w:rsidRDefault="007A0456" w:rsidP="007A0456">
      <w:pPr>
        <w:jc w:val="both"/>
        <w:rPr>
          <w:rFonts w:cs="Arial"/>
          <w:szCs w:val="24"/>
        </w:rPr>
      </w:pPr>
    </w:p>
    <w:p w14:paraId="6035871A" w14:textId="1F268A9A" w:rsidR="007A0456" w:rsidRDefault="007A0456" w:rsidP="007A0456">
      <w:pPr>
        <w:jc w:val="both"/>
        <w:rPr>
          <w:rFonts w:cs="Arial"/>
          <w:szCs w:val="24"/>
        </w:rPr>
      </w:pPr>
      <w:r>
        <w:rPr>
          <w:rFonts w:cs="Arial"/>
          <w:szCs w:val="24"/>
        </w:rPr>
        <w:tab/>
        <w:t xml:space="preserve">The Authority finds that sales expense </w:t>
      </w:r>
      <w:r w:rsidR="005A4ADA">
        <w:rPr>
          <w:rFonts w:cs="Arial"/>
          <w:szCs w:val="24"/>
        </w:rPr>
        <w:t>Accounts</w:t>
      </w:r>
      <w:r>
        <w:rPr>
          <w:rFonts w:cs="Arial"/>
          <w:szCs w:val="24"/>
        </w:rPr>
        <w:t xml:space="preserve"> 911, 912 and 916 fall outside of the statutory functions as sales efforts </w:t>
      </w:r>
      <w:r w:rsidR="00065964">
        <w:rPr>
          <w:rFonts w:cs="Arial"/>
          <w:szCs w:val="24"/>
        </w:rPr>
        <w:t xml:space="preserve">that </w:t>
      </w:r>
      <w:r>
        <w:rPr>
          <w:rFonts w:cs="Arial"/>
          <w:szCs w:val="24"/>
        </w:rPr>
        <w:t>are Company initiated and distinct from the statutory functions.  Therefore, the costs associated with these accounts are excludable from the MRCC calculation.</w:t>
      </w:r>
    </w:p>
    <w:p w14:paraId="008CE005" w14:textId="77777777" w:rsidR="007A0456" w:rsidRDefault="007A0456" w:rsidP="007A0456">
      <w:pPr>
        <w:jc w:val="both"/>
        <w:rPr>
          <w:rFonts w:cs="Arial"/>
          <w:szCs w:val="24"/>
        </w:rPr>
      </w:pPr>
    </w:p>
    <w:p w14:paraId="377ABEB0" w14:textId="77777777" w:rsidR="007A0456" w:rsidRDefault="007A0456" w:rsidP="00E1092F">
      <w:pPr>
        <w:pStyle w:val="Heading3"/>
        <w:tabs>
          <w:tab w:val="clear" w:pos="1800"/>
          <w:tab w:val="num" w:pos="2160"/>
        </w:tabs>
        <w:ind w:hanging="720"/>
      </w:pPr>
      <w:bookmarkStart w:id="96" w:name="_Toc499050499"/>
      <w:bookmarkStart w:id="97" w:name="_Toc501528287"/>
      <w:r>
        <w:t>Administrative and General Expenses</w:t>
      </w:r>
      <w:bookmarkEnd w:id="96"/>
      <w:bookmarkEnd w:id="97"/>
      <w:r>
        <w:t xml:space="preserve"> </w:t>
      </w:r>
    </w:p>
    <w:p w14:paraId="7AF2397B" w14:textId="77777777" w:rsidR="007A0456" w:rsidRPr="00D662DB" w:rsidRDefault="007A0456" w:rsidP="007A0456">
      <w:pPr>
        <w:jc w:val="both"/>
      </w:pPr>
    </w:p>
    <w:p w14:paraId="39941D4B" w14:textId="77777777" w:rsidR="007A0456" w:rsidRDefault="007A0456" w:rsidP="007A0456">
      <w:pPr>
        <w:ind w:firstLine="720"/>
        <w:jc w:val="both"/>
        <w:rPr>
          <w:rFonts w:cs="Arial"/>
          <w:szCs w:val="24"/>
        </w:rPr>
      </w:pPr>
      <w:r>
        <w:rPr>
          <w:rFonts w:cs="Arial"/>
          <w:szCs w:val="24"/>
        </w:rPr>
        <w:t>Administrative and General Account expenses are recorded in the FERC Accounts as follows:</w:t>
      </w:r>
    </w:p>
    <w:p w14:paraId="02349899" w14:textId="77777777" w:rsidR="007A0456" w:rsidRDefault="007A0456" w:rsidP="007A0456">
      <w:pPr>
        <w:jc w:val="both"/>
        <w:rPr>
          <w:rFonts w:cs="Arial"/>
          <w:szCs w:val="24"/>
        </w:rPr>
      </w:pPr>
    </w:p>
    <w:p w14:paraId="36CECA99" w14:textId="77777777" w:rsidR="007A0456" w:rsidRPr="00842EC4" w:rsidRDefault="007A0456" w:rsidP="007E4DE4">
      <w:pPr>
        <w:pStyle w:val="ListParagraph"/>
        <w:numPr>
          <w:ilvl w:val="0"/>
          <w:numId w:val="9"/>
        </w:numPr>
        <w:spacing w:after="120"/>
        <w:contextualSpacing w:val="0"/>
        <w:jc w:val="both"/>
        <w:rPr>
          <w:rFonts w:cs="Arial"/>
          <w:szCs w:val="24"/>
        </w:rPr>
      </w:pPr>
      <w:r>
        <w:rPr>
          <w:rFonts w:cs="Arial"/>
          <w:szCs w:val="24"/>
        </w:rPr>
        <w:lastRenderedPageBreak/>
        <w:t xml:space="preserve">Account 920, </w:t>
      </w:r>
      <w:r w:rsidRPr="00225B0A">
        <w:rPr>
          <w:rFonts w:cs="Arial"/>
          <w:szCs w:val="24"/>
          <w:u w:val="single"/>
        </w:rPr>
        <w:t>Administrative &amp; General Salaries</w:t>
      </w:r>
      <w:r>
        <w:rPr>
          <w:rFonts w:cs="Arial"/>
          <w:szCs w:val="24"/>
        </w:rPr>
        <w:t>, includes</w:t>
      </w:r>
      <w:r>
        <w:rPr>
          <w:rFonts w:cs="Arial"/>
          <w:color w:val="000000"/>
          <w:szCs w:val="24"/>
        </w:rPr>
        <w:t xml:space="preserve"> the compensation of officer’s executives and other employees not chargeable to utility operations and not chargeable directly to a particular operating function.</w:t>
      </w:r>
    </w:p>
    <w:p w14:paraId="363F1F16" w14:textId="77777777" w:rsidR="007A0456" w:rsidRPr="00842EC4"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w:t>
      </w:r>
      <w:r w:rsidRPr="00842EC4">
        <w:rPr>
          <w:rFonts w:cs="Arial"/>
          <w:szCs w:val="24"/>
        </w:rPr>
        <w:t xml:space="preserve">921, </w:t>
      </w:r>
      <w:bookmarkStart w:id="98" w:name="_Hlk498577623"/>
      <w:r w:rsidRPr="00842EC4">
        <w:rPr>
          <w:rFonts w:cs="Arial"/>
          <w:szCs w:val="24"/>
          <w:u w:val="single"/>
        </w:rPr>
        <w:t>Office Supplies &amp; Expenses</w:t>
      </w:r>
      <w:bookmarkEnd w:id="98"/>
      <w:r>
        <w:rPr>
          <w:rFonts w:cs="Arial"/>
          <w:szCs w:val="24"/>
        </w:rPr>
        <w:t>, includes</w:t>
      </w:r>
      <w:r w:rsidRPr="00842EC4">
        <w:rPr>
          <w:rFonts w:cs="Arial"/>
          <w:color w:val="000000"/>
          <w:szCs w:val="24"/>
        </w:rPr>
        <w:t xml:space="preserve"> the cost of office supplies and expenses incurred in conjunction with the general administration of the utility’s operations not specifically provided for in other accounts. </w:t>
      </w:r>
    </w:p>
    <w:p w14:paraId="2E984EC2" w14:textId="77777777" w:rsidR="007A0456" w:rsidRPr="00842EC4"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w:t>
      </w:r>
      <w:r w:rsidRPr="00842EC4">
        <w:rPr>
          <w:rFonts w:cs="Arial"/>
          <w:szCs w:val="24"/>
        </w:rPr>
        <w:t xml:space="preserve">922, </w:t>
      </w:r>
      <w:r w:rsidRPr="00842EC4">
        <w:rPr>
          <w:rFonts w:cs="Arial"/>
          <w:szCs w:val="24"/>
          <w:u w:val="single"/>
        </w:rPr>
        <w:t>Administrative Expenses Transferred</w:t>
      </w:r>
      <w:r>
        <w:rPr>
          <w:rFonts w:cs="Arial"/>
          <w:szCs w:val="24"/>
        </w:rPr>
        <w:t>, includes</w:t>
      </w:r>
      <w:r w:rsidRPr="00842EC4">
        <w:rPr>
          <w:rFonts w:cs="Arial"/>
          <w:color w:val="000000"/>
          <w:szCs w:val="24"/>
        </w:rPr>
        <w:t xml:space="preserve"> </w:t>
      </w:r>
      <w:r>
        <w:rPr>
          <w:rFonts w:cs="Arial"/>
          <w:color w:val="000000"/>
          <w:szCs w:val="24"/>
        </w:rPr>
        <w:t xml:space="preserve">administrative expenses transferred to construction costs or to nonutility accounts. </w:t>
      </w:r>
    </w:p>
    <w:p w14:paraId="2412320F" w14:textId="77777777" w:rsidR="007A0456" w:rsidRPr="00BC7FA9" w:rsidRDefault="007A0456" w:rsidP="007E4DE4">
      <w:pPr>
        <w:pStyle w:val="ListParagraph"/>
        <w:numPr>
          <w:ilvl w:val="0"/>
          <w:numId w:val="9"/>
        </w:numPr>
        <w:spacing w:after="120"/>
        <w:contextualSpacing w:val="0"/>
        <w:jc w:val="both"/>
        <w:rPr>
          <w:rFonts w:cs="Arial"/>
          <w:szCs w:val="24"/>
        </w:rPr>
      </w:pPr>
      <w:r>
        <w:rPr>
          <w:rFonts w:cs="Arial"/>
          <w:color w:val="000000"/>
          <w:szCs w:val="24"/>
        </w:rPr>
        <w:t xml:space="preserve">Account 923, </w:t>
      </w:r>
      <w:bookmarkStart w:id="99" w:name="_Hlk498577657"/>
      <w:r w:rsidRPr="00225B0A">
        <w:rPr>
          <w:rFonts w:cs="Arial"/>
          <w:color w:val="000000"/>
          <w:szCs w:val="24"/>
          <w:u w:val="single"/>
        </w:rPr>
        <w:t>Outside Services E</w:t>
      </w:r>
      <w:r>
        <w:rPr>
          <w:rFonts w:cs="Arial"/>
          <w:color w:val="000000"/>
          <w:szCs w:val="24"/>
          <w:u w:val="single"/>
        </w:rPr>
        <w:t>mployed</w:t>
      </w:r>
      <w:bookmarkEnd w:id="99"/>
      <w:r>
        <w:rPr>
          <w:rFonts w:cs="Arial"/>
          <w:color w:val="000000"/>
          <w:szCs w:val="24"/>
        </w:rPr>
        <w:t xml:space="preserve">, includes the fees and expenses of professional consultants and others for general services which are not applicable to a particular operating function or to other accounts. </w:t>
      </w:r>
    </w:p>
    <w:p w14:paraId="69172B29" w14:textId="77777777" w:rsidR="007A0456" w:rsidRPr="00BC7FA9"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924, </w:t>
      </w:r>
      <w:r w:rsidRPr="00BC7FA9">
        <w:rPr>
          <w:rFonts w:cs="Arial"/>
          <w:szCs w:val="24"/>
          <w:u w:val="single"/>
        </w:rPr>
        <w:t>Property Insurance</w:t>
      </w:r>
      <w:r>
        <w:rPr>
          <w:rFonts w:cs="Arial"/>
          <w:szCs w:val="24"/>
        </w:rPr>
        <w:t>, includes</w:t>
      </w:r>
      <w:r>
        <w:rPr>
          <w:rFonts w:cs="Arial"/>
          <w:color w:val="000000"/>
          <w:szCs w:val="24"/>
        </w:rPr>
        <w:t xml:space="preserve"> the cost of insurance or reserve accruals to protect the utility against losses and damages to owned or leased property used in its utility operations.</w:t>
      </w:r>
    </w:p>
    <w:p w14:paraId="38DFA933"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Account 925</w:t>
      </w:r>
      <w:r w:rsidRPr="00BC7FA9">
        <w:rPr>
          <w:rFonts w:cs="Arial"/>
          <w:szCs w:val="24"/>
        </w:rPr>
        <w:t xml:space="preserve">, </w:t>
      </w:r>
      <w:r w:rsidRPr="00BC7FA9">
        <w:rPr>
          <w:rFonts w:cs="Arial"/>
          <w:szCs w:val="24"/>
          <w:u w:val="single"/>
        </w:rPr>
        <w:t>Injuries and Damages</w:t>
      </w:r>
      <w:r>
        <w:rPr>
          <w:rFonts w:cs="Arial"/>
          <w:color w:val="000000"/>
          <w:szCs w:val="24"/>
        </w:rPr>
        <w:t>, includes the cost of insurance or reserve accruals to protect the utility against injuries and damages claims of employees or others.</w:t>
      </w:r>
    </w:p>
    <w:p w14:paraId="776AD32E" w14:textId="77777777" w:rsidR="007A0456" w:rsidRPr="00764BE4"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926, </w:t>
      </w:r>
      <w:r w:rsidRPr="00BC7FA9">
        <w:rPr>
          <w:rFonts w:cs="Arial"/>
          <w:szCs w:val="24"/>
          <w:u w:val="single"/>
        </w:rPr>
        <w:t>Employee Pensions and Benefits</w:t>
      </w:r>
      <w:r>
        <w:rPr>
          <w:rFonts w:cs="Arial"/>
          <w:color w:val="000000"/>
          <w:szCs w:val="24"/>
        </w:rPr>
        <w:t>, includes expenses and payments for employee accidents, sickness, hospital and death benefits and administrative expenses in connection with employee benefits and pensions.</w:t>
      </w:r>
    </w:p>
    <w:p w14:paraId="58347AC1"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928, </w:t>
      </w:r>
      <w:r w:rsidRPr="00691844">
        <w:rPr>
          <w:rFonts w:cs="Arial"/>
          <w:szCs w:val="24"/>
          <w:u w:val="single"/>
        </w:rPr>
        <w:t xml:space="preserve">Regulatory Commission </w:t>
      </w:r>
      <w:r w:rsidRPr="00BC7FA9">
        <w:rPr>
          <w:rFonts w:cs="Arial"/>
          <w:szCs w:val="24"/>
          <w:u w:val="single"/>
        </w:rPr>
        <w:t>E</w:t>
      </w:r>
      <w:r>
        <w:rPr>
          <w:rFonts w:cs="Arial"/>
          <w:szCs w:val="24"/>
          <w:u w:val="single"/>
        </w:rPr>
        <w:t>xpense</w:t>
      </w:r>
      <w:r>
        <w:rPr>
          <w:rFonts w:cs="Arial"/>
          <w:szCs w:val="24"/>
        </w:rPr>
        <w:t>, includes all expenses incurred by the utility in connection with formal cases before regulatory commissions or bodies.</w:t>
      </w:r>
    </w:p>
    <w:p w14:paraId="69655491" w14:textId="1CF1E9A7" w:rsidR="00AF3867" w:rsidRDefault="00AF3867" w:rsidP="007E4DE4">
      <w:pPr>
        <w:pStyle w:val="ListParagraph"/>
        <w:numPr>
          <w:ilvl w:val="0"/>
          <w:numId w:val="9"/>
        </w:numPr>
        <w:spacing w:after="120"/>
        <w:contextualSpacing w:val="0"/>
        <w:jc w:val="both"/>
        <w:rPr>
          <w:rFonts w:cs="Arial"/>
          <w:szCs w:val="24"/>
        </w:rPr>
      </w:pPr>
      <w:bookmarkStart w:id="100" w:name="_Hlk498579312"/>
      <w:r>
        <w:rPr>
          <w:rFonts w:cs="Arial"/>
          <w:szCs w:val="24"/>
        </w:rPr>
        <w:t xml:space="preserve">Account 930, </w:t>
      </w:r>
      <w:r w:rsidR="0021733C" w:rsidRPr="000844FD">
        <w:rPr>
          <w:rFonts w:cs="Arial"/>
          <w:szCs w:val="24"/>
          <w:u w:val="single"/>
        </w:rPr>
        <w:t>General Advertising Expense</w:t>
      </w:r>
      <w:r w:rsidR="0021733C">
        <w:rPr>
          <w:rFonts w:cs="Arial"/>
          <w:szCs w:val="24"/>
        </w:rPr>
        <w:t>, includes the costs of labor, materials used, and expenses incurred in advertising and related activities, the cost of which by their content and purpose are not provided elsewhere.</w:t>
      </w:r>
    </w:p>
    <w:p w14:paraId="70561F71" w14:textId="77777777" w:rsidR="007A0456" w:rsidRDefault="007A0456" w:rsidP="007E4DE4">
      <w:pPr>
        <w:pStyle w:val="ListParagraph"/>
        <w:numPr>
          <w:ilvl w:val="0"/>
          <w:numId w:val="9"/>
        </w:numPr>
        <w:spacing w:after="120"/>
        <w:contextualSpacing w:val="0"/>
        <w:jc w:val="both"/>
        <w:rPr>
          <w:rFonts w:cs="Arial"/>
          <w:szCs w:val="24"/>
        </w:rPr>
      </w:pPr>
      <w:r>
        <w:rPr>
          <w:rFonts w:cs="Arial"/>
          <w:szCs w:val="24"/>
        </w:rPr>
        <w:t xml:space="preserve">Account 931, </w:t>
      </w:r>
      <w:r w:rsidRPr="00691844">
        <w:rPr>
          <w:rFonts w:cs="Arial"/>
          <w:szCs w:val="24"/>
          <w:u w:val="single"/>
        </w:rPr>
        <w:t>Rents Expense</w:t>
      </w:r>
      <w:bookmarkEnd w:id="100"/>
      <w:r>
        <w:rPr>
          <w:rFonts w:cs="Arial"/>
          <w:szCs w:val="24"/>
        </w:rPr>
        <w:t xml:space="preserve">, includes rents properly includable in utility operating expenses for the property of others used, occupied, or operated in connection with customer accounts, customer service and informational sales and general administrative functions of the utility. </w:t>
      </w:r>
    </w:p>
    <w:p w14:paraId="33013062" w14:textId="77777777" w:rsidR="007A0456" w:rsidRPr="00C90F4C" w:rsidRDefault="007A0456" w:rsidP="007E4DE4">
      <w:pPr>
        <w:pStyle w:val="ListParagraph"/>
        <w:numPr>
          <w:ilvl w:val="0"/>
          <w:numId w:val="9"/>
        </w:numPr>
        <w:jc w:val="both"/>
        <w:rPr>
          <w:rFonts w:cs="Arial"/>
          <w:szCs w:val="24"/>
        </w:rPr>
      </w:pPr>
      <w:r>
        <w:rPr>
          <w:rFonts w:cs="Arial"/>
          <w:szCs w:val="24"/>
        </w:rPr>
        <w:t xml:space="preserve">Account </w:t>
      </w:r>
      <w:r w:rsidRPr="00C90F4C">
        <w:rPr>
          <w:rFonts w:cs="Arial"/>
          <w:szCs w:val="24"/>
        </w:rPr>
        <w:t xml:space="preserve">935, </w:t>
      </w:r>
      <w:r w:rsidRPr="00C90F4C">
        <w:rPr>
          <w:rFonts w:cs="Arial"/>
          <w:szCs w:val="24"/>
          <w:u w:val="single"/>
        </w:rPr>
        <w:t>Maintenance of General Plant</w:t>
      </w:r>
      <w:r w:rsidRPr="00C90F4C">
        <w:rPr>
          <w:rFonts w:cs="Arial"/>
          <w:szCs w:val="24"/>
        </w:rPr>
        <w:t xml:space="preserve">, includes the costs assignable to customer accounts incurred in the maintenance of </w:t>
      </w:r>
      <w:r>
        <w:rPr>
          <w:rFonts w:cs="Arial"/>
          <w:szCs w:val="24"/>
        </w:rPr>
        <w:t xml:space="preserve">Account </w:t>
      </w:r>
      <w:r w:rsidRPr="00C90F4C">
        <w:rPr>
          <w:rFonts w:cs="Arial"/>
          <w:szCs w:val="24"/>
        </w:rPr>
        <w:t xml:space="preserve"> 390, Structures and Improvements, </w:t>
      </w:r>
      <w:r>
        <w:rPr>
          <w:rFonts w:cs="Arial"/>
          <w:szCs w:val="24"/>
        </w:rPr>
        <w:t xml:space="preserve">Account </w:t>
      </w:r>
      <w:r w:rsidRPr="00C90F4C">
        <w:rPr>
          <w:rFonts w:cs="Arial"/>
          <w:szCs w:val="24"/>
        </w:rPr>
        <w:t xml:space="preserve">391, Office Furniture and Equipment, </w:t>
      </w:r>
      <w:r>
        <w:rPr>
          <w:rFonts w:cs="Arial"/>
          <w:szCs w:val="24"/>
        </w:rPr>
        <w:t xml:space="preserve">Account </w:t>
      </w:r>
      <w:r w:rsidRPr="00C90F4C">
        <w:rPr>
          <w:rFonts w:cs="Arial"/>
          <w:szCs w:val="24"/>
        </w:rPr>
        <w:t xml:space="preserve">397, Communication Equipment, and </w:t>
      </w:r>
      <w:r>
        <w:rPr>
          <w:rFonts w:cs="Arial"/>
          <w:szCs w:val="24"/>
        </w:rPr>
        <w:t xml:space="preserve">Account </w:t>
      </w:r>
      <w:r w:rsidRPr="00C90F4C">
        <w:rPr>
          <w:rFonts w:cs="Arial"/>
          <w:szCs w:val="24"/>
        </w:rPr>
        <w:t xml:space="preserve"> 398, Miscellaneous Equipment.</w:t>
      </w:r>
    </w:p>
    <w:p w14:paraId="4FA9DCAB" w14:textId="77777777" w:rsidR="007A0456" w:rsidRPr="0005033F" w:rsidRDefault="007A0456" w:rsidP="007A0456">
      <w:pPr>
        <w:jc w:val="both"/>
        <w:rPr>
          <w:rFonts w:cs="Arial"/>
          <w:szCs w:val="24"/>
        </w:rPr>
      </w:pPr>
      <w:r w:rsidRPr="0005033F">
        <w:rPr>
          <w:rFonts w:cs="Arial"/>
          <w:szCs w:val="24"/>
        </w:rPr>
        <w:tab/>
      </w:r>
    </w:p>
    <w:p w14:paraId="42836762" w14:textId="27F28D14" w:rsidR="007A0456" w:rsidRDefault="007A0456" w:rsidP="007A0456">
      <w:pPr>
        <w:ind w:firstLine="720"/>
        <w:jc w:val="both"/>
      </w:pPr>
      <w:r>
        <w:rPr>
          <w:rFonts w:cs="Arial"/>
          <w:color w:val="000000"/>
          <w:szCs w:val="24"/>
        </w:rPr>
        <w:t xml:space="preserve">UI proposed to include costs associated with </w:t>
      </w:r>
      <w:r w:rsidR="005A4ADA">
        <w:rPr>
          <w:rFonts w:cs="Arial"/>
          <w:color w:val="000000"/>
          <w:szCs w:val="24"/>
        </w:rPr>
        <w:t>Accounts</w:t>
      </w:r>
      <w:r>
        <w:rPr>
          <w:rFonts w:cs="Arial"/>
          <w:color w:val="000000"/>
          <w:szCs w:val="24"/>
        </w:rPr>
        <w:t xml:space="preserve"> 924, 925, and 926 in its MRCC calculation.  Property insurance, injuries and damages and employee pensions and benefits should be included in the MRCC calculation.  Property insurance expenses are incurred on assets used to provide the includable service functions.  The costs for insurance are not avoidable and are fixed in nature.  </w:t>
      </w:r>
      <w:r>
        <w:t xml:space="preserve">UI asserted that employee benefits including salary, incentive compensation, medical and retiree benefits should also be included in the MRCC calculation.  These costs are part of the costs incurred by the skilled qualified employees who perform the tasks related to the service functions.  </w:t>
      </w:r>
      <w:r>
        <w:lastRenderedPageBreak/>
        <w:t xml:space="preserve">These expenses should be included in the MRCC calculation proportionally as direct labor.  The company also defined fixed costs to include property insurance expenses on includable assets.  UI Written Comments </w:t>
      </w:r>
      <w:r w:rsidRPr="003E2157">
        <w:t>WC</w:t>
      </w:r>
      <w:r>
        <w:noBreakHyphen/>
        <w:t>1, pp. 8 and 9.  Colca PFT, p. 8.</w:t>
      </w:r>
    </w:p>
    <w:p w14:paraId="60A37450" w14:textId="77777777" w:rsidR="00347BF6" w:rsidRDefault="00347BF6" w:rsidP="007A0456">
      <w:pPr>
        <w:ind w:firstLine="720"/>
        <w:jc w:val="both"/>
      </w:pPr>
    </w:p>
    <w:p w14:paraId="210A14F2" w14:textId="41763CBB" w:rsidR="007A0456" w:rsidRPr="00B537A6" w:rsidRDefault="007A0456" w:rsidP="007A0456">
      <w:pPr>
        <w:jc w:val="both"/>
        <w:rPr>
          <w:rFonts w:cs="Arial"/>
          <w:szCs w:val="24"/>
        </w:rPr>
      </w:pPr>
      <w:r>
        <w:tab/>
        <w:t xml:space="preserve">CL&amp;P stated that it is appropriate to recognize salary plus full employee benefits in the MRCC calculation.  CL&amp;P </w:t>
      </w:r>
      <w:r w:rsidRPr="0027755D">
        <w:rPr>
          <w:rFonts w:cs="Arial"/>
          <w:szCs w:val="24"/>
        </w:rPr>
        <w:t>Written Comments</w:t>
      </w:r>
      <w:r>
        <w:rPr>
          <w:rFonts w:cs="Arial"/>
          <w:szCs w:val="24"/>
        </w:rPr>
        <w:t xml:space="preserve">, p. 3.  The company’s proposed MRCC calculation included expenses associated with property insurance, and injuries and damages.  </w:t>
      </w:r>
      <w:r>
        <w:rPr>
          <w:rFonts w:cs="Arial"/>
          <w:color w:val="000000"/>
          <w:szCs w:val="24"/>
        </w:rPr>
        <w:t xml:space="preserve">CL&amp;P’s proposed MRCC COSS also contained expenses for </w:t>
      </w:r>
      <w:r w:rsidR="005A4ADA">
        <w:rPr>
          <w:rFonts w:cs="Arial"/>
          <w:szCs w:val="24"/>
        </w:rPr>
        <w:t>Accounts</w:t>
      </w:r>
      <w:r>
        <w:rPr>
          <w:rFonts w:cs="Arial"/>
          <w:szCs w:val="24"/>
        </w:rPr>
        <w:t xml:space="preserve"> 920, </w:t>
      </w:r>
      <w:r w:rsidRPr="00B537A6">
        <w:rPr>
          <w:rFonts w:cs="Arial"/>
          <w:szCs w:val="24"/>
        </w:rPr>
        <w:t>921, 922, 923</w:t>
      </w:r>
      <w:r w:rsidRPr="0005033F">
        <w:rPr>
          <w:rFonts w:cs="Arial"/>
          <w:szCs w:val="24"/>
        </w:rPr>
        <w:t xml:space="preserve">, </w:t>
      </w:r>
      <w:r w:rsidRPr="00B537A6">
        <w:rPr>
          <w:rFonts w:cs="Arial"/>
          <w:szCs w:val="24"/>
        </w:rPr>
        <w:t xml:space="preserve">928, </w:t>
      </w:r>
      <w:r w:rsidR="00AF3867">
        <w:rPr>
          <w:rFonts w:cs="Arial"/>
          <w:szCs w:val="24"/>
        </w:rPr>
        <w:t xml:space="preserve">930, </w:t>
      </w:r>
      <w:r>
        <w:rPr>
          <w:rFonts w:cs="Arial"/>
          <w:szCs w:val="24"/>
        </w:rPr>
        <w:t xml:space="preserve">and </w:t>
      </w:r>
      <w:r w:rsidRPr="00B537A6">
        <w:rPr>
          <w:rFonts w:cs="Arial"/>
          <w:szCs w:val="24"/>
        </w:rPr>
        <w:t>931</w:t>
      </w:r>
      <w:r>
        <w:rPr>
          <w:rFonts w:cs="Arial"/>
          <w:szCs w:val="24"/>
        </w:rPr>
        <w:t xml:space="preserve">.  For Account </w:t>
      </w:r>
      <w:r w:rsidRPr="00B537A6">
        <w:rPr>
          <w:rFonts w:cs="Arial"/>
          <w:szCs w:val="24"/>
        </w:rPr>
        <w:t>935</w:t>
      </w:r>
      <w:r w:rsidR="00AF3867">
        <w:rPr>
          <w:rFonts w:cs="Arial"/>
          <w:szCs w:val="24"/>
        </w:rPr>
        <w:t>,</w:t>
      </w:r>
      <w:r>
        <w:rPr>
          <w:rFonts w:cs="Arial"/>
          <w:szCs w:val="24"/>
        </w:rPr>
        <w:t xml:space="preserve"> CL&amp;P did not include this account’s expenses in its proposed MRCC calculation</w:t>
      </w:r>
      <w:r w:rsidRPr="00B537A6">
        <w:rPr>
          <w:rFonts w:cs="Arial"/>
          <w:szCs w:val="24"/>
        </w:rPr>
        <w:t xml:space="preserve">.  CL&amp;P Late Filed Exhibit No. 9, Attachment 1, p. 7.  </w:t>
      </w:r>
    </w:p>
    <w:p w14:paraId="1AD25D43" w14:textId="77777777" w:rsidR="007A0456" w:rsidRPr="0005033F" w:rsidRDefault="007A0456" w:rsidP="007A0456">
      <w:pPr>
        <w:jc w:val="both"/>
        <w:rPr>
          <w:rFonts w:cs="Arial"/>
          <w:szCs w:val="24"/>
        </w:rPr>
      </w:pPr>
    </w:p>
    <w:p w14:paraId="1350828C" w14:textId="6F01F1E1" w:rsidR="007A0456" w:rsidRPr="00B537A6" w:rsidRDefault="007A0456" w:rsidP="007A0456">
      <w:pPr>
        <w:ind w:firstLine="720"/>
        <w:jc w:val="both"/>
      </w:pPr>
      <w:r w:rsidRPr="0005033F">
        <w:rPr>
          <w:rFonts w:cs="Arial"/>
          <w:szCs w:val="24"/>
        </w:rPr>
        <w:t xml:space="preserve">The OCC stated that it is reasonable to allow </w:t>
      </w:r>
      <w:r w:rsidRPr="00B537A6">
        <w:t>in the MRCC calculation</w:t>
      </w:r>
      <w:r w:rsidRPr="0005033F">
        <w:rPr>
          <w:rFonts w:cs="Arial"/>
          <w:szCs w:val="24"/>
        </w:rPr>
        <w:t xml:space="preserve"> an allocated portion of an includable employee’s costs, such as medical insurance and the retirement plan contributions, as directly related costs.  It</w:t>
      </w:r>
      <w:r w:rsidRPr="0005033F">
        <w:t xml:space="preserve"> also identified injuries/damages and property insurance associated with meter and services as includable expenses</w:t>
      </w:r>
      <w:r w:rsidRPr="00B537A6">
        <w:t xml:space="preserve">.  </w:t>
      </w:r>
      <w:r w:rsidRPr="0005033F">
        <w:rPr>
          <w:rFonts w:cs="Arial"/>
          <w:szCs w:val="24"/>
        </w:rPr>
        <w:t xml:space="preserve">The OCC objected to the inclusion of incentive compensation unless the utility could demonstrate that the incentive was based on specific metrics directly related to the provision of the statutory functions.  </w:t>
      </w:r>
      <w:r w:rsidRPr="0005033F">
        <w:t>Written Comments, pp. 3 and</w:t>
      </w:r>
      <w:r w:rsidR="00065964">
        <w:t> </w:t>
      </w:r>
      <w:r w:rsidRPr="0005033F">
        <w:t xml:space="preserve">4; </w:t>
      </w:r>
      <w:r w:rsidRPr="00B537A6">
        <w:t xml:space="preserve">Brief, p. 12.  </w:t>
      </w:r>
    </w:p>
    <w:p w14:paraId="12ACF8F9" w14:textId="77777777" w:rsidR="007A0456" w:rsidRPr="00C90F4C" w:rsidRDefault="007A0456" w:rsidP="007A0456">
      <w:pPr>
        <w:ind w:firstLine="720"/>
        <w:jc w:val="both"/>
      </w:pPr>
    </w:p>
    <w:p w14:paraId="10D82035" w14:textId="6A73F904" w:rsidR="007A0456" w:rsidRDefault="007A0456" w:rsidP="007A0456">
      <w:pPr>
        <w:ind w:firstLine="720"/>
        <w:jc w:val="both"/>
        <w:rPr>
          <w:rFonts w:cs="Arial"/>
          <w:szCs w:val="24"/>
        </w:rPr>
      </w:pPr>
      <w:r w:rsidRPr="0005033F">
        <w:rPr>
          <w:rFonts w:cs="Arial"/>
          <w:szCs w:val="24"/>
        </w:rPr>
        <w:t xml:space="preserve">The Authority finds that it is reasonable to include expenses associated with </w:t>
      </w:r>
      <w:r w:rsidR="005A4ADA">
        <w:rPr>
          <w:rFonts w:cs="Arial"/>
          <w:szCs w:val="24"/>
        </w:rPr>
        <w:t>Accounts</w:t>
      </w:r>
      <w:r w:rsidRPr="0005033F">
        <w:rPr>
          <w:rFonts w:cs="Arial"/>
          <w:szCs w:val="24"/>
        </w:rPr>
        <w:t xml:space="preserve"> 924 and</w:t>
      </w:r>
      <w:r w:rsidRPr="00C90F4C">
        <w:rPr>
          <w:rFonts w:cs="Arial"/>
          <w:szCs w:val="24"/>
        </w:rPr>
        <w:t xml:space="preserve"> 925 in the MRCC calculation because the Companies must have insurance on its assets and employees in the provision of </w:t>
      </w:r>
      <w:r>
        <w:rPr>
          <w:rFonts w:cs="Arial"/>
          <w:szCs w:val="24"/>
        </w:rPr>
        <w:t>one or more of the statutory functions.</w:t>
      </w:r>
      <w:r w:rsidRPr="00C90F4C">
        <w:rPr>
          <w:rFonts w:cs="Arial"/>
          <w:szCs w:val="24"/>
        </w:rPr>
        <w:t xml:space="preserve">  Additionally, the Authority will allow costs associated with </w:t>
      </w:r>
      <w:r>
        <w:rPr>
          <w:rFonts w:cs="Arial"/>
          <w:szCs w:val="24"/>
        </w:rPr>
        <w:t xml:space="preserve">Account </w:t>
      </w:r>
      <w:r w:rsidRPr="00C90F4C">
        <w:rPr>
          <w:rFonts w:cs="Arial"/>
          <w:szCs w:val="24"/>
        </w:rPr>
        <w:t xml:space="preserve">926 as part of the expenses of includable employees who provide the statutory functions.  However, the Companies will exclude costs associated with incentive compensation as these costs are administered at a corporate level and are not directly related to the statutory functions.  Tr. 8/16/17, pp. 121-124; Late </w:t>
      </w:r>
      <w:r w:rsidRPr="0005033F">
        <w:rPr>
          <w:rFonts w:cs="Arial"/>
          <w:szCs w:val="24"/>
        </w:rPr>
        <w:t>F</w:t>
      </w:r>
      <w:r w:rsidRPr="00C90F4C">
        <w:rPr>
          <w:rFonts w:cs="Arial"/>
          <w:szCs w:val="24"/>
        </w:rPr>
        <w:t>iled Exhibit No.</w:t>
      </w:r>
      <w:r w:rsidRPr="0005033F">
        <w:rPr>
          <w:rFonts w:cs="Arial"/>
          <w:szCs w:val="24"/>
        </w:rPr>
        <w:t> </w:t>
      </w:r>
      <w:r w:rsidRPr="00C90F4C">
        <w:rPr>
          <w:rFonts w:cs="Arial"/>
          <w:szCs w:val="24"/>
        </w:rPr>
        <w:t>6; Tr. 09/11/17, p.</w:t>
      </w:r>
      <w:r w:rsidR="00D7010F">
        <w:rPr>
          <w:rFonts w:cs="Arial"/>
          <w:szCs w:val="24"/>
        </w:rPr>
        <w:t> </w:t>
      </w:r>
      <w:r w:rsidRPr="00C90F4C">
        <w:rPr>
          <w:rFonts w:cs="Arial"/>
          <w:szCs w:val="24"/>
        </w:rPr>
        <w:t xml:space="preserve">439. </w:t>
      </w:r>
    </w:p>
    <w:p w14:paraId="65435331" w14:textId="77777777" w:rsidR="00190799" w:rsidRPr="00C90F4C" w:rsidRDefault="00190799" w:rsidP="007A0456">
      <w:pPr>
        <w:ind w:firstLine="720"/>
        <w:jc w:val="both"/>
        <w:rPr>
          <w:rFonts w:cs="Arial"/>
          <w:szCs w:val="24"/>
        </w:rPr>
      </w:pPr>
    </w:p>
    <w:p w14:paraId="1FC9A445" w14:textId="4CBF8ABE" w:rsidR="005B283A" w:rsidRDefault="00420AB2" w:rsidP="00F86708">
      <w:pPr>
        <w:tabs>
          <w:tab w:val="left" w:pos="810"/>
        </w:tabs>
        <w:autoSpaceDE w:val="0"/>
        <w:autoSpaceDN w:val="0"/>
        <w:adjustRightInd w:val="0"/>
        <w:ind w:firstLine="720"/>
        <w:jc w:val="both"/>
        <w:rPr>
          <w:rFonts w:cs="Arial"/>
          <w:szCs w:val="24"/>
        </w:rPr>
      </w:pPr>
      <w:r>
        <w:rPr>
          <w:rFonts w:cs="Arial"/>
          <w:szCs w:val="24"/>
        </w:rPr>
        <w:t xml:space="preserve">Based on the FERC </w:t>
      </w:r>
      <w:r w:rsidR="00517F84">
        <w:rPr>
          <w:rFonts w:cs="Arial"/>
          <w:szCs w:val="24"/>
        </w:rPr>
        <w:t>account description</w:t>
      </w:r>
      <w:r>
        <w:rPr>
          <w:rFonts w:cs="Arial"/>
          <w:szCs w:val="24"/>
        </w:rPr>
        <w:t>s</w:t>
      </w:r>
      <w:r w:rsidR="00517F84">
        <w:rPr>
          <w:rFonts w:cs="Arial"/>
          <w:szCs w:val="24"/>
        </w:rPr>
        <w:t>, t</w:t>
      </w:r>
      <w:r w:rsidR="007A0456" w:rsidRPr="00C90F4C">
        <w:rPr>
          <w:rFonts w:cs="Arial"/>
          <w:szCs w:val="24"/>
        </w:rPr>
        <w:t xml:space="preserve">he Authority </w:t>
      </w:r>
      <w:r w:rsidR="003442A7">
        <w:rPr>
          <w:rFonts w:cs="Arial"/>
          <w:szCs w:val="24"/>
        </w:rPr>
        <w:t xml:space="preserve">initially found </w:t>
      </w:r>
      <w:r w:rsidR="005A4ADA">
        <w:rPr>
          <w:rFonts w:cs="Arial"/>
          <w:szCs w:val="24"/>
        </w:rPr>
        <w:t>Account</w:t>
      </w:r>
      <w:r w:rsidR="00D7010F">
        <w:rPr>
          <w:rFonts w:cs="Arial"/>
          <w:szCs w:val="24"/>
        </w:rPr>
        <w:t>s</w:t>
      </w:r>
      <w:r w:rsidR="007A0456" w:rsidRPr="00C90F4C">
        <w:rPr>
          <w:rFonts w:cs="Arial"/>
          <w:szCs w:val="24"/>
        </w:rPr>
        <w:t xml:space="preserve"> 920, 921, 922, 923, 928, and 931 </w:t>
      </w:r>
      <w:r w:rsidR="003442A7">
        <w:rPr>
          <w:rFonts w:cs="Arial"/>
          <w:szCs w:val="24"/>
        </w:rPr>
        <w:t xml:space="preserve">to be </w:t>
      </w:r>
      <w:r w:rsidR="007A0456" w:rsidRPr="00C90F4C">
        <w:rPr>
          <w:rFonts w:cs="Arial"/>
          <w:szCs w:val="24"/>
        </w:rPr>
        <w:t xml:space="preserve">general and overhead in nature and </w:t>
      </w:r>
      <w:r w:rsidR="003442A7">
        <w:rPr>
          <w:rFonts w:cs="Arial"/>
          <w:szCs w:val="24"/>
        </w:rPr>
        <w:t xml:space="preserve">related to overall company operations.  </w:t>
      </w:r>
      <w:r w:rsidR="007A0456" w:rsidRPr="00C90F4C">
        <w:rPr>
          <w:rFonts w:cs="Arial"/>
          <w:szCs w:val="24"/>
        </w:rPr>
        <w:t xml:space="preserve">For example, </w:t>
      </w:r>
      <w:r w:rsidR="007A0456">
        <w:rPr>
          <w:rFonts w:cs="Arial"/>
          <w:szCs w:val="24"/>
        </w:rPr>
        <w:t xml:space="preserve">Account </w:t>
      </w:r>
      <w:r w:rsidR="007A0456" w:rsidRPr="00C90F4C">
        <w:rPr>
          <w:rFonts w:cs="Arial"/>
          <w:szCs w:val="24"/>
        </w:rPr>
        <w:t>920 includes officers and executive salaries and bonuses</w:t>
      </w:r>
      <w:r w:rsidR="007A0456">
        <w:rPr>
          <w:rFonts w:cs="Arial"/>
          <w:szCs w:val="24"/>
        </w:rPr>
        <w:t xml:space="preserve">, which </w:t>
      </w:r>
      <w:r w:rsidR="003442A7">
        <w:rPr>
          <w:rFonts w:cs="Arial"/>
          <w:szCs w:val="24"/>
        </w:rPr>
        <w:t xml:space="preserve">span an array of EDC functions and </w:t>
      </w:r>
      <w:r w:rsidR="005B283A">
        <w:rPr>
          <w:rFonts w:cs="Arial"/>
          <w:szCs w:val="24"/>
        </w:rPr>
        <w:t xml:space="preserve">are </w:t>
      </w:r>
      <w:r w:rsidR="00D7010F">
        <w:rPr>
          <w:rFonts w:cs="Arial"/>
          <w:szCs w:val="24"/>
        </w:rPr>
        <w:t xml:space="preserve">not </w:t>
      </w:r>
      <w:r w:rsidR="005B283A">
        <w:rPr>
          <w:rFonts w:cs="Arial"/>
          <w:szCs w:val="24"/>
        </w:rPr>
        <w:t>directly related to</w:t>
      </w:r>
      <w:r w:rsidR="003442A7">
        <w:rPr>
          <w:rFonts w:cs="Arial"/>
          <w:szCs w:val="24"/>
        </w:rPr>
        <w:t xml:space="preserve"> the statutory functions. </w:t>
      </w:r>
      <w:r w:rsidR="00517F84">
        <w:rPr>
          <w:rFonts w:cs="Arial"/>
          <w:szCs w:val="24"/>
        </w:rPr>
        <w:t xml:space="preserve"> </w:t>
      </w:r>
    </w:p>
    <w:p w14:paraId="0EFD19AD" w14:textId="77777777" w:rsidR="005B283A" w:rsidRDefault="005B283A" w:rsidP="00F86708">
      <w:pPr>
        <w:tabs>
          <w:tab w:val="left" w:pos="810"/>
        </w:tabs>
        <w:autoSpaceDE w:val="0"/>
        <w:autoSpaceDN w:val="0"/>
        <w:adjustRightInd w:val="0"/>
        <w:ind w:firstLine="720"/>
        <w:jc w:val="both"/>
        <w:rPr>
          <w:rFonts w:cs="Arial"/>
          <w:szCs w:val="24"/>
        </w:rPr>
      </w:pPr>
    </w:p>
    <w:p w14:paraId="578CA7AA" w14:textId="239A4735" w:rsidR="00517F84" w:rsidRDefault="00420AB2" w:rsidP="00F86708">
      <w:pPr>
        <w:tabs>
          <w:tab w:val="left" w:pos="810"/>
        </w:tabs>
        <w:autoSpaceDE w:val="0"/>
        <w:autoSpaceDN w:val="0"/>
        <w:adjustRightInd w:val="0"/>
        <w:ind w:firstLine="720"/>
        <w:jc w:val="both"/>
        <w:rPr>
          <w:rFonts w:cs="Arial"/>
          <w:szCs w:val="24"/>
        </w:rPr>
      </w:pPr>
      <w:r>
        <w:rPr>
          <w:rFonts w:cs="Arial"/>
          <w:szCs w:val="24"/>
        </w:rPr>
        <w:t xml:space="preserve">In its Written Exceptions, </w:t>
      </w:r>
      <w:r w:rsidR="005B283A">
        <w:rPr>
          <w:rFonts w:cs="Arial"/>
          <w:szCs w:val="24"/>
        </w:rPr>
        <w:t>CL&amp;P suggest</w:t>
      </w:r>
      <w:r w:rsidR="0046147A">
        <w:rPr>
          <w:rFonts w:cs="Arial"/>
          <w:szCs w:val="24"/>
        </w:rPr>
        <w:t>ed</w:t>
      </w:r>
      <w:r w:rsidR="005B283A" w:rsidRPr="005B283A">
        <w:rPr>
          <w:rFonts w:cs="Arial"/>
          <w:szCs w:val="24"/>
        </w:rPr>
        <w:t xml:space="preserve"> that there are costs contained in the above accounts that are directly related to the statutory functions.  </w:t>
      </w:r>
      <w:r w:rsidR="00F86708">
        <w:rPr>
          <w:rFonts w:cs="Arial"/>
          <w:szCs w:val="24"/>
        </w:rPr>
        <w:t xml:space="preserve">CL&amp;P </w:t>
      </w:r>
      <w:r w:rsidR="00570904">
        <w:rPr>
          <w:rFonts w:cs="Arial"/>
          <w:szCs w:val="24"/>
        </w:rPr>
        <w:t xml:space="preserve">argued </w:t>
      </w:r>
      <w:r w:rsidR="009045F1">
        <w:rPr>
          <w:rFonts w:cs="Arial"/>
          <w:szCs w:val="24"/>
        </w:rPr>
        <w:t xml:space="preserve">that Account 920 includes salaries of employees who work in all four statutory functions </w:t>
      </w:r>
      <w:r w:rsidR="00D7010F">
        <w:rPr>
          <w:rFonts w:cs="Arial"/>
          <w:szCs w:val="24"/>
        </w:rPr>
        <w:t xml:space="preserve">while </w:t>
      </w:r>
      <w:r w:rsidR="009045F1">
        <w:rPr>
          <w:rFonts w:cs="Arial"/>
          <w:szCs w:val="24"/>
        </w:rPr>
        <w:t xml:space="preserve">the </w:t>
      </w:r>
      <w:r w:rsidR="00F230B2">
        <w:rPr>
          <w:rFonts w:cs="Arial"/>
          <w:szCs w:val="24"/>
        </w:rPr>
        <w:t xml:space="preserve">Authority only focused </w:t>
      </w:r>
      <w:r w:rsidR="009045F1">
        <w:rPr>
          <w:rFonts w:cs="Arial"/>
          <w:szCs w:val="24"/>
        </w:rPr>
        <w:t>on executive salaries and compensation.</w:t>
      </w:r>
      <w:r w:rsidR="005B283A">
        <w:rPr>
          <w:rFonts w:cs="Arial"/>
          <w:szCs w:val="24"/>
        </w:rPr>
        <w:t xml:space="preserve">  Written Exceptions, p. 4. </w:t>
      </w:r>
      <w:r w:rsidR="009045F1">
        <w:rPr>
          <w:rFonts w:cs="Arial"/>
          <w:szCs w:val="24"/>
        </w:rPr>
        <w:t xml:space="preserve"> </w:t>
      </w:r>
      <w:r w:rsidR="005B283A">
        <w:rPr>
          <w:rFonts w:cs="Arial"/>
          <w:szCs w:val="24"/>
        </w:rPr>
        <w:t xml:space="preserve">CL&amp;P also argued that </w:t>
      </w:r>
      <w:r w:rsidR="009045F1">
        <w:rPr>
          <w:rFonts w:cs="Arial"/>
          <w:szCs w:val="24"/>
        </w:rPr>
        <w:t>Account</w:t>
      </w:r>
      <w:r w:rsidR="00570904">
        <w:rPr>
          <w:rFonts w:cs="Arial"/>
          <w:szCs w:val="24"/>
        </w:rPr>
        <w:t>s</w:t>
      </w:r>
      <w:r w:rsidR="009045F1">
        <w:rPr>
          <w:rFonts w:cs="Arial"/>
          <w:szCs w:val="24"/>
        </w:rPr>
        <w:t xml:space="preserve"> 921 and 923 contain expenses for office supplies and subcontractors related to one or more statutory functions.</w:t>
      </w:r>
      <w:r>
        <w:rPr>
          <w:rFonts w:cs="Arial"/>
          <w:szCs w:val="24"/>
        </w:rPr>
        <w:t xml:space="preserve"> </w:t>
      </w:r>
      <w:r w:rsidR="009045F1">
        <w:rPr>
          <w:rFonts w:cs="Arial"/>
          <w:szCs w:val="24"/>
        </w:rPr>
        <w:t xml:space="preserve"> </w:t>
      </w:r>
      <w:r w:rsidR="00570904">
        <w:rPr>
          <w:rFonts w:cs="Arial"/>
          <w:szCs w:val="24"/>
        </w:rPr>
        <w:t xml:space="preserve">Finally, </w:t>
      </w:r>
      <w:r w:rsidR="00F230B2">
        <w:rPr>
          <w:rFonts w:cs="Arial"/>
          <w:szCs w:val="24"/>
        </w:rPr>
        <w:t xml:space="preserve">CL&amp;P maintained that Account 931 contains costs related to leasing the customer call center for customer service and should be included in the MRCC calculation. </w:t>
      </w:r>
      <w:r w:rsidR="00A51383">
        <w:rPr>
          <w:rFonts w:cs="Arial"/>
          <w:szCs w:val="24"/>
        </w:rPr>
        <w:t xml:space="preserve"> </w:t>
      </w:r>
    </w:p>
    <w:p w14:paraId="5888E951" w14:textId="77777777" w:rsidR="00517F84" w:rsidRDefault="00517F84" w:rsidP="00F86708">
      <w:pPr>
        <w:tabs>
          <w:tab w:val="left" w:pos="810"/>
        </w:tabs>
        <w:autoSpaceDE w:val="0"/>
        <w:autoSpaceDN w:val="0"/>
        <w:adjustRightInd w:val="0"/>
        <w:ind w:firstLine="720"/>
        <w:jc w:val="both"/>
        <w:rPr>
          <w:rFonts w:cs="Arial"/>
          <w:szCs w:val="24"/>
        </w:rPr>
      </w:pPr>
    </w:p>
    <w:p w14:paraId="3C338229" w14:textId="15D236AA" w:rsidR="000F2EE2" w:rsidRDefault="000C4236" w:rsidP="000C4236">
      <w:pPr>
        <w:tabs>
          <w:tab w:val="left" w:pos="810"/>
        </w:tabs>
        <w:autoSpaceDE w:val="0"/>
        <w:autoSpaceDN w:val="0"/>
        <w:adjustRightInd w:val="0"/>
        <w:jc w:val="both"/>
        <w:rPr>
          <w:rFonts w:cs="Arial"/>
          <w:szCs w:val="24"/>
        </w:rPr>
      </w:pPr>
      <w:r>
        <w:rPr>
          <w:rFonts w:cs="Arial"/>
          <w:szCs w:val="24"/>
        </w:rPr>
        <w:tab/>
      </w:r>
      <w:r w:rsidR="00C267DF">
        <w:rPr>
          <w:rFonts w:cs="Arial"/>
          <w:szCs w:val="24"/>
        </w:rPr>
        <w:t>I</w:t>
      </w:r>
      <w:r w:rsidR="005B283A">
        <w:rPr>
          <w:rFonts w:cs="Arial"/>
          <w:szCs w:val="24"/>
        </w:rPr>
        <w:t>n any future rate case, the Authority will</w:t>
      </w:r>
      <w:r w:rsidR="00AA73A9">
        <w:rPr>
          <w:rFonts w:cs="Arial"/>
          <w:szCs w:val="24"/>
        </w:rPr>
        <w:t xml:space="preserve"> operate on the rebuttable </w:t>
      </w:r>
      <w:r w:rsidR="005B283A">
        <w:rPr>
          <w:rFonts w:cs="Arial"/>
          <w:szCs w:val="24"/>
        </w:rPr>
        <w:t>presum</w:t>
      </w:r>
      <w:r w:rsidR="00AA73A9">
        <w:rPr>
          <w:rFonts w:cs="Arial"/>
          <w:szCs w:val="24"/>
        </w:rPr>
        <w:t>ption</w:t>
      </w:r>
      <w:r w:rsidR="005B283A">
        <w:rPr>
          <w:rFonts w:cs="Arial"/>
          <w:szCs w:val="24"/>
        </w:rPr>
        <w:t xml:space="preserve"> that costs in Accounts </w:t>
      </w:r>
      <w:r w:rsidR="005B283A" w:rsidRPr="005B283A">
        <w:rPr>
          <w:rFonts w:cs="Arial"/>
          <w:szCs w:val="24"/>
        </w:rPr>
        <w:t xml:space="preserve">920, 921, </w:t>
      </w:r>
      <w:r w:rsidR="00AA73A9">
        <w:rPr>
          <w:rFonts w:cs="Arial"/>
          <w:szCs w:val="24"/>
        </w:rPr>
        <w:t xml:space="preserve">and </w:t>
      </w:r>
      <w:r w:rsidR="005B283A" w:rsidRPr="005B283A">
        <w:rPr>
          <w:rFonts w:cs="Arial"/>
          <w:szCs w:val="24"/>
        </w:rPr>
        <w:t>923</w:t>
      </w:r>
      <w:r w:rsidR="00AA73A9">
        <w:rPr>
          <w:rFonts w:cs="Arial"/>
          <w:szCs w:val="24"/>
        </w:rPr>
        <w:t xml:space="preserve"> </w:t>
      </w:r>
      <w:r w:rsidR="005B283A">
        <w:rPr>
          <w:rFonts w:cs="Arial"/>
          <w:szCs w:val="24"/>
        </w:rPr>
        <w:t>are excluded from t</w:t>
      </w:r>
      <w:r w:rsidR="008F501E">
        <w:rPr>
          <w:rFonts w:cs="Arial"/>
          <w:szCs w:val="24"/>
        </w:rPr>
        <w:t>he MRCC calculation.  T</w:t>
      </w:r>
      <w:r>
        <w:rPr>
          <w:rFonts w:cs="Arial"/>
          <w:szCs w:val="24"/>
        </w:rPr>
        <w:t>he Authority will</w:t>
      </w:r>
      <w:r w:rsidR="008F501E">
        <w:rPr>
          <w:rFonts w:cs="Arial"/>
          <w:szCs w:val="24"/>
        </w:rPr>
        <w:t>, however,</w:t>
      </w:r>
      <w:r>
        <w:rPr>
          <w:rFonts w:cs="Arial"/>
          <w:szCs w:val="24"/>
        </w:rPr>
        <w:t xml:space="preserve"> consider </w:t>
      </w:r>
      <w:r w:rsidR="008F501E">
        <w:rPr>
          <w:rFonts w:cs="Arial"/>
          <w:szCs w:val="24"/>
        </w:rPr>
        <w:t xml:space="preserve">EDC </w:t>
      </w:r>
      <w:r>
        <w:rPr>
          <w:rFonts w:cs="Arial"/>
          <w:szCs w:val="24"/>
        </w:rPr>
        <w:t xml:space="preserve">proposals </w:t>
      </w:r>
      <w:r w:rsidR="008F501E">
        <w:rPr>
          <w:rFonts w:cs="Arial"/>
          <w:szCs w:val="24"/>
        </w:rPr>
        <w:t xml:space="preserve">to </w:t>
      </w:r>
      <w:r>
        <w:rPr>
          <w:rFonts w:cs="Arial"/>
          <w:szCs w:val="24"/>
        </w:rPr>
        <w:t>inclu</w:t>
      </w:r>
      <w:r w:rsidR="008F501E">
        <w:rPr>
          <w:rFonts w:cs="Arial"/>
          <w:szCs w:val="24"/>
        </w:rPr>
        <w:t>de</w:t>
      </w:r>
      <w:r>
        <w:rPr>
          <w:rFonts w:cs="Arial"/>
          <w:szCs w:val="24"/>
        </w:rPr>
        <w:t xml:space="preserve"> </w:t>
      </w:r>
      <w:r w:rsidR="008F501E">
        <w:rPr>
          <w:rFonts w:cs="Arial"/>
          <w:szCs w:val="24"/>
        </w:rPr>
        <w:t xml:space="preserve">specifically identifiable costs </w:t>
      </w:r>
      <w:r w:rsidR="008F501E">
        <w:rPr>
          <w:rFonts w:cs="Arial"/>
          <w:szCs w:val="24"/>
        </w:rPr>
        <w:lastRenderedPageBreak/>
        <w:t xml:space="preserve">from </w:t>
      </w:r>
      <w:r w:rsidR="00AA73A9">
        <w:rPr>
          <w:rFonts w:cs="Arial"/>
          <w:szCs w:val="24"/>
        </w:rPr>
        <w:t>A</w:t>
      </w:r>
      <w:r w:rsidR="008F501E">
        <w:rPr>
          <w:rFonts w:cs="Arial"/>
          <w:szCs w:val="24"/>
        </w:rPr>
        <w:t>ccounts</w:t>
      </w:r>
      <w:r w:rsidR="00AA73A9">
        <w:rPr>
          <w:rFonts w:cs="Arial"/>
          <w:szCs w:val="24"/>
        </w:rPr>
        <w:t xml:space="preserve"> 92</w:t>
      </w:r>
      <w:r w:rsidR="00C267DF">
        <w:rPr>
          <w:rFonts w:cs="Arial"/>
          <w:szCs w:val="24"/>
        </w:rPr>
        <w:t>0</w:t>
      </w:r>
      <w:r w:rsidR="00AA73A9">
        <w:rPr>
          <w:rFonts w:cs="Arial"/>
          <w:szCs w:val="24"/>
        </w:rPr>
        <w:t>, 921 and 923</w:t>
      </w:r>
      <w:r w:rsidR="008F501E">
        <w:rPr>
          <w:rFonts w:cs="Arial"/>
          <w:szCs w:val="24"/>
        </w:rPr>
        <w:t xml:space="preserve"> in the MRCC calculation.  The </w:t>
      </w:r>
      <w:r w:rsidR="008F501E" w:rsidRPr="008F501E">
        <w:rPr>
          <w:rFonts w:cs="Arial"/>
          <w:szCs w:val="24"/>
        </w:rPr>
        <w:t>EDCs will have the burden of proving</w:t>
      </w:r>
      <w:r w:rsidR="008F501E">
        <w:rPr>
          <w:rFonts w:cs="Arial"/>
          <w:szCs w:val="24"/>
        </w:rPr>
        <w:t xml:space="preserve"> a specific cost </w:t>
      </w:r>
      <w:r w:rsidR="00AA73A9">
        <w:rPr>
          <w:rFonts w:cs="Arial"/>
          <w:szCs w:val="24"/>
        </w:rPr>
        <w:t xml:space="preserve">from one of these accounts </w:t>
      </w:r>
      <w:r w:rsidR="008F501E">
        <w:rPr>
          <w:rFonts w:cs="Arial"/>
          <w:szCs w:val="24"/>
        </w:rPr>
        <w:t xml:space="preserve">is </w:t>
      </w:r>
      <w:r w:rsidR="003442A7">
        <w:rPr>
          <w:rFonts w:cs="Arial"/>
          <w:szCs w:val="24"/>
        </w:rPr>
        <w:t xml:space="preserve">directly related to </w:t>
      </w:r>
      <w:r w:rsidR="008F501E">
        <w:rPr>
          <w:rFonts w:cs="Arial"/>
          <w:szCs w:val="24"/>
        </w:rPr>
        <w:t xml:space="preserve">one of </w:t>
      </w:r>
      <w:r>
        <w:rPr>
          <w:rFonts w:cs="Arial"/>
          <w:szCs w:val="24"/>
        </w:rPr>
        <w:t>the statutory functions as defined in Section III</w:t>
      </w:r>
      <w:r w:rsidR="00E87B8E">
        <w:rPr>
          <w:rFonts w:cs="Arial"/>
          <w:szCs w:val="24"/>
        </w:rPr>
        <w:t>.</w:t>
      </w:r>
      <w:r>
        <w:rPr>
          <w:rFonts w:cs="Arial"/>
          <w:szCs w:val="24"/>
        </w:rPr>
        <w:t>A</w:t>
      </w:r>
      <w:r w:rsidR="009956FF">
        <w:rPr>
          <w:rFonts w:cs="Arial"/>
          <w:szCs w:val="24"/>
        </w:rPr>
        <w:t>.</w:t>
      </w:r>
      <w:r>
        <w:rPr>
          <w:rFonts w:cs="Arial"/>
          <w:szCs w:val="24"/>
        </w:rPr>
        <w:t xml:space="preserve"> </w:t>
      </w:r>
      <w:r w:rsidR="00E87B8E" w:rsidRPr="000844FD">
        <w:rPr>
          <w:rFonts w:cs="Arial"/>
          <w:szCs w:val="24"/>
          <w:u w:val="single"/>
        </w:rPr>
        <w:t>Costs Directly Related to the Statutory Functions</w:t>
      </w:r>
      <w:r w:rsidR="008F501E" w:rsidRPr="009A5726">
        <w:rPr>
          <w:rFonts w:cs="Arial"/>
          <w:szCs w:val="24"/>
        </w:rPr>
        <w:t xml:space="preserve"> and providing </w:t>
      </w:r>
      <w:r w:rsidR="002B7479">
        <w:rPr>
          <w:rFonts w:cs="Arial"/>
          <w:szCs w:val="24"/>
        </w:rPr>
        <w:t>s</w:t>
      </w:r>
      <w:r w:rsidR="000F2EE2">
        <w:rPr>
          <w:rFonts w:cs="Arial"/>
          <w:szCs w:val="24"/>
        </w:rPr>
        <w:t>upporting documentation</w:t>
      </w:r>
      <w:r w:rsidR="00C267DF">
        <w:rPr>
          <w:rFonts w:cs="Arial"/>
          <w:szCs w:val="24"/>
        </w:rPr>
        <w:t xml:space="preserve"> and workpapers</w:t>
      </w:r>
      <w:r w:rsidR="008F501E">
        <w:rPr>
          <w:rFonts w:cs="Arial"/>
          <w:szCs w:val="24"/>
        </w:rPr>
        <w:t xml:space="preserve">.  </w:t>
      </w:r>
      <w:r w:rsidR="00AA73A9">
        <w:rPr>
          <w:rFonts w:cs="Arial"/>
          <w:szCs w:val="24"/>
        </w:rPr>
        <w:t xml:space="preserve">For </w:t>
      </w:r>
      <w:r w:rsidR="00E87B8E">
        <w:rPr>
          <w:rFonts w:cs="Arial"/>
          <w:szCs w:val="24"/>
        </w:rPr>
        <w:t xml:space="preserve">any </w:t>
      </w:r>
      <w:r w:rsidR="008F501E">
        <w:rPr>
          <w:rFonts w:cs="Arial"/>
          <w:szCs w:val="24"/>
        </w:rPr>
        <w:t xml:space="preserve">EDC </w:t>
      </w:r>
      <w:r w:rsidR="00E87B8E">
        <w:rPr>
          <w:rFonts w:cs="Arial"/>
          <w:szCs w:val="24"/>
        </w:rPr>
        <w:t>propos</w:t>
      </w:r>
      <w:r w:rsidR="008F501E">
        <w:rPr>
          <w:rFonts w:cs="Arial"/>
          <w:szCs w:val="24"/>
        </w:rPr>
        <w:t>al</w:t>
      </w:r>
      <w:r w:rsidR="00703385">
        <w:rPr>
          <w:rFonts w:cs="Arial"/>
          <w:szCs w:val="24"/>
        </w:rPr>
        <w:t xml:space="preserve"> </w:t>
      </w:r>
      <w:r w:rsidR="008F501E">
        <w:rPr>
          <w:rFonts w:cs="Arial"/>
          <w:szCs w:val="24"/>
        </w:rPr>
        <w:t xml:space="preserve">to include </w:t>
      </w:r>
      <w:r w:rsidR="00B0676A">
        <w:rPr>
          <w:rFonts w:cs="Arial"/>
          <w:szCs w:val="24"/>
        </w:rPr>
        <w:t xml:space="preserve">labor expenses </w:t>
      </w:r>
      <w:r w:rsidR="00E87B8E">
        <w:rPr>
          <w:rFonts w:cs="Arial"/>
          <w:szCs w:val="24"/>
        </w:rPr>
        <w:t>associated with Account 920</w:t>
      </w:r>
      <w:r w:rsidR="008F501E">
        <w:rPr>
          <w:rFonts w:cs="Arial"/>
          <w:szCs w:val="24"/>
        </w:rPr>
        <w:t>, the EDC</w:t>
      </w:r>
      <w:r w:rsidR="00E87B8E">
        <w:rPr>
          <w:rFonts w:cs="Arial"/>
          <w:szCs w:val="24"/>
        </w:rPr>
        <w:t xml:space="preserve"> </w:t>
      </w:r>
      <w:r w:rsidR="008F501E">
        <w:rPr>
          <w:rFonts w:cs="Arial"/>
          <w:szCs w:val="24"/>
        </w:rPr>
        <w:t xml:space="preserve">submission </w:t>
      </w:r>
      <w:r w:rsidR="000F2EE2">
        <w:rPr>
          <w:rFonts w:cs="Arial"/>
          <w:szCs w:val="24"/>
        </w:rPr>
        <w:t xml:space="preserve">must include </w:t>
      </w:r>
      <w:r w:rsidR="000F2EE2" w:rsidRPr="00670324">
        <w:rPr>
          <w:rFonts w:cs="Arial"/>
          <w:szCs w:val="24"/>
        </w:rPr>
        <w:t>job titles</w:t>
      </w:r>
      <w:r w:rsidR="00E87B8E">
        <w:rPr>
          <w:rFonts w:cs="Arial"/>
          <w:szCs w:val="24"/>
        </w:rPr>
        <w:t xml:space="preserve"> and </w:t>
      </w:r>
      <w:r w:rsidR="000F2EE2" w:rsidRPr="00670324">
        <w:rPr>
          <w:rFonts w:cs="Arial"/>
          <w:szCs w:val="24"/>
        </w:rPr>
        <w:t xml:space="preserve">a detailed description of the </w:t>
      </w:r>
      <w:r w:rsidR="00E87B8E">
        <w:rPr>
          <w:rFonts w:cs="Arial"/>
          <w:szCs w:val="24"/>
        </w:rPr>
        <w:t xml:space="preserve">employee’s </w:t>
      </w:r>
      <w:r w:rsidR="000F2EE2" w:rsidRPr="00670324">
        <w:rPr>
          <w:rFonts w:cs="Arial"/>
          <w:szCs w:val="24"/>
        </w:rPr>
        <w:t xml:space="preserve">work </w:t>
      </w:r>
      <w:r w:rsidR="00E87B8E">
        <w:rPr>
          <w:rFonts w:cs="Arial"/>
          <w:szCs w:val="24"/>
        </w:rPr>
        <w:t xml:space="preserve">that is directly </w:t>
      </w:r>
      <w:r w:rsidR="000F2EE2" w:rsidRPr="00670324">
        <w:rPr>
          <w:rFonts w:cs="Arial"/>
          <w:szCs w:val="24"/>
        </w:rPr>
        <w:t>related to the statutory function</w:t>
      </w:r>
      <w:r w:rsidR="00E87B8E">
        <w:rPr>
          <w:rFonts w:cs="Arial"/>
          <w:szCs w:val="24"/>
        </w:rPr>
        <w:t>s</w:t>
      </w:r>
      <w:r w:rsidR="00B0676A">
        <w:rPr>
          <w:rFonts w:cs="Arial"/>
          <w:szCs w:val="24"/>
        </w:rPr>
        <w:t xml:space="preserve">. </w:t>
      </w:r>
      <w:r w:rsidR="009A5726">
        <w:rPr>
          <w:rFonts w:cs="Arial"/>
          <w:szCs w:val="24"/>
        </w:rPr>
        <w:t xml:space="preserve"> </w:t>
      </w:r>
      <w:r w:rsidR="00AA73A9">
        <w:rPr>
          <w:rFonts w:cs="Arial"/>
          <w:szCs w:val="24"/>
        </w:rPr>
        <w:t>For example, s</w:t>
      </w:r>
      <w:r w:rsidR="00B0676A">
        <w:rPr>
          <w:rFonts w:cs="Arial"/>
          <w:szCs w:val="24"/>
        </w:rPr>
        <w:t xml:space="preserve">upporting documentation for </w:t>
      </w:r>
      <w:r w:rsidR="008F501E">
        <w:rPr>
          <w:rFonts w:cs="Arial"/>
          <w:szCs w:val="24"/>
        </w:rPr>
        <w:t xml:space="preserve">inclusion of </w:t>
      </w:r>
      <w:r w:rsidR="00B0676A">
        <w:rPr>
          <w:rFonts w:cs="Arial"/>
          <w:szCs w:val="24"/>
        </w:rPr>
        <w:t xml:space="preserve">costs for a customer service or metering director must include the percentage of time </w:t>
      </w:r>
      <w:r w:rsidR="00AF390A">
        <w:rPr>
          <w:rFonts w:cs="Arial"/>
          <w:szCs w:val="24"/>
        </w:rPr>
        <w:t xml:space="preserve">the director </w:t>
      </w:r>
      <w:r w:rsidR="00B0676A">
        <w:rPr>
          <w:rFonts w:cs="Arial"/>
          <w:szCs w:val="24"/>
        </w:rPr>
        <w:t xml:space="preserve">spent working on the </w:t>
      </w:r>
      <w:r w:rsidR="00992B1E">
        <w:rPr>
          <w:rFonts w:cs="Arial"/>
          <w:szCs w:val="24"/>
        </w:rPr>
        <w:t>statutory</w:t>
      </w:r>
      <w:r w:rsidR="00B0676A">
        <w:rPr>
          <w:rFonts w:cs="Arial"/>
          <w:szCs w:val="24"/>
        </w:rPr>
        <w:t xml:space="preserve"> functions.  </w:t>
      </w:r>
    </w:p>
    <w:p w14:paraId="0BDAF9B9" w14:textId="77777777" w:rsidR="000F2EE2" w:rsidRDefault="000F2EE2" w:rsidP="000C4236">
      <w:pPr>
        <w:tabs>
          <w:tab w:val="left" w:pos="810"/>
        </w:tabs>
        <w:autoSpaceDE w:val="0"/>
        <w:autoSpaceDN w:val="0"/>
        <w:adjustRightInd w:val="0"/>
        <w:jc w:val="both"/>
        <w:rPr>
          <w:rFonts w:cs="Arial"/>
          <w:szCs w:val="24"/>
        </w:rPr>
      </w:pPr>
    </w:p>
    <w:p w14:paraId="7E56EFC5" w14:textId="28BFB7AD" w:rsidR="000C4236" w:rsidRDefault="00465D01" w:rsidP="000C4236">
      <w:pPr>
        <w:tabs>
          <w:tab w:val="left" w:pos="810"/>
        </w:tabs>
        <w:autoSpaceDE w:val="0"/>
        <w:autoSpaceDN w:val="0"/>
        <w:adjustRightInd w:val="0"/>
        <w:jc w:val="both"/>
        <w:rPr>
          <w:rFonts w:cs="Arial"/>
          <w:szCs w:val="24"/>
        </w:rPr>
      </w:pPr>
      <w:r>
        <w:rPr>
          <w:rFonts w:cs="Arial"/>
          <w:szCs w:val="24"/>
        </w:rPr>
        <w:tab/>
        <w:t>Similarly, for Account 921 and 923, a</w:t>
      </w:r>
      <w:r w:rsidR="000F2EE2">
        <w:rPr>
          <w:rFonts w:cs="Arial"/>
          <w:szCs w:val="24"/>
        </w:rPr>
        <w:t xml:space="preserve">ny </w:t>
      </w:r>
      <w:r w:rsidR="00AF390A">
        <w:rPr>
          <w:rFonts w:cs="Arial"/>
          <w:szCs w:val="24"/>
        </w:rPr>
        <w:t xml:space="preserve">EDC </w:t>
      </w:r>
      <w:r w:rsidR="000F2EE2">
        <w:rPr>
          <w:rFonts w:cs="Arial"/>
          <w:szCs w:val="24"/>
        </w:rPr>
        <w:t>p</w:t>
      </w:r>
      <w:r w:rsidR="000C4236">
        <w:rPr>
          <w:rFonts w:cs="Arial"/>
          <w:szCs w:val="24"/>
        </w:rPr>
        <w:t>ropos</w:t>
      </w:r>
      <w:r w:rsidR="00AF390A">
        <w:rPr>
          <w:rFonts w:cs="Arial"/>
          <w:szCs w:val="24"/>
        </w:rPr>
        <w:t>al to include</w:t>
      </w:r>
      <w:r w:rsidR="000C4236">
        <w:rPr>
          <w:rFonts w:cs="Arial"/>
          <w:szCs w:val="24"/>
        </w:rPr>
        <w:t xml:space="preserve"> costs </w:t>
      </w:r>
      <w:r>
        <w:rPr>
          <w:rFonts w:cs="Arial"/>
          <w:szCs w:val="24"/>
        </w:rPr>
        <w:t xml:space="preserve">in the MRCC calculation </w:t>
      </w:r>
      <w:r w:rsidR="000C4236">
        <w:rPr>
          <w:rFonts w:cs="Arial"/>
          <w:szCs w:val="24"/>
        </w:rPr>
        <w:t xml:space="preserve">must be </w:t>
      </w:r>
      <w:r w:rsidR="000C4236" w:rsidRPr="00670324">
        <w:rPr>
          <w:rFonts w:cs="Arial"/>
          <w:szCs w:val="24"/>
        </w:rPr>
        <w:t xml:space="preserve">supported by a </w:t>
      </w:r>
      <w:r w:rsidR="000C4236" w:rsidRPr="006B0E46">
        <w:rPr>
          <w:rFonts w:cs="Arial"/>
        </w:rPr>
        <w:t xml:space="preserve">summary worksheet </w:t>
      </w:r>
      <w:r w:rsidR="000C4236" w:rsidRPr="00670324">
        <w:rPr>
          <w:rFonts w:cs="Arial"/>
        </w:rPr>
        <w:t xml:space="preserve">that details the specific costs, </w:t>
      </w:r>
      <w:r w:rsidR="000C4236" w:rsidRPr="006B0E46">
        <w:rPr>
          <w:rFonts w:cs="Arial"/>
        </w:rPr>
        <w:t>the total cost proposed for inclusion, the applicability of each costs to one or more of the statutory functions, and the allocator used to assign shared cost among the operating companies</w:t>
      </w:r>
      <w:r w:rsidR="000C4236">
        <w:rPr>
          <w:rFonts w:cs="Arial"/>
        </w:rPr>
        <w:t xml:space="preserve">.  In addition, the EDCs must include </w:t>
      </w:r>
      <w:r w:rsidR="000C4236" w:rsidRPr="006B0E46">
        <w:rPr>
          <w:rFonts w:cs="Arial"/>
        </w:rPr>
        <w:t>the functionalization and classification of said costs and the unit rate of the collective adjustment at an account level.</w:t>
      </w:r>
      <w:r w:rsidR="00CB5384">
        <w:rPr>
          <w:rFonts w:cs="Arial"/>
        </w:rPr>
        <w:t xml:space="preserve"> </w:t>
      </w:r>
      <w:r w:rsidR="000C4236" w:rsidRPr="006B0E46">
        <w:rPr>
          <w:rFonts w:cs="Arial"/>
        </w:rPr>
        <w:t xml:space="preserve"> </w:t>
      </w:r>
      <w:r>
        <w:rPr>
          <w:rFonts w:cs="Arial"/>
        </w:rPr>
        <w:t>The Authority does not consider g</w:t>
      </w:r>
      <w:r>
        <w:rPr>
          <w:rFonts w:cs="Arial"/>
          <w:szCs w:val="24"/>
        </w:rPr>
        <w:t xml:space="preserve">eneral allocations from multiple control centers as sufficient supporting documentation </w:t>
      </w:r>
      <w:r w:rsidR="004E0465">
        <w:rPr>
          <w:rFonts w:cs="Arial"/>
          <w:szCs w:val="24"/>
        </w:rPr>
        <w:t xml:space="preserve">to include costs from the above accounts </w:t>
      </w:r>
      <w:r>
        <w:rPr>
          <w:rFonts w:cs="Arial"/>
          <w:szCs w:val="24"/>
        </w:rPr>
        <w:t xml:space="preserve">in the MRCC calculation. </w:t>
      </w:r>
    </w:p>
    <w:p w14:paraId="785D6E59" w14:textId="77777777" w:rsidR="000C4236" w:rsidRDefault="000C4236" w:rsidP="000C4236">
      <w:pPr>
        <w:tabs>
          <w:tab w:val="left" w:pos="810"/>
        </w:tabs>
        <w:autoSpaceDE w:val="0"/>
        <w:autoSpaceDN w:val="0"/>
        <w:adjustRightInd w:val="0"/>
        <w:jc w:val="both"/>
        <w:rPr>
          <w:rFonts w:cs="Arial"/>
          <w:szCs w:val="24"/>
        </w:rPr>
      </w:pPr>
    </w:p>
    <w:p w14:paraId="3D6C14F7" w14:textId="0005BFC0" w:rsidR="00F86708" w:rsidRDefault="00A51383" w:rsidP="00F86708">
      <w:pPr>
        <w:tabs>
          <w:tab w:val="left" w:pos="810"/>
        </w:tabs>
        <w:autoSpaceDE w:val="0"/>
        <w:autoSpaceDN w:val="0"/>
        <w:adjustRightInd w:val="0"/>
        <w:ind w:firstLine="720"/>
        <w:jc w:val="both"/>
        <w:rPr>
          <w:rFonts w:cs="Arial"/>
          <w:szCs w:val="24"/>
        </w:rPr>
      </w:pPr>
      <w:r>
        <w:rPr>
          <w:rFonts w:cs="Arial"/>
          <w:szCs w:val="24"/>
        </w:rPr>
        <w:t xml:space="preserve">The Authority finds that </w:t>
      </w:r>
      <w:r w:rsidR="00A50C2B">
        <w:rPr>
          <w:rFonts w:cs="Arial"/>
          <w:szCs w:val="24"/>
        </w:rPr>
        <w:t>costs in Account</w:t>
      </w:r>
      <w:r w:rsidR="004E0465">
        <w:rPr>
          <w:rFonts w:cs="Arial"/>
          <w:szCs w:val="24"/>
        </w:rPr>
        <w:t>s</w:t>
      </w:r>
      <w:r w:rsidR="00A50C2B">
        <w:rPr>
          <w:rFonts w:cs="Arial"/>
          <w:szCs w:val="24"/>
        </w:rPr>
        <w:t xml:space="preserve"> </w:t>
      </w:r>
      <w:r w:rsidR="00AA73A9">
        <w:rPr>
          <w:rFonts w:cs="Arial"/>
          <w:szCs w:val="24"/>
        </w:rPr>
        <w:t xml:space="preserve">922, </w:t>
      </w:r>
      <w:r w:rsidR="00A50C2B">
        <w:rPr>
          <w:rFonts w:cs="Arial"/>
          <w:szCs w:val="24"/>
        </w:rPr>
        <w:t>928</w:t>
      </w:r>
      <w:r w:rsidR="00AA73A9">
        <w:rPr>
          <w:rFonts w:cs="Arial"/>
          <w:szCs w:val="24"/>
        </w:rPr>
        <w:t>,</w:t>
      </w:r>
      <w:r w:rsidR="00A50C2B">
        <w:rPr>
          <w:rFonts w:cs="Arial"/>
          <w:szCs w:val="24"/>
        </w:rPr>
        <w:t xml:space="preserve"> 930</w:t>
      </w:r>
      <w:r w:rsidR="00AA73A9">
        <w:rPr>
          <w:rFonts w:cs="Arial"/>
          <w:szCs w:val="24"/>
        </w:rPr>
        <w:t>, and 931</w:t>
      </w:r>
      <w:r w:rsidR="00A50C2B">
        <w:rPr>
          <w:rFonts w:cs="Arial"/>
          <w:szCs w:val="24"/>
        </w:rPr>
        <w:t xml:space="preserve"> </w:t>
      </w:r>
      <w:r>
        <w:rPr>
          <w:rFonts w:cs="Arial"/>
          <w:szCs w:val="24"/>
        </w:rPr>
        <w:t>are outside of the statutory functions</w:t>
      </w:r>
      <w:r w:rsidR="00A50C2B">
        <w:rPr>
          <w:rFonts w:cs="Arial"/>
          <w:szCs w:val="24"/>
        </w:rPr>
        <w:t xml:space="preserve"> and are excluded from the MRCC calculation.  </w:t>
      </w:r>
      <w:r w:rsidR="004E0465">
        <w:rPr>
          <w:rFonts w:cs="Arial"/>
          <w:szCs w:val="24"/>
        </w:rPr>
        <w:t xml:space="preserve">Account 931, which includes costs for office rental expenses, </w:t>
      </w:r>
      <w:r w:rsidR="00A50C2B">
        <w:rPr>
          <w:rFonts w:cs="Arial"/>
          <w:szCs w:val="24"/>
        </w:rPr>
        <w:t>can be u</w:t>
      </w:r>
      <w:r w:rsidR="00B0676A">
        <w:rPr>
          <w:rFonts w:cs="Arial"/>
          <w:szCs w:val="24"/>
        </w:rPr>
        <w:t xml:space="preserve">tilized </w:t>
      </w:r>
      <w:r w:rsidR="00A50C2B">
        <w:rPr>
          <w:rFonts w:cs="Arial"/>
          <w:szCs w:val="24"/>
        </w:rPr>
        <w:t xml:space="preserve">by the EDCs for multi-operational common purposes </w:t>
      </w:r>
      <w:r w:rsidR="00992B1E">
        <w:rPr>
          <w:rFonts w:cs="Arial"/>
          <w:szCs w:val="24"/>
        </w:rPr>
        <w:t xml:space="preserve">and multiple operating companies.  The Authority </w:t>
      </w:r>
      <w:r w:rsidR="00AF390A">
        <w:rPr>
          <w:rFonts w:cs="Arial"/>
          <w:szCs w:val="24"/>
        </w:rPr>
        <w:t xml:space="preserve">also </w:t>
      </w:r>
      <w:r w:rsidR="00992B1E">
        <w:rPr>
          <w:rFonts w:cs="Arial"/>
          <w:szCs w:val="24"/>
        </w:rPr>
        <w:t xml:space="preserve">finds Account 931 to be </w:t>
      </w:r>
      <w:r w:rsidR="00B0676A">
        <w:rPr>
          <w:rFonts w:cs="Arial"/>
          <w:szCs w:val="24"/>
        </w:rPr>
        <w:t xml:space="preserve">similar </w:t>
      </w:r>
      <w:r w:rsidR="00992B1E">
        <w:rPr>
          <w:rFonts w:cs="Arial"/>
          <w:szCs w:val="24"/>
        </w:rPr>
        <w:t xml:space="preserve">in function to </w:t>
      </w:r>
      <w:r w:rsidR="004E0465">
        <w:rPr>
          <w:rFonts w:cs="Arial"/>
          <w:szCs w:val="24"/>
        </w:rPr>
        <w:t xml:space="preserve">buildings in </w:t>
      </w:r>
      <w:r w:rsidR="00992B1E">
        <w:rPr>
          <w:rFonts w:cs="Arial"/>
          <w:szCs w:val="24"/>
        </w:rPr>
        <w:t>Account 390</w:t>
      </w:r>
      <w:r w:rsidR="004E0465">
        <w:rPr>
          <w:rFonts w:cs="Arial"/>
          <w:szCs w:val="24"/>
        </w:rPr>
        <w:t xml:space="preserve">, </w:t>
      </w:r>
      <w:r w:rsidR="00992B1E">
        <w:rPr>
          <w:rFonts w:cs="Arial"/>
          <w:szCs w:val="24"/>
        </w:rPr>
        <w:t xml:space="preserve">and therefore </w:t>
      </w:r>
      <w:r w:rsidR="00A50C2B">
        <w:rPr>
          <w:rFonts w:cs="Arial"/>
          <w:szCs w:val="24"/>
        </w:rPr>
        <w:t>excludable f</w:t>
      </w:r>
      <w:r w:rsidR="00992B1E">
        <w:rPr>
          <w:rFonts w:cs="Arial"/>
          <w:szCs w:val="24"/>
        </w:rPr>
        <w:t>r</w:t>
      </w:r>
      <w:r w:rsidR="00A50C2B">
        <w:rPr>
          <w:rFonts w:cs="Arial"/>
          <w:szCs w:val="24"/>
        </w:rPr>
        <w:t xml:space="preserve">om the MRCC calculation. </w:t>
      </w:r>
    </w:p>
    <w:p w14:paraId="2773A730" w14:textId="77777777" w:rsidR="009045F1" w:rsidRDefault="009045F1" w:rsidP="00F86708">
      <w:pPr>
        <w:tabs>
          <w:tab w:val="left" w:pos="810"/>
        </w:tabs>
        <w:autoSpaceDE w:val="0"/>
        <w:autoSpaceDN w:val="0"/>
        <w:adjustRightInd w:val="0"/>
        <w:ind w:firstLine="720"/>
        <w:jc w:val="both"/>
        <w:rPr>
          <w:rFonts w:cs="Arial"/>
          <w:szCs w:val="24"/>
        </w:rPr>
      </w:pPr>
    </w:p>
    <w:p w14:paraId="783DC2FA" w14:textId="7658B535" w:rsidR="004E0465" w:rsidRDefault="00FF0052" w:rsidP="007A0456">
      <w:pPr>
        <w:ind w:firstLine="720"/>
        <w:jc w:val="both"/>
        <w:rPr>
          <w:rFonts w:cs="Arial"/>
          <w:szCs w:val="24"/>
        </w:rPr>
      </w:pPr>
      <w:r>
        <w:rPr>
          <w:rFonts w:cs="Arial"/>
          <w:szCs w:val="24"/>
        </w:rPr>
        <w:t xml:space="preserve">For Account 935, the EDCs did not identify costs associated with this account in their proposed MRCC calculations.  </w:t>
      </w:r>
      <w:r w:rsidR="006C1CEC">
        <w:rPr>
          <w:rFonts w:cs="Arial"/>
          <w:szCs w:val="24"/>
        </w:rPr>
        <w:t xml:space="preserve">The Authority recognizes that </w:t>
      </w:r>
      <w:r>
        <w:rPr>
          <w:rFonts w:cs="Arial"/>
          <w:szCs w:val="24"/>
        </w:rPr>
        <w:t>in the future it is possible that the EDCs may identify maintenance expenses in Account 935 that are related to plant Accounts 391, 397, and 398</w:t>
      </w:r>
      <w:r w:rsidR="00670324">
        <w:rPr>
          <w:rFonts w:cs="Arial"/>
          <w:szCs w:val="24"/>
        </w:rPr>
        <w:t>,</w:t>
      </w:r>
      <w:r>
        <w:rPr>
          <w:rFonts w:cs="Arial"/>
          <w:szCs w:val="24"/>
        </w:rPr>
        <w:t xml:space="preserve"> which the </w:t>
      </w:r>
      <w:r w:rsidR="00670324">
        <w:rPr>
          <w:rFonts w:cs="Arial"/>
          <w:szCs w:val="24"/>
        </w:rPr>
        <w:t xml:space="preserve">PURA has </w:t>
      </w:r>
      <w:r>
        <w:rPr>
          <w:rFonts w:cs="Arial"/>
          <w:szCs w:val="24"/>
        </w:rPr>
        <w:t xml:space="preserve">determined </w:t>
      </w:r>
      <w:r w:rsidR="00670324">
        <w:rPr>
          <w:rFonts w:cs="Arial"/>
          <w:szCs w:val="24"/>
        </w:rPr>
        <w:t xml:space="preserve">in the instant Decision </w:t>
      </w:r>
      <w:r>
        <w:rPr>
          <w:rFonts w:cs="Arial"/>
          <w:szCs w:val="24"/>
        </w:rPr>
        <w:t xml:space="preserve">are includable in the MRCC calculation.  However, the </w:t>
      </w:r>
      <w:r w:rsidR="00670324">
        <w:rPr>
          <w:rFonts w:cs="Arial"/>
          <w:szCs w:val="24"/>
        </w:rPr>
        <w:t xml:space="preserve">burden of proof </w:t>
      </w:r>
      <w:r>
        <w:rPr>
          <w:rFonts w:cs="Arial"/>
          <w:szCs w:val="24"/>
        </w:rPr>
        <w:t xml:space="preserve">will be on the EDCs to provide supporting documentation </w:t>
      </w:r>
      <w:r w:rsidR="00670324">
        <w:rPr>
          <w:rFonts w:cs="Arial"/>
          <w:szCs w:val="24"/>
        </w:rPr>
        <w:t xml:space="preserve">in a rate case </w:t>
      </w:r>
      <w:r>
        <w:rPr>
          <w:rFonts w:cs="Arial"/>
          <w:szCs w:val="24"/>
        </w:rPr>
        <w:t xml:space="preserve">that these costs </w:t>
      </w:r>
      <w:r w:rsidR="000E13D5">
        <w:rPr>
          <w:rFonts w:cs="Arial"/>
          <w:szCs w:val="24"/>
        </w:rPr>
        <w:t xml:space="preserve">are </w:t>
      </w:r>
      <w:r w:rsidR="00AF390A">
        <w:rPr>
          <w:rFonts w:cs="Arial"/>
          <w:szCs w:val="24"/>
        </w:rPr>
        <w:t>directly related to one of the four statutory functions</w:t>
      </w:r>
      <w:r w:rsidR="00670324">
        <w:rPr>
          <w:rFonts w:cs="Arial"/>
          <w:szCs w:val="24"/>
        </w:rPr>
        <w:t xml:space="preserve">. </w:t>
      </w:r>
      <w:r w:rsidR="00CB5384">
        <w:rPr>
          <w:rFonts w:cs="Arial"/>
          <w:szCs w:val="24"/>
        </w:rPr>
        <w:t xml:space="preserve"> </w:t>
      </w:r>
      <w:r w:rsidR="00670324">
        <w:rPr>
          <w:rFonts w:cs="Arial"/>
          <w:szCs w:val="24"/>
        </w:rPr>
        <w:t xml:space="preserve">At that time, </w:t>
      </w:r>
      <w:r>
        <w:rPr>
          <w:rFonts w:cs="Arial"/>
          <w:szCs w:val="24"/>
        </w:rPr>
        <w:t>the Authority would determine if those costs are includable in the MRCC calculation.</w:t>
      </w:r>
      <w:r w:rsidR="003F6BF8">
        <w:rPr>
          <w:rFonts w:cs="Arial"/>
          <w:szCs w:val="24"/>
        </w:rPr>
        <w:t xml:space="preserve">  </w:t>
      </w:r>
    </w:p>
    <w:p w14:paraId="76335AD3" w14:textId="77777777" w:rsidR="007A0456" w:rsidRPr="00B53B26" w:rsidRDefault="007A0456" w:rsidP="007A0456">
      <w:pPr>
        <w:ind w:firstLine="720"/>
        <w:jc w:val="both"/>
      </w:pPr>
    </w:p>
    <w:p w14:paraId="2B3039DA" w14:textId="77777777" w:rsidR="007A0456" w:rsidRPr="00DA61C2" w:rsidRDefault="007A0456" w:rsidP="007A0456">
      <w:pPr>
        <w:pStyle w:val="Heading2"/>
        <w:jc w:val="both"/>
      </w:pPr>
      <w:bookmarkStart w:id="101" w:name="_Toc499050500"/>
      <w:bookmarkStart w:id="102" w:name="_Toc501528288"/>
      <w:r w:rsidRPr="00DA61C2">
        <w:t>Test Year vs. Rate Year Data</w:t>
      </w:r>
      <w:bookmarkEnd w:id="101"/>
      <w:bookmarkEnd w:id="102"/>
    </w:p>
    <w:p w14:paraId="74283AEE" w14:textId="77777777" w:rsidR="007A0456" w:rsidRPr="00DF3F50" w:rsidRDefault="007A0456" w:rsidP="007A0456">
      <w:pPr>
        <w:jc w:val="both"/>
      </w:pPr>
    </w:p>
    <w:p w14:paraId="4669BB64" w14:textId="77777777" w:rsidR="007A0456" w:rsidRDefault="007A0456" w:rsidP="007A0456">
      <w:pPr>
        <w:jc w:val="both"/>
        <w:rPr>
          <w:rFonts w:cs="Arial"/>
          <w:szCs w:val="24"/>
        </w:rPr>
      </w:pPr>
      <w:r>
        <w:rPr>
          <w:rFonts w:cs="Arial"/>
          <w:szCs w:val="24"/>
        </w:rPr>
        <w:tab/>
        <w:t>UI proposed to adjust the test year MRCC value to the rate year MRCC value by multiplying the test year MRCC value by the percent change in allowed retail revenue in the respective rate year.  Response to Late Filed Exhibit No. 3, Supplement 2.  UI addressed the reason the cost assignment was performed using test year data rather than rate year.  It indicated that, in making a rate year calculation, the company must make a broad forecast as the actual cost data only exists at the test year level.  While UI does submit a rate year COSS in general rate cases, the cost data for the rate year is done by applying a ratio of the increase of the test year costs to the rate year where appropriate, as well as other forecasting techniques.  UI indicated that while it can forecast the costs by account, only the test year data shows what actually happened.  Tr. 8/16/17, pp. 105-108.</w:t>
      </w:r>
    </w:p>
    <w:p w14:paraId="7151E7F3" w14:textId="77777777" w:rsidR="007A0456" w:rsidRDefault="007A0456" w:rsidP="007A0456">
      <w:pPr>
        <w:autoSpaceDE w:val="0"/>
        <w:autoSpaceDN w:val="0"/>
        <w:adjustRightInd w:val="0"/>
        <w:ind w:firstLine="720"/>
        <w:jc w:val="both"/>
        <w:rPr>
          <w:rFonts w:cs="Arial"/>
          <w:color w:val="000000"/>
          <w:szCs w:val="24"/>
        </w:rPr>
      </w:pPr>
      <w:r>
        <w:rPr>
          <w:rFonts w:cs="Arial"/>
          <w:szCs w:val="24"/>
        </w:rPr>
        <w:lastRenderedPageBreak/>
        <w:t xml:space="preserve">CL&amp;P </w:t>
      </w:r>
      <w:r>
        <w:rPr>
          <w:rFonts w:cs="Arial"/>
          <w:color w:val="000000"/>
          <w:szCs w:val="24"/>
        </w:rPr>
        <w:t>stated that the most straightforward methodology to adjust the test year data is to multiply the test year MRCC value by the percent change in the Authority’s approved distribution revenue.  The company is not opposed to discussing other potential methodologies to move from the test year to the rate year MRCC.  CL&amp;P Written Comments, p. 4.</w:t>
      </w:r>
    </w:p>
    <w:p w14:paraId="6E3C3B41" w14:textId="3E68C545" w:rsidR="007A0456" w:rsidRDefault="007A0456" w:rsidP="007A0456">
      <w:pPr>
        <w:jc w:val="both"/>
        <w:rPr>
          <w:rFonts w:cs="Arial"/>
          <w:szCs w:val="24"/>
        </w:rPr>
      </w:pPr>
    </w:p>
    <w:p w14:paraId="17BA0EB2" w14:textId="77777777" w:rsidR="007A0456" w:rsidRDefault="007A0456" w:rsidP="007A0456">
      <w:pPr>
        <w:ind w:firstLine="720"/>
        <w:jc w:val="both"/>
        <w:rPr>
          <w:rFonts w:cs="Arial"/>
          <w:szCs w:val="24"/>
        </w:rPr>
      </w:pPr>
      <w:r>
        <w:rPr>
          <w:rFonts w:cs="Arial"/>
          <w:szCs w:val="24"/>
        </w:rPr>
        <w:t xml:space="preserve">The OCC submitted that the preferable approach would be for the EDCs to rerun the MRCC COSS as part of a compliance filing.  That way the MRCC calculation would reflect the components of the revenue requirement as determined by the Authority.  In the alternative, if the COSS is not updated during the compliance phase, then ratios can be used to approximate the maximum customer charge.  OCC Written Comments, p. 6. </w:t>
      </w:r>
    </w:p>
    <w:p w14:paraId="57D293A9" w14:textId="77777777" w:rsidR="007A0456" w:rsidRDefault="007A0456" w:rsidP="007A0456">
      <w:pPr>
        <w:jc w:val="both"/>
        <w:rPr>
          <w:rFonts w:cs="Arial"/>
          <w:szCs w:val="24"/>
        </w:rPr>
      </w:pPr>
      <w:r>
        <w:rPr>
          <w:rFonts w:cs="Arial"/>
          <w:szCs w:val="24"/>
        </w:rPr>
        <w:tab/>
      </w:r>
    </w:p>
    <w:p w14:paraId="4477A1CC" w14:textId="57A9E4F9" w:rsidR="007A0456" w:rsidRDefault="007A0456" w:rsidP="007A0456">
      <w:pPr>
        <w:ind w:firstLine="720"/>
        <w:jc w:val="both"/>
        <w:rPr>
          <w:rFonts w:cs="Arial"/>
          <w:szCs w:val="24"/>
        </w:rPr>
      </w:pPr>
      <w:r>
        <w:rPr>
          <w:rFonts w:cs="Arial"/>
          <w:szCs w:val="24"/>
        </w:rPr>
        <w:t>The Authority reviewed the EDCs’ proposed methodologies and finds that the level of detailed cost tracking required in establishing the MRCC calculation under the requirements of Conn. Gen. Stat</w:t>
      </w:r>
      <w:r w:rsidR="00065964">
        <w:rPr>
          <w:rFonts w:cs="Arial"/>
          <w:szCs w:val="24"/>
        </w:rPr>
        <w:t>.</w:t>
      </w:r>
      <w:r>
        <w:rPr>
          <w:rFonts w:cs="Arial"/>
          <w:szCs w:val="24"/>
        </w:rPr>
        <w:t xml:space="preserve"> §16-243bb can only be performed at the test year level, where the costs are known and measurable.  Grossing up the charge in the amount of the rate increase or even attempting to forecast individual asset/expenses may cause the MRCC calculation to be established at a level that differs from actual costs.  It creates a risk that the approved MRCC calculation would recover more than the fixed costs and the O&amp;M expenses directly related to the statutory functions, a result that is prohibited by </w:t>
      </w:r>
      <w:r w:rsidR="00065964">
        <w:t xml:space="preserve">Conn. Gen. Stat. </w:t>
      </w:r>
      <w:r w:rsidR="002662C5">
        <w:rPr>
          <w:rFonts w:cs="Arial"/>
          <w:szCs w:val="24"/>
        </w:rPr>
        <w:t>§</w:t>
      </w:r>
      <w:r>
        <w:rPr>
          <w:rFonts w:cs="Arial"/>
          <w:szCs w:val="24"/>
        </w:rPr>
        <w:t>16-243bb.  Therefore, the Authority will require that the MRCC calculation be based on the test year.</w:t>
      </w:r>
      <w:r w:rsidR="001B06D1">
        <w:rPr>
          <w:rFonts w:cs="Arial"/>
          <w:szCs w:val="24"/>
        </w:rPr>
        <w:t xml:space="preserve"> </w:t>
      </w:r>
    </w:p>
    <w:p w14:paraId="4C3CE855" w14:textId="77777777" w:rsidR="001B06D1" w:rsidRDefault="001B06D1" w:rsidP="007A0456">
      <w:pPr>
        <w:ind w:firstLine="720"/>
        <w:jc w:val="both"/>
        <w:rPr>
          <w:rFonts w:cs="Arial"/>
          <w:szCs w:val="24"/>
        </w:rPr>
      </w:pPr>
    </w:p>
    <w:p w14:paraId="22E75335" w14:textId="0B5B5186" w:rsidR="00A56B18" w:rsidRPr="0002081F" w:rsidRDefault="00A56B18" w:rsidP="00A56B18">
      <w:pPr>
        <w:ind w:firstLine="720"/>
        <w:jc w:val="both"/>
        <w:rPr>
          <w:rFonts w:cs="Arial"/>
          <w:szCs w:val="24"/>
        </w:rPr>
      </w:pPr>
      <w:r>
        <w:t xml:space="preserve">In </w:t>
      </w:r>
      <w:r w:rsidR="0002081F">
        <w:t xml:space="preserve">both of </w:t>
      </w:r>
      <w:r>
        <w:t>the EDCs’ Written Exceptions</w:t>
      </w:r>
      <w:r w:rsidR="0002081F">
        <w:t>,</w:t>
      </w:r>
      <w:r>
        <w:t xml:space="preserve"> there were concerns regarding the escalation of the costs associated with the statutory functions during </w:t>
      </w:r>
      <w:r w:rsidR="0002081F">
        <w:t xml:space="preserve">all of the years in a multiple </w:t>
      </w:r>
      <w:r>
        <w:t xml:space="preserve">rate </w:t>
      </w:r>
      <w:r w:rsidR="0002081F">
        <w:t xml:space="preserve">year </w:t>
      </w:r>
      <w:r>
        <w:t>plan.  The Authority accepts the EDCs’ argument that it is appropriate, in certain instances,</w:t>
      </w:r>
      <w:r w:rsidR="00F86708">
        <w:t xml:space="preserve"> </w:t>
      </w:r>
      <w:r w:rsidR="0002081F">
        <w:t xml:space="preserve">to </w:t>
      </w:r>
      <w:r>
        <w:t>allow for escalating cost</w:t>
      </w:r>
      <w:r w:rsidR="0002081F">
        <w:t>s</w:t>
      </w:r>
      <w:r>
        <w:t xml:space="preserve"> in the MRCC calculation.  However, the methodologies proposed </w:t>
      </w:r>
      <w:r w:rsidR="0002081F">
        <w:t xml:space="preserve">by the EDCs </w:t>
      </w:r>
      <w:r>
        <w:t>include an overall gross up of the MRCC</w:t>
      </w:r>
      <w:r w:rsidR="00AD6999">
        <w:t xml:space="preserve">.  It </w:t>
      </w:r>
      <w:r>
        <w:t xml:space="preserve">may not reflect the cost escalation </w:t>
      </w:r>
      <w:r w:rsidR="0002081F">
        <w:t>an</w:t>
      </w:r>
      <w:r>
        <w:t xml:space="preserve"> EDC would experience based on the statutory functions.  For example, if a large portion of an allowed EDC rate increase is for investments or O&amp;M costs needed for overall distribution operations, such as a new substation or increased distribution system resiliency, applying the overall increase may overstate the MRCC charge. </w:t>
      </w:r>
      <w:r w:rsidR="0002081F">
        <w:t xml:space="preserve"> This would be a violation of Conn. Gen. Stat. </w:t>
      </w:r>
      <w:r w:rsidR="0002081F">
        <w:rPr>
          <w:rFonts w:cs="Arial"/>
        </w:rPr>
        <w:t>§</w:t>
      </w:r>
      <w:r w:rsidR="0002081F">
        <w:rPr>
          <w:rFonts w:cs="Arial"/>
          <w:szCs w:val="24"/>
        </w:rPr>
        <w:t xml:space="preserve">16-243bb.  </w:t>
      </w:r>
      <w:r w:rsidR="0002081F">
        <w:t>Consequently</w:t>
      </w:r>
      <w:r>
        <w:t xml:space="preserve">, the </w:t>
      </w:r>
      <w:r w:rsidRPr="0002081F">
        <w:t xml:space="preserve">Authority will require any requested increase in the MRCC over </w:t>
      </w:r>
      <w:r w:rsidR="0002081F">
        <w:t xml:space="preserve">the </w:t>
      </w:r>
      <w:r w:rsidRPr="0002081F">
        <w:t xml:space="preserve">test year levels </w:t>
      </w:r>
      <w:r w:rsidR="0002081F">
        <w:t xml:space="preserve">to </w:t>
      </w:r>
      <w:r w:rsidRPr="0002081F">
        <w:t xml:space="preserve">be supported with a summary worksheet detailing, by account, the total cost proposed for inclusion, the applicability to one or more of the statutory functions, </w:t>
      </w:r>
      <w:r w:rsidRPr="000844FD">
        <w:t>the allocator used to functionalize and classify said costs, and the unit rate of the collective adjustment.  F</w:t>
      </w:r>
      <w:r w:rsidR="0002081F">
        <w:t>inally</w:t>
      </w:r>
      <w:r w:rsidRPr="000844FD">
        <w:t>, the proposed adjustment is subject to change, depending on whether the underlying costs are accepted, modified or rejected</w:t>
      </w:r>
      <w:r w:rsidR="00DB6E58">
        <w:t xml:space="preserve"> by the Authority</w:t>
      </w:r>
      <w:r w:rsidRPr="000844FD">
        <w:t xml:space="preserve">.  In any rate year </w:t>
      </w:r>
      <w:r w:rsidR="00DB6E58">
        <w:t>proposal</w:t>
      </w:r>
      <w:r w:rsidRPr="000844FD">
        <w:t xml:space="preserve"> submitted in compliance </w:t>
      </w:r>
      <w:r w:rsidR="00DB6E58">
        <w:t>with</w:t>
      </w:r>
      <w:r w:rsidRPr="000844FD">
        <w:t xml:space="preserve"> a rate case Decision, the </w:t>
      </w:r>
      <w:r w:rsidR="00DB6E58">
        <w:t>EDC</w:t>
      </w:r>
      <w:r w:rsidRPr="000844FD">
        <w:t xml:space="preserve"> shall indicate whether such </w:t>
      </w:r>
      <w:r w:rsidR="00DB6E58">
        <w:t xml:space="preserve">an </w:t>
      </w:r>
      <w:r w:rsidRPr="000844FD">
        <w:t>adjustment is necessary</w:t>
      </w:r>
      <w:r w:rsidR="00DB6E58">
        <w:t xml:space="preserve"> and include supporting data</w:t>
      </w:r>
      <w:r w:rsidRPr="000844FD">
        <w:t xml:space="preserve">. </w:t>
      </w:r>
    </w:p>
    <w:p w14:paraId="2FB7BACA" w14:textId="77777777" w:rsidR="00E3427B" w:rsidRPr="0002081F" w:rsidRDefault="00E3427B" w:rsidP="00E3427B">
      <w:pPr>
        <w:rPr>
          <w:rFonts w:cs="Arial"/>
        </w:rPr>
      </w:pPr>
    </w:p>
    <w:p w14:paraId="1CB51A32" w14:textId="77777777" w:rsidR="007A0456" w:rsidRPr="00DA61C2" w:rsidRDefault="007A0456" w:rsidP="007A0456">
      <w:pPr>
        <w:pStyle w:val="Heading2"/>
        <w:jc w:val="both"/>
      </w:pPr>
      <w:bookmarkStart w:id="103" w:name="_Toc499050501"/>
      <w:bookmarkStart w:id="104" w:name="_Toc501528289"/>
      <w:r>
        <w:t xml:space="preserve">MRCC </w:t>
      </w:r>
      <w:r w:rsidRPr="00DA61C2">
        <w:t>Calculation</w:t>
      </w:r>
      <w:bookmarkEnd w:id="103"/>
      <w:bookmarkEnd w:id="104"/>
      <w:r w:rsidRPr="00DA61C2">
        <w:t xml:space="preserve"> </w:t>
      </w:r>
    </w:p>
    <w:p w14:paraId="6ABAB578" w14:textId="77777777" w:rsidR="007A0456" w:rsidRDefault="007A0456" w:rsidP="007A0456">
      <w:pPr>
        <w:jc w:val="both"/>
      </w:pPr>
    </w:p>
    <w:p w14:paraId="10B66C61" w14:textId="1AAD39B3" w:rsidR="00721C0D" w:rsidRDefault="00721C0D" w:rsidP="00721C0D">
      <w:pPr>
        <w:pStyle w:val="Heading3"/>
        <w:tabs>
          <w:tab w:val="clear" w:pos="720"/>
        </w:tabs>
        <w:ind w:hanging="720"/>
      </w:pPr>
      <w:bookmarkStart w:id="105" w:name="_Toc501528290"/>
      <w:r>
        <w:t>List of Includable FERC Accounts</w:t>
      </w:r>
      <w:bookmarkEnd w:id="105"/>
    </w:p>
    <w:p w14:paraId="4168703F" w14:textId="77777777" w:rsidR="00721C0D" w:rsidRPr="002247B1" w:rsidRDefault="00721C0D" w:rsidP="007A0456">
      <w:pPr>
        <w:jc w:val="both"/>
      </w:pPr>
    </w:p>
    <w:p w14:paraId="17D0BD79" w14:textId="2F9AAC0F" w:rsidR="007A0456" w:rsidRPr="0005033F" w:rsidRDefault="007E4DE4" w:rsidP="007A0456">
      <w:pPr>
        <w:ind w:firstLine="720"/>
        <w:jc w:val="both"/>
      </w:pPr>
      <w:r>
        <w:t>In summary, t</w:t>
      </w:r>
      <w:r w:rsidR="007A0456" w:rsidRPr="002247B1">
        <w:t xml:space="preserve">he Authority finds that each EDC should calculate their respective </w:t>
      </w:r>
      <w:r w:rsidR="00721C0D">
        <w:t>MRCC</w:t>
      </w:r>
      <w:r w:rsidR="007A0456" w:rsidRPr="002247B1">
        <w:t xml:space="preserve"> by </w:t>
      </w:r>
      <w:r w:rsidR="00721C0D">
        <w:t xml:space="preserve">identifying </w:t>
      </w:r>
      <w:r w:rsidR="007A0456" w:rsidRPr="002247B1">
        <w:t>the costs for each of the statutory functions</w:t>
      </w:r>
      <w:r w:rsidR="007A0456" w:rsidRPr="002247B1">
        <w:rPr>
          <w:rFonts w:cs="Arial"/>
          <w:szCs w:val="24"/>
        </w:rPr>
        <w:t xml:space="preserve">. </w:t>
      </w:r>
      <w:r w:rsidR="007A0456" w:rsidRPr="002247B1">
        <w:t xml:space="preserve"> The Companies’ </w:t>
      </w:r>
      <w:r w:rsidR="007A0456" w:rsidRPr="002247B1">
        <w:lastRenderedPageBreak/>
        <w:t>respective MRCC calculations may include a combination of direct assignments and cost allocations</w:t>
      </w:r>
      <w:r w:rsidR="007A0456">
        <w:t>, except where direct assignment is specifically required by the Authority</w:t>
      </w:r>
      <w:r w:rsidR="007A0456" w:rsidRPr="002247B1">
        <w:t xml:space="preserve">.  The Authority provides a list below of the FERC accounts that each EDC may utilize to determine their MRCC calculation.  </w:t>
      </w:r>
      <w:r w:rsidR="007A0456" w:rsidRPr="0005033F">
        <w:t>C</w:t>
      </w:r>
      <w:r w:rsidR="007A0456" w:rsidRPr="002247B1">
        <w:t>ertain accounts require direct assignment as noted in the table</w:t>
      </w:r>
      <w:r w:rsidR="007A0456">
        <w:t xml:space="preserve"> below,</w:t>
      </w:r>
      <w:r w:rsidR="007A0456" w:rsidRPr="0005033F">
        <w:t xml:space="preserve"> while</w:t>
      </w:r>
      <w:r w:rsidR="007A0456" w:rsidRPr="002247B1">
        <w:t xml:space="preserve"> other accounts may utilize cost allocations when direct assignment is not feasible.  </w:t>
      </w:r>
      <w:r w:rsidR="007A0456" w:rsidRPr="0005033F">
        <w:t xml:space="preserve">The Authority prefers the direct assignment of costs rather than allocations to ensure </w:t>
      </w:r>
      <w:r w:rsidR="007A0456">
        <w:t xml:space="preserve">to the greatest extent possible </w:t>
      </w:r>
      <w:r w:rsidR="007A0456" w:rsidRPr="0005033F">
        <w:t xml:space="preserve">that only costs </w:t>
      </w:r>
      <w:r w:rsidR="007A0456">
        <w:t xml:space="preserve">directly related to the four statutory functions for residential non-heating customers </w:t>
      </w:r>
      <w:r w:rsidR="007A0456" w:rsidRPr="0005033F">
        <w:t>are included in the MRCC calculation.</w:t>
      </w:r>
    </w:p>
    <w:p w14:paraId="3E018E9E" w14:textId="77777777" w:rsidR="007A0456" w:rsidRPr="0046147A" w:rsidRDefault="007A0456" w:rsidP="007A0456">
      <w:pPr>
        <w:jc w:val="both"/>
        <w:rPr>
          <w:sz w:val="20"/>
        </w:rPr>
      </w:pPr>
    </w:p>
    <w:tbl>
      <w:tblPr>
        <w:tblStyle w:val="TableGrid"/>
        <w:tblW w:w="0" w:type="auto"/>
        <w:tblLook w:val="04A0" w:firstRow="1" w:lastRow="0" w:firstColumn="1" w:lastColumn="0" w:noHBand="0" w:noVBand="1"/>
      </w:tblPr>
      <w:tblGrid>
        <w:gridCol w:w="1435"/>
        <w:gridCol w:w="7807"/>
      </w:tblGrid>
      <w:tr w:rsidR="007A0456" w14:paraId="5E80E805" w14:textId="77777777" w:rsidTr="000844FD">
        <w:tc>
          <w:tcPr>
            <w:tcW w:w="1435" w:type="dxa"/>
          </w:tcPr>
          <w:p w14:paraId="5CC91E0F" w14:textId="01BACF2C" w:rsidR="007A0456" w:rsidRPr="00347BF6" w:rsidRDefault="005A4ADA" w:rsidP="00C56EDF">
            <w:pPr>
              <w:jc w:val="center"/>
              <w:rPr>
                <w:rFonts w:cs="Arial"/>
                <w:b/>
                <w:sz w:val="19"/>
                <w:szCs w:val="19"/>
              </w:rPr>
            </w:pPr>
            <w:r w:rsidRPr="00347BF6">
              <w:rPr>
                <w:rFonts w:cs="Arial"/>
                <w:b/>
                <w:sz w:val="19"/>
                <w:szCs w:val="19"/>
              </w:rPr>
              <w:t>Account</w:t>
            </w:r>
          </w:p>
        </w:tc>
        <w:tc>
          <w:tcPr>
            <w:tcW w:w="7807" w:type="dxa"/>
          </w:tcPr>
          <w:p w14:paraId="68DC1790" w14:textId="77777777" w:rsidR="007A0456" w:rsidRPr="00347BF6" w:rsidRDefault="007A0456" w:rsidP="00C56EDF">
            <w:pPr>
              <w:jc w:val="center"/>
              <w:rPr>
                <w:rFonts w:cs="Arial"/>
                <w:b/>
                <w:sz w:val="19"/>
                <w:szCs w:val="19"/>
              </w:rPr>
            </w:pPr>
            <w:r w:rsidRPr="00347BF6">
              <w:rPr>
                <w:rFonts w:cs="Arial"/>
                <w:b/>
                <w:sz w:val="19"/>
                <w:szCs w:val="19"/>
              </w:rPr>
              <w:t>Description</w:t>
            </w:r>
          </w:p>
        </w:tc>
      </w:tr>
      <w:tr w:rsidR="00597248" w14:paraId="2FF1720D" w14:textId="77777777" w:rsidTr="00F54B08">
        <w:tc>
          <w:tcPr>
            <w:tcW w:w="1435" w:type="dxa"/>
          </w:tcPr>
          <w:p w14:paraId="6B00C34F" w14:textId="5CB1251A" w:rsidR="00597248" w:rsidRPr="00347BF6" w:rsidRDefault="00597248" w:rsidP="00C56EDF">
            <w:pPr>
              <w:ind w:left="342"/>
              <w:jc w:val="both"/>
              <w:rPr>
                <w:rFonts w:cs="Arial"/>
                <w:sz w:val="19"/>
                <w:szCs w:val="19"/>
              </w:rPr>
            </w:pPr>
            <w:r w:rsidRPr="00347BF6">
              <w:rPr>
                <w:rFonts w:cs="Arial"/>
                <w:sz w:val="19"/>
                <w:szCs w:val="19"/>
              </w:rPr>
              <w:t>165</w:t>
            </w:r>
          </w:p>
        </w:tc>
        <w:tc>
          <w:tcPr>
            <w:tcW w:w="7807" w:type="dxa"/>
          </w:tcPr>
          <w:p w14:paraId="175195ED" w14:textId="12E9421F" w:rsidR="00597248" w:rsidRPr="00347BF6" w:rsidRDefault="00597248" w:rsidP="00C56EDF">
            <w:pPr>
              <w:jc w:val="both"/>
              <w:rPr>
                <w:rFonts w:cs="Arial"/>
                <w:sz w:val="19"/>
                <w:szCs w:val="19"/>
              </w:rPr>
            </w:pPr>
            <w:r w:rsidRPr="00347BF6">
              <w:rPr>
                <w:rFonts w:cs="Arial"/>
                <w:sz w:val="19"/>
                <w:szCs w:val="19"/>
              </w:rPr>
              <w:t>Prepayments</w:t>
            </w:r>
          </w:p>
        </w:tc>
      </w:tr>
      <w:tr w:rsidR="007A0456" w14:paraId="39CDB4E7" w14:textId="77777777" w:rsidTr="000844FD">
        <w:tc>
          <w:tcPr>
            <w:tcW w:w="1435" w:type="dxa"/>
          </w:tcPr>
          <w:p w14:paraId="1251F990" w14:textId="77777777" w:rsidR="007A0456" w:rsidRPr="00347BF6" w:rsidRDefault="007A0456" w:rsidP="00C56EDF">
            <w:pPr>
              <w:ind w:left="342"/>
              <w:jc w:val="both"/>
              <w:rPr>
                <w:rFonts w:cs="Arial"/>
                <w:sz w:val="19"/>
                <w:szCs w:val="19"/>
              </w:rPr>
            </w:pPr>
            <w:r w:rsidRPr="00347BF6">
              <w:rPr>
                <w:rFonts w:cs="Arial"/>
                <w:sz w:val="19"/>
                <w:szCs w:val="19"/>
              </w:rPr>
              <w:t>228.1*</w:t>
            </w:r>
          </w:p>
        </w:tc>
        <w:tc>
          <w:tcPr>
            <w:tcW w:w="7807" w:type="dxa"/>
          </w:tcPr>
          <w:p w14:paraId="6DDFB272" w14:textId="77777777" w:rsidR="007A0456" w:rsidRPr="00347BF6" w:rsidRDefault="007A0456" w:rsidP="00C56EDF">
            <w:pPr>
              <w:jc w:val="both"/>
              <w:rPr>
                <w:rFonts w:cs="Arial"/>
                <w:sz w:val="19"/>
                <w:szCs w:val="19"/>
              </w:rPr>
            </w:pPr>
            <w:r w:rsidRPr="00347BF6">
              <w:rPr>
                <w:rFonts w:cs="Arial"/>
                <w:sz w:val="19"/>
                <w:szCs w:val="19"/>
              </w:rPr>
              <w:t>Accumulated Provision for Property Insurance</w:t>
            </w:r>
          </w:p>
        </w:tc>
      </w:tr>
      <w:tr w:rsidR="007A0456" w14:paraId="347E9CB1" w14:textId="77777777" w:rsidTr="000844FD">
        <w:tc>
          <w:tcPr>
            <w:tcW w:w="1435" w:type="dxa"/>
          </w:tcPr>
          <w:p w14:paraId="23A1D491" w14:textId="77777777" w:rsidR="007A0456" w:rsidRPr="00347BF6" w:rsidRDefault="007A0456" w:rsidP="00C56EDF">
            <w:pPr>
              <w:ind w:left="342"/>
              <w:jc w:val="both"/>
              <w:rPr>
                <w:rFonts w:cs="Arial"/>
                <w:sz w:val="19"/>
                <w:szCs w:val="19"/>
              </w:rPr>
            </w:pPr>
            <w:r w:rsidRPr="00347BF6">
              <w:rPr>
                <w:rFonts w:cs="Arial"/>
                <w:sz w:val="19"/>
                <w:szCs w:val="19"/>
              </w:rPr>
              <w:t>228.2*</w:t>
            </w:r>
          </w:p>
        </w:tc>
        <w:tc>
          <w:tcPr>
            <w:tcW w:w="7807" w:type="dxa"/>
          </w:tcPr>
          <w:p w14:paraId="12647F91" w14:textId="77777777" w:rsidR="007A0456" w:rsidRPr="00347BF6" w:rsidRDefault="007A0456" w:rsidP="00C56EDF">
            <w:pPr>
              <w:jc w:val="both"/>
              <w:rPr>
                <w:rFonts w:cs="Arial"/>
                <w:sz w:val="19"/>
                <w:szCs w:val="19"/>
              </w:rPr>
            </w:pPr>
            <w:r w:rsidRPr="00347BF6">
              <w:rPr>
                <w:rFonts w:cs="Arial"/>
                <w:sz w:val="19"/>
                <w:szCs w:val="19"/>
              </w:rPr>
              <w:t xml:space="preserve">Accumulated Provision for Injuries and Damages </w:t>
            </w:r>
          </w:p>
        </w:tc>
      </w:tr>
      <w:tr w:rsidR="007A0456" w14:paraId="3119C8AA" w14:textId="77777777" w:rsidTr="000844FD">
        <w:tc>
          <w:tcPr>
            <w:tcW w:w="1435" w:type="dxa"/>
          </w:tcPr>
          <w:p w14:paraId="784E02EC" w14:textId="77777777" w:rsidR="007A0456" w:rsidRPr="00347BF6" w:rsidRDefault="007A0456" w:rsidP="00C56EDF">
            <w:pPr>
              <w:ind w:left="342"/>
              <w:jc w:val="both"/>
              <w:rPr>
                <w:rFonts w:cs="Arial"/>
                <w:sz w:val="19"/>
                <w:szCs w:val="19"/>
              </w:rPr>
            </w:pPr>
            <w:r w:rsidRPr="00347BF6">
              <w:rPr>
                <w:rFonts w:cs="Arial"/>
                <w:sz w:val="19"/>
                <w:szCs w:val="19"/>
              </w:rPr>
              <w:t xml:space="preserve">228.3* </w:t>
            </w:r>
          </w:p>
        </w:tc>
        <w:tc>
          <w:tcPr>
            <w:tcW w:w="7807" w:type="dxa"/>
          </w:tcPr>
          <w:p w14:paraId="63D302A8" w14:textId="77777777" w:rsidR="007A0456" w:rsidRPr="00347BF6" w:rsidRDefault="007A0456" w:rsidP="00C56EDF">
            <w:pPr>
              <w:jc w:val="both"/>
              <w:rPr>
                <w:rFonts w:cs="Arial"/>
                <w:sz w:val="19"/>
                <w:szCs w:val="19"/>
              </w:rPr>
            </w:pPr>
            <w:r w:rsidRPr="00347BF6">
              <w:rPr>
                <w:rFonts w:cs="Arial"/>
                <w:sz w:val="19"/>
                <w:szCs w:val="19"/>
              </w:rPr>
              <w:t xml:space="preserve">Accumulated Provision for Pensions and Benefits </w:t>
            </w:r>
          </w:p>
        </w:tc>
      </w:tr>
      <w:tr w:rsidR="007A0456" w14:paraId="2D29CD0B" w14:textId="77777777" w:rsidTr="000844FD">
        <w:tc>
          <w:tcPr>
            <w:tcW w:w="1435" w:type="dxa"/>
          </w:tcPr>
          <w:p w14:paraId="4533EF3C" w14:textId="77777777" w:rsidR="007A0456" w:rsidRPr="00347BF6" w:rsidRDefault="007A0456" w:rsidP="00C56EDF">
            <w:pPr>
              <w:ind w:left="342"/>
              <w:jc w:val="both"/>
              <w:rPr>
                <w:rFonts w:cs="Arial"/>
                <w:sz w:val="19"/>
                <w:szCs w:val="19"/>
              </w:rPr>
            </w:pPr>
            <w:r w:rsidRPr="00347BF6">
              <w:rPr>
                <w:rFonts w:cs="Arial"/>
                <w:sz w:val="19"/>
                <w:szCs w:val="19"/>
              </w:rPr>
              <w:t>252*</w:t>
            </w:r>
          </w:p>
        </w:tc>
        <w:tc>
          <w:tcPr>
            <w:tcW w:w="7807" w:type="dxa"/>
          </w:tcPr>
          <w:p w14:paraId="746DA397" w14:textId="77777777" w:rsidR="007A0456" w:rsidRPr="00347BF6" w:rsidRDefault="007A0456" w:rsidP="00C56EDF">
            <w:pPr>
              <w:jc w:val="both"/>
              <w:rPr>
                <w:rFonts w:cs="Arial"/>
                <w:sz w:val="19"/>
                <w:szCs w:val="19"/>
              </w:rPr>
            </w:pPr>
            <w:r w:rsidRPr="00347BF6">
              <w:rPr>
                <w:rFonts w:cs="Arial"/>
                <w:sz w:val="19"/>
                <w:szCs w:val="19"/>
              </w:rPr>
              <w:t>Customer Advances</w:t>
            </w:r>
          </w:p>
        </w:tc>
      </w:tr>
      <w:tr w:rsidR="007A0456" w14:paraId="4C551E16" w14:textId="77777777" w:rsidTr="000844FD">
        <w:tc>
          <w:tcPr>
            <w:tcW w:w="1435" w:type="dxa"/>
          </w:tcPr>
          <w:p w14:paraId="37ABFC22" w14:textId="77777777" w:rsidR="007A0456" w:rsidRPr="00347BF6" w:rsidRDefault="007A0456" w:rsidP="00C56EDF">
            <w:pPr>
              <w:ind w:left="342"/>
              <w:jc w:val="both"/>
              <w:rPr>
                <w:rFonts w:cs="Arial"/>
                <w:sz w:val="19"/>
                <w:szCs w:val="19"/>
              </w:rPr>
            </w:pPr>
            <w:r w:rsidRPr="00347BF6">
              <w:rPr>
                <w:rFonts w:cs="Arial"/>
                <w:sz w:val="19"/>
                <w:szCs w:val="19"/>
              </w:rPr>
              <w:t>281*</w:t>
            </w:r>
          </w:p>
        </w:tc>
        <w:tc>
          <w:tcPr>
            <w:tcW w:w="7807" w:type="dxa"/>
          </w:tcPr>
          <w:p w14:paraId="5BF475B9" w14:textId="77777777" w:rsidR="007A0456" w:rsidRPr="00347BF6" w:rsidRDefault="007A0456" w:rsidP="00C56EDF">
            <w:pPr>
              <w:jc w:val="both"/>
              <w:rPr>
                <w:rFonts w:cs="Arial"/>
                <w:sz w:val="19"/>
                <w:szCs w:val="19"/>
              </w:rPr>
            </w:pPr>
            <w:r w:rsidRPr="00347BF6">
              <w:rPr>
                <w:rFonts w:cs="Arial"/>
                <w:color w:val="000000"/>
                <w:sz w:val="19"/>
                <w:szCs w:val="19"/>
              </w:rPr>
              <w:t>Accumulated Deferred Income Taxes-Accelerated Amortization Property</w:t>
            </w:r>
          </w:p>
        </w:tc>
      </w:tr>
      <w:tr w:rsidR="007A0456" w14:paraId="1B55FB15" w14:textId="77777777" w:rsidTr="000844FD">
        <w:tc>
          <w:tcPr>
            <w:tcW w:w="1435" w:type="dxa"/>
          </w:tcPr>
          <w:p w14:paraId="787010B3" w14:textId="77777777" w:rsidR="007A0456" w:rsidRPr="00347BF6" w:rsidRDefault="007A0456" w:rsidP="00C56EDF">
            <w:pPr>
              <w:ind w:left="342"/>
              <w:jc w:val="both"/>
              <w:rPr>
                <w:rFonts w:cs="Arial"/>
                <w:sz w:val="19"/>
                <w:szCs w:val="19"/>
              </w:rPr>
            </w:pPr>
            <w:r w:rsidRPr="00347BF6">
              <w:rPr>
                <w:rFonts w:cs="Arial"/>
                <w:sz w:val="19"/>
                <w:szCs w:val="19"/>
              </w:rPr>
              <w:t>282*</w:t>
            </w:r>
          </w:p>
        </w:tc>
        <w:tc>
          <w:tcPr>
            <w:tcW w:w="7807" w:type="dxa"/>
          </w:tcPr>
          <w:p w14:paraId="7E3D93A4" w14:textId="77777777" w:rsidR="007A0456" w:rsidRPr="00347BF6" w:rsidRDefault="007A0456" w:rsidP="00C56EDF">
            <w:pPr>
              <w:jc w:val="both"/>
              <w:rPr>
                <w:rFonts w:cs="Arial"/>
                <w:sz w:val="19"/>
                <w:szCs w:val="19"/>
              </w:rPr>
            </w:pPr>
            <w:r w:rsidRPr="00347BF6">
              <w:rPr>
                <w:rFonts w:cs="Arial"/>
                <w:sz w:val="19"/>
                <w:szCs w:val="19"/>
              </w:rPr>
              <w:t>Accumulated Deferred Income Taxes - Other Property</w:t>
            </w:r>
          </w:p>
        </w:tc>
      </w:tr>
      <w:tr w:rsidR="007A0456" w14:paraId="19170C36" w14:textId="77777777" w:rsidTr="000844FD">
        <w:tc>
          <w:tcPr>
            <w:tcW w:w="1435" w:type="dxa"/>
          </w:tcPr>
          <w:p w14:paraId="4C8E1BE3" w14:textId="77777777" w:rsidR="007A0456" w:rsidRPr="00347BF6" w:rsidRDefault="007A0456" w:rsidP="00C56EDF">
            <w:pPr>
              <w:ind w:left="342"/>
              <w:jc w:val="both"/>
              <w:rPr>
                <w:rFonts w:cs="Arial"/>
                <w:sz w:val="19"/>
                <w:szCs w:val="19"/>
              </w:rPr>
            </w:pPr>
            <w:r w:rsidRPr="00347BF6">
              <w:rPr>
                <w:rFonts w:cs="Arial"/>
                <w:sz w:val="19"/>
                <w:szCs w:val="19"/>
              </w:rPr>
              <w:t>283*</w:t>
            </w:r>
          </w:p>
        </w:tc>
        <w:tc>
          <w:tcPr>
            <w:tcW w:w="7807" w:type="dxa"/>
          </w:tcPr>
          <w:p w14:paraId="02D0A358" w14:textId="77777777" w:rsidR="007A0456" w:rsidRPr="00347BF6" w:rsidRDefault="007A0456" w:rsidP="00C56EDF">
            <w:pPr>
              <w:jc w:val="both"/>
              <w:rPr>
                <w:rFonts w:cs="Arial"/>
                <w:sz w:val="19"/>
                <w:szCs w:val="19"/>
              </w:rPr>
            </w:pPr>
            <w:r w:rsidRPr="00347BF6">
              <w:rPr>
                <w:rFonts w:cs="Arial"/>
                <w:sz w:val="19"/>
                <w:szCs w:val="19"/>
              </w:rPr>
              <w:t>Accumulated Deferred Income Taxes – Other</w:t>
            </w:r>
          </w:p>
        </w:tc>
      </w:tr>
      <w:tr w:rsidR="007A0456" w14:paraId="150EC19A" w14:textId="77777777" w:rsidTr="000844FD">
        <w:tc>
          <w:tcPr>
            <w:tcW w:w="1435" w:type="dxa"/>
          </w:tcPr>
          <w:p w14:paraId="243C31AA" w14:textId="77777777" w:rsidR="007A0456" w:rsidRPr="00347BF6" w:rsidRDefault="007A0456" w:rsidP="00C56EDF">
            <w:pPr>
              <w:ind w:left="342"/>
              <w:jc w:val="both"/>
              <w:rPr>
                <w:rFonts w:cs="Arial"/>
                <w:sz w:val="19"/>
                <w:szCs w:val="19"/>
              </w:rPr>
            </w:pPr>
            <w:r w:rsidRPr="00347BF6">
              <w:rPr>
                <w:rFonts w:cs="Arial"/>
                <w:sz w:val="19"/>
                <w:szCs w:val="19"/>
              </w:rPr>
              <w:t>303</w:t>
            </w:r>
          </w:p>
        </w:tc>
        <w:tc>
          <w:tcPr>
            <w:tcW w:w="7807" w:type="dxa"/>
          </w:tcPr>
          <w:p w14:paraId="3449FA29" w14:textId="1919A679" w:rsidR="007A0456" w:rsidRPr="00347BF6" w:rsidRDefault="007A0456" w:rsidP="009874B7">
            <w:pPr>
              <w:jc w:val="both"/>
              <w:rPr>
                <w:rFonts w:cs="Arial"/>
                <w:sz w:val="19"/>
                <w:szCs w:val="19"/>
              </w:rPr>
            </w:pPr>
            <w:r w:rsidRPr="00347BF6">
              <w:rPr>
                <w:rFonts w:cs="Arial"/>
                <w:sz w:val="19"/>
                <w:szCs w:val="19"/>
              </w:rPr>
              <w:t>Miscellaneous Intangible Plant (direct assignment)</w:t>
            </w:r>
            <w:r w:rsidR="00D92381" w:rsidRPr="00347BF6">
              <w:rPr>
                <w:rFonts w:cs="Arial"/>
                <w:sz w:val="19"/>
                <w:szCs w:val="19"/>
              </w:rPr>
              <w:t>**</w:t>
            </w:r>
          </w:p>
        </w:tc>
      </w:tr>
      <w:tr w:rsidR="007A0456" w14:paraId="1346E664" w14:textId="77777777" w:rsidTr="000844FD">
        <w:tc>
          <w:tcPr>
            <w:tcW w:w="1435" w:type="dxa"/>
          </w:tcPr>
          <w:p w14:paraId="7225E817" w14:textId="77777777" w:rsidR="007A0456" w:rsidRPr="00347BF6" w:rsidRDefault="007A0456" w:rsidP="00C56EDF">
            <w:pPr>
              <w:ind w:left="342"/>
              <w:jc w:val="both"/>
              <w:rPr>
                <w:rFonts w:cs="Arial"/>
                <w:sz w:val="19"/>
                <w:szCs w:val="19"/>
              </w:rPr>
            </w:pPr>
            <w:r w:rsidRPr="00347BF6">
              <w:rPr>
                <w:rFonts w:cs="Arial"/>
                <w:sz w:val="19"/>
                <w:szCs w:val="19"/>
              </w:rPr>
              <w:t>369</w:t>
            </w:r>
          </w:p>
        </w:tc>
        <w:tc>
          <w:tcPr>
            <w:tcW w:w="7807" w:type="dxa"/>
          </w:tcPr>
          <w:p w14:paraId="3345AE92" w14:textId="77777777" w:rsidR="007A0456" w:rsidRPr="00347BF6" w:rsidRDefault="007A0456" w:rsidP="00C56EDF">
            <w:pPr>
              <w:jc w:val="both"/>
              <w:rPr>
                <w:rFonts w:cs="Arial"/>
                <w:sz w:val="19"/>
                <w:szCs w:val="19"/>
              </w:rPr>
            </w:pPr>
            <w:r w:rsidRPr="00347BF6">
              <w:rPr>
                <w:rFonts w:cs="Arial"/>
                <w:sz w:val="19"/>
                <w:szCs w:val="19"/>
              </w:rPr>
              <w:t>Services</w:t>
            </w:r>
          </w:p>
        </w:tc>
      </w:tr>
      <w:tr w:rsidR="007A0456" w14:paraId="6A76DB9B" w14:textId="77777777" w:rsidTr="000844FD">
        <w:tc>
          <w:tcPr>
            <w:tcW w:w="1435" w:type="dxa"/>
          </w:tcPr>
          <w:p w14:paraId="22014B85" w14:textId="77777777" w:rsidR="007A0456" w:rsidRPr="00347BF6" w:rsidRDefault="007A0456" w:rsidP="00C56EDF">
            <w:pPr>
              <w:ind w:left="342"/>
              <w:jc w:val="both"/>
              <w:rPr>
                <w:rFonts w:cs="Arial"/>
                <w:sz w:val="19"/>
                <w:szCs w:val="19"/>
              </w:rPr>
            </w:pPr>
            <w:r w:rsidRPr="00347BF6">
              <w:rPr>
                <w:rFonts w:cs="Arial"/>
                <w:sz w:val="19"/>
                <w:szCs w:val="19"/>
              </w:rPr>
              <w:t>370</w:t>
            </w:r>
          </w:p>
        </w:tc>
        <w:tc>
          <w:tcPr>
            <w:tcW w:w="7807" w:type="dxa"/>
          </w:tcPr>
          <w:p w14:paraId="26BAE1D8" w14:textId="77777777" w:rsidR="007A0456" w:rsidRPr="00347BF6" w:rsidRDefault="007A0456" w:rsidP="00C56EDF">
            <w:pPr>
              <w:jc w:val="both"/>
              <w:rPr>
                <w:rFonts w:cs="Arial"/>
                <w:sz w:val="19"/>
                <w:szCs w:val="19"/>
              </w:rPr>
            </w:pPr>
            <w:r w:rsidRPr="00347BF6">
              <w:rPr>
                <w:rFonts w:cs="Arial"/>
                <w:sz w:val="19"/>
                <w:szCs w:val="19"/>
              </w:rPr>
              <w:t>Meters</w:t>
            </w:r>
          </w:p>
        </w:tc>
      </w:tr>
      <w:tr w:rsidR="007A0456" w14:paraId="530348BE" w14:textId="77777777" w:rsidTr="000844FD">
        <w:tc>
          <w:tcPr>
            <w:tcW w:w="1435" w:type="dxa"/>
          </w:tcPr>
          <w:p w14:paraId="6CD3B5BA" w14:textId="77777777" w:rsidR="007A0456" w:rsidRPr="00347BF6" w:rsidRDefault="007A0456" w:rsidP="00C56EDF">
            <w:pPr>
              <w:ind w:left="342"/>
              <w:jc w:val="both"/>
              <w:rPr>
                <w:rFonts w:cs="Arial"/>
                <w:sz w:val="19"/>
                <w:szCs w:val="19"/>
              </w:rPr>
            </w:pPr>
            <w:r w:rsidRPr="00347BF6">
              <w:rPr>
                <w:rFonts w:cs="Arial"/>
                <w:sz w:val="19"/>
                <w:szCs w:val="19"/>
              </w:rPr>
              <w:t>391</w:t>
            </w:r>
          </w:p>
        </w:tc>
        <w:tc>
          <w:tcPr>
            <w:tcW w:w="7807" w:type="dxa"/>
          </w:tcPr>
          <w:p w14:paraId="10EF9A68" w14:textId="080A8637" w:rsidR="007A0456" w:rsidRPr="00347BF6" w:rsidRDefault="007A0456" w:rsidP="009874B7">
            <w:pPr>
              <w:jc w:val="both"/>
              <w:rPr>
                <w:rFonts w:cs="Arial"/>
                <w:sz w:val="19"/>
                <w:szCs w:val="19"/>
              </w:rPr>
            </w:pPr>
            <w:r w:rsidRPr="00347BF6">
              <w:rPr>
                <w:rFonts w:cs="Arial"/>
                <w:sz w:val="19"/>
                <w:szCs w:val="19"/>
              </w:rPr>
              <w:t>Office Equipment (direct assignment)</w:t>
            </w:r>
            <w:r w:rsidR="00D92381" w:rsidRPr="00347BF6">
              <w:rPr>
                <w:rFonts w:cs="Arial"/>
                <w:sz w:val="19"/>
                <w:szCs w:val="19"/>
              </w:rPr>
              <w:t>**</w:t>
            </w:r>
          </w:p>
        </w:tc>
      </w:tr>
      <w:tr w:rsidR="007A0456" w14:paraId="3C975863" w14:textId="77777777" w:rsidTr="000844FD">
        <w:tc>
          <w:tcPr>
            <w:tcW w:w="1435" w:type="dxa"/>
          </w:tcPr>
          <w:p w14:paraId="400A8D5F" w14:textId="77777777" w:rsidR="007A0456" w:rsidRPr="00347BF6" w:rsidRDefault="007A0456" w:rsidP="00C56EDF">
            <w:pPr>
              <w:ind w:left="342"/>
              <w:jc w:val="both"/>
              <w:rPr>
                <w:rFonts w:cs="Arial"/>
                <w:sz w:val="19"/>
                <w:szCs w:val="19"/>
              </w:rPr>
            </w:pPr>
            <w:r w:rsidRPr="00347BF6">
              <w:rPr>
                <w:rFonts w:cs="Arial"/>
                <w:sz w:val="19"/>
                <w:szCs w:val="19"/>
              </w:rPr>
              <w:t>392</w:t>
            </w:r>
          </w:p>
        </w:tc>
        <w:tc>
          <w:tcPr>
            <w:tcW w:w="7807" w:type="dxa"/>
          </w:tcPr>
          <w:p w14:paraId="6FDE4203" w14:textId="1CC53C46" w:rsidR="007A0456" w:rsidRPr="00347BF6" w:rsidRDefault="007A0456" w:rsidP="009874B7">
            <w:pPr>
              <w:jc w:val="both"/>
              <w:rPr>
                <w:rFonts w:cs="Arial"/>
                <w:sz w:val="19"/>
                <w:szCs w:val="19"/>
              </w:rPr>
            </w:pPr>
            <w:r w:rsidRPr="00347BF6">
              <w:rPr>
                <w:rFonts w:cs="Arial"/>
                <w:sz w:val="19"/>
                <w:szCs w:val="19"/>
              </w:rPr>
              <w:t>Transportation Equipment (direct assignment)</w:t>
            </w:r>
            <w:r w:rsidR="00D92381" w:rsidRPr="00347BF6">
              <w:rPr>
                <w:rFonts w:cs="Arial"/>
                <w:sz w:val="19"/>
                <w:szCs w:val="19"/>
              </w:rPr>
              <w:t>**</w:t>
            </w:r>
          </w:p>
        </w:tc>
      </w:tr>
      <w:tr w:rsidR="001B0148" w14:paraId="04087697" w14:textId="77777777" w:rsidTr="000844FD">
        <w:tc>
          <w:tcPr>
            <w:tcW w:w="1435" w:type="dxa"/>
          </w:tcPr>
          <w:p w14:paraId="6BF93005" w14:textId="3C037680" w:rsidR="001B0148" w:rsidRPr="00347BF6" w:rsidRDefault="001B0148" w:rsidP="00C56EDF">
            <w:pPr>
              <w:ind w:left="342"/>
              <w:jc w:val="both"/>
              <w:rPr>
                <w:rFonts w:cs="Arial"/>
                <w:sz w:val="19"/>
                <w:szCs w:val="19"/>
              </w:rPr>
            </w:pPr>
            <w:r w:rsidRPr="00347BF6">
              <w:rPr>
                <w:rFonts w:cs="Arial"/>
                <w:sz w:val="19"/>
                <w:szCs w:val="19"/>
              </w:rPr>
              <w:t>393</w:t>
            </w:r>
          </w:p>
        </w:tc>
        <w:tc>
          <w:tcPr>
            <w:tcW w:w="7807" w:type="dxa"/>
          </w:tcPr>
          <w:p w14:paraId="51B4114C" w14:textId="7CF99ECE" w:rsidR="001B0148" w:rsidRPr="00347BF6" w:rsidRDefault="001B0148" w:rsidP="00D92381">
            <w:pPr>
              <w:jc w:val="both"/>
              <w:rPr>
                <w:rFonts w:cs="Arial"/>
                <w:sz w:val="19"/>
                <w:szCs w:val="19"/>
              </w:rPr>
            </w:pPr>
            <w:r w:rsidRPr="00347BF6">
              <w:rPr>
                <w:rFonts w:cs="Arial"/>
                <w:sz w:val="19"/>
                <w:szCs w:val="19"/>
              </w:rPr>
              <w:t xml:space="preserve">Stores Equipment </w:t>
            </w:r>
            <w:r w:rsidR="008013F0" w:rsidRPr="00347BF6">
              <w:rPr>
                <w:rFonts w:cs="Arial"/>
                <w:sz w:val="19"/>
                <w:szCs w:val="19"/>
              </w:rPr>
              <w:t>(direct assignment)</w:t>
            </w:r>
            <w:r w:rsidR="00D92381" w:rsidRPr="00347BF6">
              <w:rPr>
                <w:rFonts w:cs="Arial"/>
                <w:sz w:val="19"/>
                <w:szCs w:val="19"/>
              </w:rPr>
              <w:t>*</w:t>
            </w:r>
            <w:r w:rsidR="009874B7" w:rsidRPr="00347BF6">
              <w:rPr>
                <w:rFonts w:cs="Arial"/>
                <w:sz w:val="19"/>
                <w:szCs w:val="19"/>
              </w:rPr>
              <w:t>*</w:t>
            </w:r>
          </w:p>
        </w:tc>
      </w:tr>
      <w:tr w:rsidR="007A0456" w14:paraId="532A8D7E" w14:textId="77777777" w:rsidTr="000844FD">
        <w:tc>
          <w:tcPr>
            <w:tcW w:w="1435" w:type="dxa"/>
          </w:tcPr>
          <w:p w14:paraId="1526AC01" w14:textId="77777777" w:rsidR="007A0456" w:rsidRPr="00347BF6" w:rsidRDefault="007A0456" w:rsidP="00C56EDF">
            <w:pPr>
              <w:ind w:left="342"/>
              <w:jc w:val="both"/>
              <w:rPr>
                <w:rFonts w:cs="Arial"/>
                <w:sz w:val="19"/>
                <w:szCs w:val="19"/>
              </w:rPr>
            </w:pPr>
            <w:r w:rsidRPr="00347BF6">
              <w:rPr>
                <w:rFonts w:cs="Arial"/>
                <w:sz w:val="19"/>
                <w:szCs w:val="19"/>
              </w:rPr>
              <w:t>394</w:t>
            </w:r>
          </w:p>
        </w:tc>
        <w:tc>
          <w:tcPr>
            <w:tcW w:w="7807" w:type="dxa"/>
          </w:tcPr>
          <w:p w14:paraId="07A15445" w14:textId="5D3FF24E" w:rsidR="007A0456" w:rsidRPr="00347BF6" w:rsidRDefault="007A0456" w:rsidP="009874B7">
            <w:pPr>
              <w:jc w:val="both"/>
              <w:rPr>
                <w:rFonts w:cs="Arial"/>
                <w:sz w:val="19"/>
                <w:szCs w:val="19"/>
              </w:rPr>
            </w:pPr>
            <w:r w:rsidRPr="00347BF6">
              <w:rPr>
                <w:rFonts w:cs="Arial"/>
                <w:sz w:val="19"/>
                <w:szCs w:val="19"/>
              </w:rPr>
              <w:t>Tools, Shop and Garage Equipment (direct assignment)</w:t>
            </w:r>
            <w:r w:rsidR="00D92381" w:rsidRPr="00347BF6">
              <w:rPr>
                <w:rFonts w:cs="Arial"/>
                <w:sz w:val="19"/>
                <w:szCs w:val="19"/>
              </w:rPr>
              <w:t>**</w:t>
            </w:r>
          </w:p>
        </w:tc>
      </w:tr>
      <w:tr w:rsidR="007A0456" w14:paraId="07C3397B" w14:textId="77777777" w:rsidTr="000844FD">
        <w:tc>
          <w:tcPr>
            <w:tcW w:w="1435" w:type="dxa"/>
          </w:tcPr>
          <w:p w14:paraId="2282FDFB" w14:textId="77777777" w:rsidR="007A0456" w:rsidRPr="00347BF6" w:rsidRDefault="007A0456" w:rsidP="00C56EDF">
            <w:pPr>
              <w:ind w:left="342"/>
              <w:jc w:val="both"/>
              <w:rPr>
                <w:rFonts w:cs="Arial"/>
                <w:sz w:val="19"/>
                <w:szCs w:val="19"/>
              </w:rPr>
            </w:pPr>
            <w:r w:rsidRPr="00347BF6">
              <w:rPr>
                <w:rFonts w:cs="Arial"/>
                <w:sz w:val="19"/>
                <w:szCs w:val="19"/>
              </w:rPr>
              <w:t>395</w:t>
            </w:r>
          </w:p>
        </w:tc>
        <w:tc>
          <w:tcPr>
            <w:tcW w:w="7807" w:type="dxa"/>
          </w:tcPr>
          <w:p w14:paraId="16564C8B" w14:textId="124A54AB" w:rsidR="007A0456" w:rsidRPr="00347BF6" w:rsidRDefault="007A0456" w:rsidP="009874B7">
            <w:pPr>
              <w:jc w:val="both"/>
              <w:rPr>
                <w:rFonts w:cs="Arial"/>
                <w:sz w:val="19"/>
                <w:szCs w:val="19"/>
              </w:rPr>
            </w:pPr>
            <w:r w:rsidRPr="00347BF6">
              <w:rPr>
                <w:rFonts w:cs="Arial"/>
                <w:sz w:val="19"/>
                <w:szCs w:val="19"/>
              </w:rPr>
              <w:t>Laboratory Equipment (direct assignment)</w:t>
            </w:r>
            <w:r w:rsidR="00D92381" w:rsidRPr="00347BF6">
              <w:rPr>
                <w:rFonts w:cs="Arial"/>
                <w:sz w:val="19"/>
                <w:szCs w:val="19"/>
              </w:rPr>
              <w:t>**</w:t>
            </w:r>
          </w:p>
        </w:tc>
      </w:tr>
      <w:tr w:rsidR="001B0148" w14:paraId="112637EF" w14:textId="77777777" w:rsidTr="000844FD">
        <w:tc>
          <w:tcPr>
            <w:tcW w:w="1435" w:type="dxa"/>
          </w:tcPr>
          <w:p w14:paraId="3A0BCDF5" w14:textId="21047A77" w:rsidR="001B0148" w:rsidRPr="00347BF6" w:rsidRDefault="001B0148" w:rsidP="00C56EDF">
            <w:pPr>
              <w:ind w:left="342"/>
              <w:jc w:val="both"/>
              <w:rPr>
                <w:rFonts w:cs="Arial"/>
                <w:sz w:val="19"/>
                <w:szCs w:val="19"/>
              </w:rPr>
            </w:pPr>
            <w:r w:rsidRPr="00347BF6">
              <w:rPr>
                <w:rFonts w:cs="Arial"/>
                <w:sz w:val="19"/>
                <w:szCs w:val="19"/>
              </w:rPr>
              <w:t>396</w:t>
            </w:r>
          </w:p>
        </w:tc>
        <w:tc>
          <w:tcPr>
            <w:tcW w:w="7807" w:type="dxa"/>
          </w:tcPr>
          <w:p w14:paraId="71E8F5AF" w14:textId="489EEBD4" w:rsidR="001B0148" w:rsidRPr="00347BF6" w:rsidRDefault="001B0148" w:rsidP="009874B7">
            <w:pPr>
              <w:jc w:val="both"/>
              <w:rPr>
                <w:rFonts w:cs="Arial"/>
                <w:sz w:val="19"/>
                <w:szCs w:val="19"/>
              </w:rPr>
            </w:pPr>
            <w:r w:rsidRPr="00347BF6">
              <w:rPr>
                <w:rFonts w:cs="Arial"/>
                <w:sz w:val="19"/>
                <w:szCs w:val="19"/>
              </w:rPr>
              <w:t>Power Operated Equipment</w:t>
            </w:r>
            <w:r w:rsidR="008013F0" w:rsidRPr="00347BF6">
              <w:rPr>
                <w:rFonts w:cs="Arial"/>
                <w:sz w:val="19"/>
                <w:szCs w:val="19"/>
              </w:rPr>
              <w:t xml:space="preserve"> (direct assignment)</w:t>
            </w:r>
            <w:r w:rsidR="00D92381" w:rsidRPr="00347BF6">
              <w:rPr>
                <w:rFonts w:cs="Arial"/>
                <w:sz w:val="19"/>
                <w:szCs w:val="19"/>
              </w:rPr>
              <w:t>**</w:t>
            </w:r>
          </w:p>
        </w:tc>
      </w:tr>
      <w:tr w:rsidR="007A0456" w14:paraId="75E061A8" w14:textId="77777777" w:rsidTr="000844FD">
        <w:tc>
          <w:tcPr>
            <w:tcW w:w="1435" w:type="dxa"/>
          </w:tcPr>
          <w:p w14:paraId="6780D403" w14:textId="77777777" w:rsidR="007A0456" w:rsidRPr="00347BF6" w:rsidRDefault="007A0456" w:rsidP="00C56EDF">
            <w:pPr>
              <w:ind w:left="342"/>
              <w:jc w:val="both"/>
              <w:rPr>
                <w:rFonts w:cs="Arial"/>
                <w:sz w:val="19"/>
                <w:szCs w:val="19"/>
              </w:rPr>
            </w:pPr>
            <w:r w:rsidRPr="00347BF6">
              <w:rPr>
                <w:rFonts w:cs="Arial"/>
                <w:sz w:val="19"/>
                <w:szCs w:val="19"/>
              </w:rPr>
              <w:t>397</w:t>
            </w:r>
          </w:p>
        </w:tc>
        <w:tc>
          <w:tcPr>
            <w:tcW w:w="7807" w:type="dxa"/>
          </w:tcPr>
          <w:p w14:paraId="545256FF" w14:textId="4622777B" w:rsidR="007A0456" w:rsidRPr="00347BF6" w:rsidRDefault="007A0456" w:rsidP="009874B7">
            <w:pPr>
              <w:jc w:val="both"/>
              <w:rPr>
                <w:rFonts w:cs="Arial"/>
                <w:sz w:val="19"/>
                <w:szCs w:val="19"/>
              </w:rPr>
            </w:pPr>
            <w:r w:rsidRPr="00347BF6">
              <w:rPr>
                <w:rFonts w:cs="Arial"/>
                <w:sz w:val="19"/>
                <w:szCs w:val="19"/>
              </w:rPr>
              <w:t>Communication Equipment (direct assignment)</w:t>
            </w:r>
            <w:r w:rsidR="00D92381" w:rsidRPr="00347BF6">
              <w:rPr>
                <w:rFonts w:cs="Arial"/>
                <w:sz w:val="19"/>
                <w:szCs w:val="19"/>
              </w:rPr>
              <w:t>**</w:t>
            </w:r>
          </w:p>
        </w:tc>
      </w:tr>
      <w:tr w:rsidR="007A0456" w14:paraId="13C207A3" w14:textId="77777777" w:rsidTr="000844FD">
        <w:tc>
          <w:tcPr>
            <w:tcW w:w="1435" w:type="dxa"/>
          </w:tcPr>
          <w:p w14:paraId="3C0F4EE3" w14:textId="77777777" w:rsidR="007A0456" w:rsidRPr="00347BF6" w:rsidRDefault="007A0456" w:rsidP="00C56EDF">
            <w:pPr>
              <w:ind w:left="342"/>
              <w:jc w:val="both"/>
              <w:rPr>
                <w:rFonts w:cs="Arial"/>
                <w:sz w:val="19"/>
                <w:szCs w:val="19"/>
              </w:rPr>
            </w:pPr>
            <w:r w:rsidRPr="00347BF6">
              <w:rPr>
                <w:rFonts w:cs="Arial"/>
                <w:sz w:val="19"/>
                <w:szCs w:val="19"/>
              </w:rPr>
              <w:t>398</w:t>
            </w:r>
          </w:p>
        </w:tc>
        <w:tc>
          <w:tcPr>
            <w:tcW w:w="7807" w:type="dxa"/>
          </w:tcPr>
          <w:p w14:paraId="325220D3" w14:textId="5EB81DF7" w:rsidR="007A0456" w:rsidRPr="00347BF6" w:rsidRDefault="007A0456" w:rsidP="00D92381">
            <w:pPr>
              <w:jc w:val="both"/>
              <w:rPr>
                <w:rFonts w:cs="Arial"/>
                <w:sz w:val="19"/>
                <w:szCs w:val="19"/>
              </w:rPr>
            </w:pPr>
            <w:r w:rsidRPr="00347BF6">
              <w:rPr>
                <w:rFonts w:cs="Arial"/>
                <w:sz w:val="19"/>
                <w:szCs w:val="19"/>
              </w:rPr>
              <w:t xml:space="preserve">Miscellaneous Equipment </w:t>
            </w:r>
            <w:r w:rsidR="008013F0" w:rsidRPr="00347BF6">
              <w:rPr>
                <w:rFonts w:cs="Arial"/>
                <w:sz w:val="19"/>
                <w:szCs w:val="19"/>
              </w:rPr>
              <w:t>(direct assignment)</w:t>
            </w:r>
            <w:r w:rsidR="00D92381" w:rsidRPr="00347BF6">
              <w:rPr>
                <w:rFonts w:cs="Arial"/>
                <w:sz w:val="19"/>
                <w:szCs w:val="19"/>
              </w:rPr>
              <w:t>**</w:t>
            </w:r>
          </w:p>
        </w:tc>
      </w:tr>
      <w:tr w:rsidR="00232125" w:rsidRPr="005529FE" w14:paraId="63497C99" w14:textId="77777777" w:rsidTr="000844FD">
        <w:tc>
          <w:tcPr>
            <w:tcW w:w="1435" w:type="dxa"/>
          </w:tcPr>
          <w:p w14:paraId="72FF9597" w14:textId="153DDB4B" w:rsidR="00232125" w:rsidRPr="00347BF6" w:rsidRDefault="00232125" w:rsidP="00C56EDF">
            <w:pPr>
              <w:ind w:left="342"/>
              <w:jc w:val="both"/>
              <w:rPr>
                <w:rFonts w:cs="Arial"/>
                <w:sz w:val="19"/>
                <w:szCs w:val="19"/>
              </w:rPr>
            </w:pPr>
            <w:r w:rsidRPr="00347BF6">
              <w:rPr>
                <w:rFonts w:cs="Arial"/>
                <w:sz w:val="19"/>
                <w:szCs w:val="19"/>
              </w:rPr>
              <w:t>399</w:t>
            </w:r>
          </w:p>
        </w:tc>
        <w:tc>
          <w:tcPr>
            <w:tcW w:w="7807" w:type="dxa"/>
          </w:tcPr>
          <w:p w14:paraId="521AA56F" w14:textId="5862849D" w:rsidR="00232125" w:rsidRPr="00347BF6" w:rsidRDefault="008013F0" w:rsidP="00D92381">
            <w:pPr>
              <w:jc w:val="both"/>
              <w:rPr>
                <w:rFonts w:cs="Arial"/>
                <w:sz w:val="19"/>
                <w:szCs w:val="19"/>
              </w:rPr>
            </w:pPr>
            <w:r w:rsidRPr="00347BF6">
              <w:rPr>
                <w:rFonts w:cs="Arial"/>
                <w:sz w:val="19"/>
                <w:szCs w:val="19"/>
              </w:rPr>
              <w:t>Other Tangible Property (direct assignment)</w:t>
            </w:r>
            <w:r w:rsidR="00D92381" w:rsidRPr="00347BF6">
              <w:rPr>
                <w:rFonts w:cs="Arial"/>
                <w:sz w:val="19"/>
                <w:szCs w:val="19"/>
              </w:rPr>
              <w:t>**</w:t>
            </w:r>
          </w:p>
        </w:tc>
      </w:tr>
      <w:tr w:rsidR="00232125" w:rsidRPr="005529FE" w14:paraId="54619CD4" w14:textId="77777777" w:rsidTr="000844FD">
        <w:tc>
          <w:tcPr>
            <w:tcW w:w="1435" w:type="dxa"/>
          </w:tcPr>
          <w:p w14:paraId="589AA03E" w14:textId="01127A55" w:rsidR="00232125" w:rsidRPr="00347BF6" w:rsidRDefault="00232125" w:rsidP="00C56EDF">
            <w:pPr>
              <w:ind w:left="342"/>
              <w:jc w:val="both"/>
              <w:rPr>
                <w:rFonts w:cs="Arial"/>
                <w:sz w:val="19"/>
                <w:szCs w:val="19"/>
              </w:rPr>
            </w:pPr>
            <w:r w:rsidRPr="00347BF6">
              <w:rPr>
                <w:rFonts w:cs="Arial"/>
                <w:sz w:val="19"/>
                <w:szCs w:val="19"/>
              </w:rPr>
              <w:t>399.1</w:t>
            </w:r>
          </w:p>
        </w:tc>
        <w:tc>
          <w:tcPr>
            <w:tcW w:w="7807" w:type="dxa"/>
          </w:tcPr>
          <w:p w14:paraId="3F024018" w14:textId="56866CDA" w:rsidR="00232125" w:rsidRPr="00347BF6" w:rsidRDefault="008013F0" w:rsidP="00D92381">
            <w:pPr>
              <w:jc w:val="both"/>
              <w:rPr>
                <w:rFonts w:cs="Arial"/>
                <w:sz w:val="19"/>
                <w:szCs w:val="19"/>
              </w:rPr>
            </w:pPr>
            <w:r w:rsidRPr="00347BF6">
              <w:rPr>
                <w:rFonts w:cs="Arial"/>
                <w:sz w:val="19"/>
                <w:szCs w:val="19"/>
              </w:rPr>
              <w:t>Asset Retirement Cost for Other Plant (direct assignment)</w:t>
            </w:r>
            <w:r w:rsidR="00D92381" w:rsidRPr="00347BF6">
              <w:rPr>
                <w:rFonts w:cs="Arial"/>
                <w:sz w:val="19"/>
                <w:szCs w:val="19"/>
              </w:rPr>
              <w:t>**</w:t>
            </w:r>
          </w:p>
        </w:tc>
      </w:tr>
      <w:tr w:rsidR="007A0456" w:rsidRPr="005529FE" w14:paraId="0DE1A871" w14:textId="77777777" w:rsidTr="000844FD">
        <w:tc>
          <w:tcPr>
            <w:tcW w:w="1435" w:type="dxa"/>
          </w:tcPr>
          <w:p w14:paraId="15ABA88C" w14:textId="77777777" w:rsidR="007A0456" w:rsidRPr="00347BF6" w:rsidRDefault="007A0456" w:rsidP="00C56EDF">
            <w:pPr>
              <w:ind w:left="342"/>
              <w:jc w:val="both"/>
              <w:rPr>
                <w:rFonts w:cs="Arial"/>
                <w:sz w:val="19"/>
                <w:szCs w:val="19"/>
              </w:rPr>
            </w:pPr>
            <w:r w:rsidRPr="00347BF6">
              <w:rPr>
                <w:rFonts w:cs="Arial"/>
                <w:sz w:val="19"/>
                <w:szCs w:val="19"/>
              </w:rPr>
              <w:t>408.1</w:t>
            </w:r>
          </w:p>
        </w:tc>
        <w:tc>
          <w:tcPr>
            <w:tcW w:w="7807" w:type="dxa"/>
          </w:tcPr>
          <w:p w14:paraId="756DBC67" w14:textId="77777777" w:rsidR="007A0456" w:rsidRPr="00347BF6" w:rsidRDefault="007A0456" w:rsidP="00C56EDF">
            <w:pPr>
              <w:jc w:val="both"/>
              <w:rPr>
                <w:rFonts w:cs="Arial"/>
                <w:sz w:val="19"/>
                <w:szCs w:val="19"/>
              </w:rPr>
            </w:pPr>
            <w:r w:rsidRPr="00347BF6">
              <w:rPr>
                <w:rFonts w:cs="Arial"/>
                <w:sz w:val="19"/>
                <w:szCs w:val="19"/>
              </w:rPr>
              <w:t>Taxes Other than Income Taxes Utility Operating Income</w:t>
            </w:r>
          </w:p>
        </w:tc>
      </w:tr>
      <w:tr w:rsidR="007A0456" w14:paraId="302D53B0" w14:textId="77777777" w:rsidTr="000844FD">
        <w:tc>
          <w:tcPr>
            <w:tcW w:w="1435" w:type="dxa"/>
          </w:tcPr>
          <w:p w14:paraId="2507B59E" w14:textId="77777777" w:rsidR="007A0456" w:rsidRPr="00347BF6" w:rsidRDefault="007A0456" w:rsidP="00C56EDF">
            <w:pPr>
              <w:ind w:left="342"/>
              <w:jc w:val="both"/>
              <w:rPr>
                <w:rFonts w:cs="Arial"/>
                <w:sz w:val="19"/>
                <w:szCs w:val="19"/>
              </w:rPr>
            </w:pPr>
            <w:r w:rsidRPr="00347BF6">
              <w:rPr>
                <w:rFonts w:cs="Arial"/>
                <w:sz w:val="19"/>
                <w:szCs w:val="19"/>
              </w:rPr>
              <w:t>451</w:t>
            </w:r>
          </w:p>
        </w:tc>
        <w:tc>
          <w:tcPr>
            <w:tcW w:w="7807" w:type="dxa"/>
          </w:tcPr>
          <w:p w14:paraId="33CF3B93" w14:textId="7E0ABDA9" w:rsidR="007A0456" w:rsidRPr="00347BF6" w:rsidRDefault="007A0456" w:rsidP="00D92381">
            <w:pPr>
              <w:jc w:val="both"/>
              <w:rPr>
                <w:rFonts w:cs="Arial"/>
                <w:sz w:val="19"/>
                <w:szCs w:val="19"/>
              </w:rPr>
            </w:pPr>
            <w:r w:rsidRPr="00347BF6">
              <w:rPr>
                <w:rFonts w:cs="Arial"/>
                <w:sz w:val="19"/>
                <w:szCs w:val="19"/>
              </w:rPr>
              <w:t>Miscellaneous Service Revenues</w:t>
            </w:r>
            <w:r w:rsidR="00054C02" w:rsidRPr="00347BF6">
              <w:rPr>
                <w:rFonts w:cs="Arial"/>
                <w:sz w:val="19"/>
                <w:szCs w:val="19"/>
              </w:rPr>
              <w:t xml:space="preserve"> (direct assignment)</w:t>
            </w:r>
            <w:r w:rsidR="00D92381" w:rsidRPr="00347BF6">
              <w:rPr>
                <w:rFonts w:cs="Arial"/>
                <w:sz w:val="19"/>
                <w:szCs w:val="19"/>
              </w:rPr>
              <w:t>**</w:t>
            </w:r>
          </w:p>
        </w:tc>
      </w:tr>
      <w:tr w:rsidR="007A0456" w14:paraId="5090A623" w14:textId="77777777" w:rsidTr="000844FD">
        <w:tc>
          <w:tcPr>
            <w:tcW w:w="1435" w:type="dxa"/>
          </w:tcPr>
          <w:p w14:paraId="55F0663F" w14:textId="77777777" w:rsidR="007A0456" w:rsidRPr="00347BF6" w:rsidRDefault="007A0456" w:rsidP="00C56EDF">
            <w:pPr>
              <w:ind w:left="342"/>
              <w:jc w:val="both"/>
              <w:rPr>
                <w:rFonts w:cs="Arial"/>
                <w:sz w:val="19"/>
                <w:szCs w:val="19"/>
              </w:rPr>
            </w:pPr>
            <w:r w:rsidRPr="00347BF6">
              <w:rPr>
                <w:rFonts w:cs="Arial"/>
                <w:sz w:val="19"/>
                <w:szCs w:val="19"/>
              </w:rPr>
              <w:t>580</w:t>
            </w:r>
          </w:p>
        </w:tc>
        <w:tc>
          <w:tcPr>
            <w:tcW w:w="7807" w:type="dxa"/>
          </w:tcPr>
          <w:p w14:paraId="028F5A87" w14:textId="77777777" w:rsidR="007A0456" w:rsidRPr="00347BF6" w:rsidRDefault="007A0456" w:rsidP="00C56EDF">
            <w:pPr>
              <w:jc w:val="both"/>
              <w:rPr>
                <w:rFonts w:cs="Arial"/>
                <w:sz w:val="19"/>
                <w:szCs w:val="19"/>
              </w:rPr>
            </w:pPr>
            <w:r w:rsidRPr="00347BF6">
              <w:rPr>
                <w:rFonts w:cs="Arial"/>
                <w:sz w:val="19"/>
                <w:szCs w:val="19"/>
              </w:rPr>
              <w:t>Operations Supervision and Engineering</w:t>
            </w:r>
          </w:p>
        </w:tc>
      </w:tr>
      <w:tr w:rsidR="007A0456" w14:paraId="6AD53DB3" w14:textId="77777777" w:rsidTr="000844FD">
        <w:tc>
          <w:tcPr>
            <w:tcW w:w="1435" w:type="dxa"/>
          </w:tcPr>
          <w:p w14:paraId="5842764A" w14:textId="77777777" w:rsidR="007A0456" w:rsidRPr="00347BF6" w:rsidRDefault="007A0456" w:rsidP="00C56EDF">
            <w:pPr>
              <w:ind w:left="342"/>
              <w:jc w:val="both"/>
              <w:rPr>
                <w:rFonts w:cs="Arial"/>
                <w:sz w:val="19"/>
                <w:szCs w:val="19"/>
              </w:rPr>
            </w:pPr>
            <w:r w:rsidRPr="00347BF6">
              <w:rPr>
                <w:rFonts w:cs="Arial"/>
                <w:sz w:val="19"/>
                <w:szCs w:val="19"/>
              </w:rPr>
              <w:t>583</w:t>
            </w:r>
          </w:p>
        </w:tc>
        <w:tc>
          <w:tcPr>
            <w:tcW w:w="7807" w:type="dxa"/>
          </w:tcPr>
          <w:p w14:paraId="08C0E31B" w14:textId="77777777" w:rsidR="007A0456" w:rsidRPr="00347BF6" w:rsidRDefault="007A0456" w:rsidP="00C56EDF">
            <w:pPr>
              <w:jc w:val="both"/>
              <w:rPr>
                <w:rFonts w:cs="Arial"/>
                <w:sz w:val="19"/>
                <w:szCs w:val="19"/>
              </w:rPr>
            </w:pPr>
            <w:r w:rsidRPr="00347BF6">
              <w:rPr>
                <w:rFonts w:cs="Arial"/>
                <w:sz w:val="19"/>
                <w:szCs w:val="19"/>
              </w:rPr>
              <w:t>Overhead Line Expense</w:t>
            </w:r>
          </w:p>
        </w:tc>
      </w:tr>
      <w:tr w:rsidR="007A0456" w14:paraId="6F7136F8" w14:textId="77777777" w:rsidTr="000844FD">
        <w:tc>
          <w:tcPr>
            <w:tcW w:w="1435" w:type="dxa"/>
          </w:tcPr>
          <w:p w14:paraId="11ACF364" w14:textId="77777777" w:rsidR="007A0456" w:rsidRPr="00347BF6" w:rsidRDefault="007A0456" w:rsidP="00C56EDF">
            <w:pPr>
              <w:ind w:left="342"/>
              <w:jc w:val="both"/>
              <w:rPr>
                <w:rFonts w:cs="Arial"/>
                <w:sz w:val="19"/>
                <w:szCs w:val="19"/>
              </w:rPr>
            </w:pPr>
            <w:r w:rsidRPr="00347BF6">
              <w:rPr>
                <w:rFonts w:cs="Arial"/>
                <w:sz w:val="19"/>
                <w:szCs w:val="19"/>
              </w:rPr>
              <w:t>584</w:t>
            </w:r>
          </w:p>
        </w:tc>
        <w:tc>
          <w:tcPr>
            <w:tcW w:w="7807" w:type="dxa"/>
          </w:tcPr>
          <w:p w14:paraId="33020471" w14:textId="77777777" w:rsidR="007A0456" w:rsidRPr="00347BF6" w:rsidRDefault="007A0456" w:rsidP="00C56EDF">
            <w:pPr>
              <w:jc w:val="both"/>
              <w:rPr>
                <w:rFonts w:cs="Arial"/>
                <w:sz w:val="19"/>
                <w:szCs w:val="19"/>
              </w:rPr>
            </w:pPr>
            <w:r w:rsidRPr="00347BF6">
              <w:rPr>
                <w:rFonts w:cs="Arial"/>
                <w:sz w:val="19"/>
                <w:szCs w:val="19"/>
              </w:rPr>
              <w:t>Underground Line Expense</w:t>
            </w:r>
          </w:p>
        </w:tc>
      </w:tr>
      <w:tr w:rsidR="007A0456" w14:paraId="5657ABE8" w14:textId="77777777" w:rsidTr="000844FD">
        <w:tc>
          <w:tcPr>
            <w:tcW w:w="1435" w:type="dxa"/>
          </w:tcPr>
          <w:p w14:paraId="6556B2B7" w14:textId="77777777" w:rsidR="007A0456" w:rsidRPr="00347BF6" w:rsidRDefault="007A0456" w:rsidP="00C56EDF">
            <w:pPr>
              <w:ind w:left="342"/>
              <w:jc w:val="both"/>
              <w:rPr>
                <w:rFonts w:cs="Arial"/>
                <w:sz w:val="19"/>
                <w:szCs w:val="19"/>
              </w:rPr>
            </w:pPr>
            <w:r w:rsidRPr="00347BF6">
              <w:rPr>
                <w:rFonts w:cs="Arial"/>
                <w:sz w:val="19"/>
                <w:szCs w:val="19"/>
              </w:rPr>
              <w:t>586</w:t>
            </w:r>
          </w:p>
        </w:tc>
        <w:tc>
          <w:tcPr>
            <w:tcW w:w="7807" w:type="dxa"/>
          </w:tcPr>
          <w:p w14:paraId="4A13029A" w14:textId="77777777" w:rsidR="007A0456" w:rsidRPr="00347BF6" w:rsidRDefault="007A0456" w:rsidP="00C56EDF">
            <w:pPr>
              <w:jc w:val="both"/>
              <w:rPr>
                <w:rFonts w:cs="Arial"/>
                <w:sz w:val="19"/>
                <w:szCs w:val="19"/>
              </w:rPr>
            </w:pPr>
            <w:r w:rsidRPr="00347BF6">
              <w:rPr>
                <w:rFonts w:cs="Arial"/>
                <w:sz w:val="19"/>
                <w:szCs w:val="19"/>
              </w:rPr>
              <w:t>Meter Expense</w:t>
            </w:r>
          </w:p>
        </w:tc>
      </w:tr>
      <w:tr w:rsidR="007A0456" w14:paraId="6D08C5AD" w14:textId="77777777" w:rsidTr="000844FD">
        <w:tc>
          <w:tcPr>
            <w:tcW w:w="1435" w:type="dxa"/>
          </w:tcPr>
          <w:p w14:paraId="7C6AB493" w14:textId="77777777" w:rsidR="007A0456" w:rsidRPr="00347BF6" w:rsidRDefault="007A0456" w:rsidP="00C56EDF">
            <w:pPr>
              <w:ind w:left="342"/>
              <w:jc w:val="both"/>
              <w:rPr>
                <w:rFonts w:cs="Arial"/>
                <w:sz w:val="19"/>
                <w:szCs w:val="19"/>
              </w:rPr>
            </w:pPr>
            <w:r w:rsidRPr="00347BF6">
              <w:rPr>
                <w:rFonts w:cs="Arial"/>
                <w:sz w:val="19"/>
                <w:szCs w:val="19"/>
              </w:rPr>
              <w:t>590</w:t>
            </w:r>
          </w:p>
        </w:tc>
        <w:tc>
          <w:tcPr>
            <w:tcW w:w="7807" w:type="dxa"/>
          </w:tcPr>
          <w:p w14:paraId="249E6EAE" w14:textId="77777777" w:rsidR="007A0456" w:rsidRPr="00347BF6" w:rsidRDefault="007A0456" w:rsidP="00C56EDF">
            <w:pPr>
              <w:jc w:val="both"/>
              <w:rPr>
                <w:rFonts w:cs="Arial"/>
                <w:sz w:val="19"/>
                <w:szCs w:val="19"/>
              </w:rPr>
            </w:pPr>
            <w:r w:rsidRPr="00347BF6">
              <w:rPr>
                <w:rFonts w:cs="Arial"/>
                <w:sz w:val="19"/>
                <w:szCs w:val="19"/>
              </w:rPr>
              <w:t>Maintenance Supervision and Engineering</w:t>
            </w:r>
          </w:p>
        </w:tc>
      </w:tr>
      <w:tr w:rsidR="007A0456" w14:paraId="1B9DC31D" w14:textId="77777777" w:rsidTr="000844FD">
        <w:tc>
          <w:tcPr>
            <w:tcW w:w="1435" w:type="dxa"/>
          </w:tcPr>
          <w:p w14:paraId="04946E18" w14:textId="77777777" w:rsidR="007A0456" w:rsidRPr="00347BF6" w:rsidRDefault="007A0456" w:rsidP="00C56EDF">
            <w:pPr>
              <w:ind w:left="342"/>
              <w:jc w:val="both"/>
              <w:rPr>
                <w:rFonts w:cs="Arial"/>
                <w:sz w:val="19"/>
                <w:szCs w:val="19"/>
              </w:rPr>
            </w:pPr>
            <w:r w:rsidRPr="00347BF6">
              <w:rPr>
                <w:rFonts w:cs="Arial"/>
                <w:sz w:val="19"/>
                <w:szCs w:val="19"/>
              </w:rPr>
              <w:t>593</w:t>
            </w:r>
          </w:p>
        </w:tc>
        <w:tc>
          <w:tcPr>
            <w:tcW w:w="7807" w:type="dxa"/>
          </w:tcPr>
          <w:p w14:paraId="4D504617" w14:textId="77777777" w:rsidR="007A0456" w:rsidRPr="00347BF6" w:rsidRDefault="007A0456" w:rsidP="00C56EDF">
            <w:pPr>
              <w:jc w:val="both"/>
              <w:rPr>
                <w:rFonts w:cs="Arial"/>
                <w:sz w:val="19"/>
                <w:szCs w:val="19"/>
              </w:rPr>
            </w:pPr>
            <w:r w:rsidRPr="00347BF6">
              <w:rPr>
                <w:rFonts w:cs="Arial"/>
                <w:sz w:val="19"/>
                <w:szCs w:val="19"/>
              </w:rPr>
              <w:t>Maintenance of Overhead Lines</w:t>
            </w:r>
          </w:p>
        </w:tc>
      </w:tr>
      <w:tr w:rsidR="007A0456" w14:paraId="716836B4" w14:textId="77777777" w:rsidTr="000844FD">
        <w:tc>
          <w:tcPr>
            <w:tcW w:w="1435" w:type="dxa"/>
          </w:tcPr>
          <w:p w14:paraId="0E52F273" w14:textId="77777777" w:rsidR="007A0456" w:rsidRPr="00347BF6" w:rsidRDefault="007A0456" w:rsidP="00C56EDF">
            <w:pPr>
              <w:ind w:left="342"/>
              <w:jc w:val="both"/>
              <w:rPr>
                <w:rFonts w:cs="Arial"/>
                <w:sz w:val="19"/>
                <w:szCs w:val="19"/>
              </w:rPr>
            </w:pPr>
            <w:r w:rsidRPr="00347BF6">
              <w:rPr>
                <w:rFonts w:cs="Arial"/>
                <w:sz w:val="19"/>
                <w:szCs w:val="19"/>
              </w:rPr>
              <w:t>594</w:t>
            </w:r>
          </w:p>
        </w:tc>
        <w:tc>
          <w:tcPr>
            <w:tcW w:w="7807" w:type="dxa"/>
          </w:tcPr>
          <w:p w14:paraId="1F2BE11F" w14:textId="77777777" w:rsidR="007A0456" w:rsidRPr="00347BF6" w:rsidRDefault="007A0456" w:rsidP="00C56EDF">
            <w:pPr>
              <w:jc w:val="both"/>
              <w:rPr>
                <w:rFonts w:cs="Arial"/>
                <w:sz w:val="19"/>
                <w:szCs w:val="19"/>
              </w:rPr>
            </w:pPr>
            <w:r w:rsidRPr="00347BF6">
              <w:rPr>
                <w:rFonts w:cs="Arial"/>
                <w:sz w:val="19"/>
                <w:szCs w:val="19"/>
              </w:rPr>
              <w:t>Maintenance of Underground Lines</w:t>
            </w:r>
          </w:p>
        </w:tc>
      </w:tr>
      <w:tr w:rsidR="007A0456" w14:paraId="5027E940" w14:textId="77777777" w:rsidTr="000844FD">
        <w:tc>
          <w:tcPr>
            <w:tcW w:w="1435" w:type="dxa"/>
          </w:tcPr>
          <w:p w14:paraId="46078C6E" w14:textId="77777777" w:rsidR="007A0456" w:rsidRPr="00347BF6" w:rsidRDefault="007A0456" w:rsidP="00C56EDF">
            <w:pPr>
              <w:ind w:left="342"/>
              <w:jc w:val="both"/>
              <w:rPr>
                <w:rFonts w:cs="Arial"/>
                <w:sz w:val="19"/>
                <w:szCs w:val="19"/>
              </w:rPr>
            </w:pPr>
            <w:r w:rsidRPr="00347BF6">
              <w:rPr>
                <w:rFonts w:cs="Arial"/>
                <w:sz w:val="19"/>
                <w:szCs w:val="19"/>
              </w:rPr>
              <w:t>597</w:t>
            </w:r>
          </w:p>
        </w:tc>
        <w:tc>
          <w:tcPr>
            <w:tcW w:w="7807" w:type="dxa"/>
          </w:tcPr>
          <w:p w14:paraId="2AA32750" w14:textId="77777777" w:rsidR="007A0456" w:rsidRPr="00347BF6" w:rsidRDefault="007A0456" w:rsidP="00C56EDF">
            <w:pPr>
              <w:jc w:val="both"/>
              <w:rPr>
                <w:rFonts w:cs="Arial"/>
                <w:sz w:val="19"/>
                <w:szCs w:val="19"/>
              </w:rPr>
            </w:pPr>
            <w:r w:rsidRPr="00347BF6">
              <w:rPr>
                <w:rFonts w:cs="Arial"/>
                <w:sz w:val="19"/>
                <w:szCs w:val="19"/>
              </w:rPr>
              <w:t>Maintenance of Meters</w:t>
            </w:r>
          </w:p>
        </w:tc>
      </w:tr>
      <w:tr w:rsidR="007A0456" w14:paraId="50C3AA67" w14:textId="77777777" w:rsidTr="000844FD">
        <w:tc>
          <w:tcPr>
            <w:tcW w:w="1435" w:type="dxa"/>
          </w:tcPr>
          <w:p w14:paraId="262C1724" w14:textId="77777777" w:rsidR="007A0456" w:rsidRPr="00347BF6" w:rsidRDefault="007A0456" w:rsidP="00C56EDF">
            <w:pPr>
              <w:ind w:left="342"/>
              <w:jc w:val="both"/>
              <w:rPr>
                <w:rFonts w:cs="Arial"/>
                <w:sz w:val="19"/>
                <w:szCs w:val="19"/>
              </w:rPr>
            </w:pPr>
            <w:r w:rsidRPr="00347BF6">
              <w:rPr>
                <w:rFonts w:cs="Arial"/>
                <w:sz w:val="19"/>
                <w:szCs w:val="19"/>
              </w:rPr>
              <w:t>901</w:t>
            </w:r>
          </w:p>
        </w:tc>
        <w:tc>
          <w:tcPr>
            <w:tcW w:w="7807" w:type="dxa"/>
          </w:tcPr>
          <w:p w14:paraId="04808038" w14:textId="2C9A5D7B" w:rsidR="007A0456" w:rsidRPr="00347BF6" w:rsidRDefault="007A0456" w:rsidP="00C56EDF">
            <w:pPr>
              <w:jc w:val="both"/>
              <w:rPr>
                <w:rFonts w:cs="Arial"/>
                <w:sz w:val="19"/>
                <w:szCs w:val="19"/>
              </w:rPr>
            </w:pPr>
            <w:r w:rsidRPr="00347BF6">
              <w:rPr>
                <w:rFonts w:cs="Arial"/>
                <w:sz w:val="19"/>
                <w:szCs w:val="19"/>
              </w:rPr>
              <w:t>Supervision</w:t>
            </w:r>
            <w:r w:rsidR="009874B7" w:rsidRPr="00347BF6">
              <w:rPr>
                <w:rFonts w:cs="Arial"/>
                <w:sz w:val="19"/>
                <w:szCs w:val="19"/>
              </w:rPr>
              <w:t xml:space="preserve"> (direct assignment)**</w:t>
            </w:r>
          </w:p>
        </w:tc>
      </w:tr>
      <w:tr w:rsidR="007A0456" w14:paraId="649EF510" w14:textId="77777777" w:rsidTr="000844FD">
        <w:tc>
          <w:tcPr>
            <w:tcW w:w="1435" w:type="dxa"/>
          </w:tcPr>
          <w:p w14:paraId="7D6D04E2" w14:textId="77777777" w:rsidR="007A0456" w:rsidRPr="00347BF6" w:rsidRDefault="007A0456" w:rsidP="00C56EDF">
            <w:pPr>
              <w:ind w:left="342"/>
              <w:jc w:val="both"/>
              <w:rPr>
                <w:rFonts w:cs="Arial"/>
                <w:sz w:val="19"/>
                <w:szCs w:val="19"/>
              </w:rPr>
            </w:pPr>
            <w:r w:rsidRPr="00347BF6">
              <w:rPr>
                <w:rFonts w:cs="Arial"/>
                <w:sz w:val="19"/>
                <w:szCs w:val="19"/>
              </w:rPr>
              <w:t>902</w:t>
            </w:r>
          </w:p>
        </w:tc>
        <w:tc>
          <w:tcPr>
            <w:tcW w:w="7807" w:type="dxa"/>
          </w:tcPr>
          <w:p w14:paraId="5A615FA4" w14:textId="74612905" w:rsidR="007A0456" w:rsidRPr="00347BF6" w:rsidRDefault="007A0456" w:rsidP="00C56EDF">
            <w:pPr>
              <w:jc w:val="both"/>
              <w:rPr>
                <w:rFonts w:cs="Arial"/>
                <w:sz w:val="19"/>
                <w:szCs w:val="19"/>
              </w:rPr>
            </w:pPr>
            <w:r w:rsidRPr="00347BF6">
              <w:rPr>
                <w:rFonts w:cs="Arial"/>
                <w:sz w:val="19"/>
                <w:szCs w:val="19"/>
              </w:rPr>
              <w:t>Meter Reading</w:t>
            </w:r>
            <w:r w:rsidR="009874B7" w:rsidRPr="00347BF6">
              <w:rPr>
                <w:rFonts w:cs="Arial"/>
                <w:sz w:val="19"/>
                <w:szCs w:val="19"/>
              </w:rPr>
              <w:t xml:space="preserve"> (direct assignment)**</w:t>
            </w:r>
          </w:p>
        </w:tc>
      </w:tr>
      <w:tr w:rsidR="007A0456" w14:paraId="71C7F242" w14:textId="77777777" w:rsidTr="000844FD">
        <w:tc>
          <w:tcPr>
            <w:tcW w:w="1435" w:type="dxa"/>
          </w:tcPr>
          <w:p w14:paraId="412C4286" w14:textId="77777777" w:rsidR="007A0456" w:rsidRPr="00347BF6" w:rsidRDefault="007A0456" w:rsidP="00C56EDF">
            <w:pPr>
              <w:ind w:left="342"/>
              <w:jc w:val="both"/>
              <w:rPr>
                <w:rFonts w:cs="Arial"/>
                <w:sz w:val="19"/>
                <w:szCs w:val="19"/>
              </w:rPr>
            </w:pPr>
            <w:r w:rsidRPr="00347BF6">
              <w:rPr>
                <w:rFonts w:cs="Arial"/>
                <w:sz w:val="19"/>
                <w:szCs w:val="19"/>
              </w:rPr>
              <w:t>903</w:t>
            </w:r>
          </w:p>
        </w:tc>
        <w:tc>
          <w:tcPr>
            <w:tcW w:w="7807" w:type="dxa"/>
          </w:tcPr>
          <w:p w14:paraId="5A00F51B" w14:textId="299F3F39" w:rsidR="007A0456" w:rsidRPr="00347BF6" w:rsidRDefault="007A0456" w:rsidP="00C56EDF">
            <w:pPr>
              <w:jc w:val="both"/>
              <w:rPr>
                <w:rFonts w:cs="Arial"/>
                <w:sz w:val="19"/>
                <w:szCs w:val="19"/>
              </w:rPr>
            </w:pPr>
            <w:r w:rsidRPr="00347BF6">
              <w:rPr>
                <w:rFonts w:cs="Arial"/>
                <w:sz w:val="19"/>
                <w:szCs w:val="19"/>
              </w:rPr>
              <w:t>Customer Records and Collection Expense</w:t>
            </w:r>
            <w:r w:rsidR="009874B7" w:rsidRPr="00347BF6">
              <w:rPr>
                <w:rFonts w:cs="Arial"/>
                <w:sz w:val="19"/>
                <w:szCs w:val="19"/>
              </w:rPr>
              <w:t xml:space="preserve"> (direct assignment)**</w:t>
            </w:r>
          </w:p>
        </w:tc>
      </w:tr>
      <w:tr w:rsidR="007A0456" w14:paraId="1D4FDC25" w14:textId="77777777" w:rsidTr="000844FD">
        <w:tc>
          <w:tcPr>
            <w:tcW w:w="1435" w:type="dxa"/>
          </w:tcPr>
          <w:p w14:paraId="1EA5CBEF" w14:textId="77777777" w:rsidR="007A0456" w:rsidRPr="00347BF6" w:rsidRDefault="007A0456" w:rsidP="00C56EDF">
            <w:pPr>
              <w:ind w:left="342"/>
              <w:jc w:val="both"/>
              <w:rPr>
                <w:rFonts w:cs="Arial"/>
                <w:sz w:val="19"/>
                <w:szCs w:val="19"/>
              </w:rPr>
            </w:pPr>
            <w:r w:rsidRPr="00347BF6">
              <w:rPr>
                <w:rFonts w:cs="Arial"/>
                <w:sz w:val="19"/>
                <w:szCs w:val="19"/>
              </w:rPr>
              <w:t>905</w:t>
            </w:r>
          </w:p>
        </w:tc>
        <w:tc>
          <w:tcPr>
            <w:tcW w:w="7807" w:type="dxa"/>
          </w:tcPr>
          <w:p w14:paraId="598D5056" w14:textId="5D4924B4" w:rsidR="007A0456" w:rsidRPr="00347BF6" w:rsidRDefault="007A0456" w:rsidP="00C56EDF">
            <w:pPr>
              <w:jc w:val="both"/>
              <w:rPr>
                <w:rFonts w:cs="Arial"/>
                <w:sz w:val="19"/>
                <w:szCs w:val="19"/>
              </w:rPr>
            </w:pPr>
            <w:r w:rsidRPr="00347BF6">
              <w:rPr>
                <w:rFonts w:cs="Arial"/>
                <w:sz w:val="19"/>
                <w:szCs w:val="19"/>
              </w:rPr>
              <w:t xml:space="preserve">Miscellaneous Customer Accounts </w:t>
            </w:r>
            <w:r w:rsidR="009874B7" w:rsidRPr="00347BF6">
              <w:rPr>
                <w:rFonts w:cs="Arial"/>
                <w:sz w:val="19"/>
                <w:szCs w:val="19"/>
              </w:rPr>
              <w:t>(direct assignment)**</w:t>
            </w:r>
          </w:p>
        </w:tc>
      </w:tr>
      <w:tr w:rsidR="007A0456" w14:paraId="5C2E9DC4" w14:textId="77777777" w:rsidTr="000844FD">
        <w:tc>
          <w:tcPr>
            <w:tcW w:w="1435" w:type="dxa"/>
          </w:tcPr>
          <w:p w14:paraId="1BBD364F" w14:textId="77777777" w:rsidR="007A0456" w:rsidRPr="00347BF6" w:rsidRDefault="007A0456" w:rsidP="00C56EDF">
            <w:pPr>
              <w:ind w:left="342"/>
              <w:jc w:val="both"/>
              <w:rPr>
                <w:rFonts w:cs="Arial"/>
                <w:sz w:val="19"/>
                <w:szCs w:val="19"/>
              </w:rPr>
            </w:pPr>
            <w:r w:rsidRPr="00347BF6">
              <w:rPr>
                <w:rFonts w:cs="Arial"/>
                <w:sz w:val="19"/>
                <w:szCs w:val="19"/>
              </w:rPr>
              <w:t>907</w:t>
            </w:r>
          </w:p>
        </w:tc>
        <w:tc>
          <w:tcPr>
            <w:tcW w:w="7807" w:type="dxa"/>
          </w:tcPr>
          <w:p w14:paraId="44D93763" w14:textId="334E9056" w:rsidR="007A0456" w:rsidRPr="00347BF6" w:rsidRDefault="007A0456" w:rsidP="00C56EDF">
            <w:pPr>
              <w:jc w:val="both"/>
              <w:rPr>
                <w:rFonts w:cs="Arial"/>
                <w:sz w:val="19"/>
                <w:szCs w:val="19"/>
              </w:rPr>
            </w:pPr>
            <w:r w:rsidRPr="00347BF6">
              <w:rPr>
                <w:rFonts w:cs="Arial"/>
                <w:sz w:val="19"/>
                <w:szCs w:val="19"/>
              </w:rPr>
              <w:t>Supervision</w:t>
            </w:r>
            <w:r w:rsidR="009874B7" w:rsidRPr="00347BF6">
              <w:rPr>
                <w:rFonts w:cs="Arial"/>
                <w:sz w:val="19"/>
                <w:szCs w:val="19"/>
              </w:rPr>
              <w:t xml:space="preserve"> (direct assignment)**</w:t>
            </w:r>
          </w:p>
        </w:tc>
      </w:tr>
      <w:tr w:rsidR="007A0456" w14:paraId="4A72FE58" w14:textId="77777777" w:rsidTr="000844FD">
        <w:tc>
          <w:tcPr>
            <w:tcW w:w="1435" w:type="dxa"/>
          </w:tcPr>
          <w:p w14:paraId="03674904" w14:textId="77777777" w:rsidR="007A0456" w:rsidRPr="00347BF6" w:rsidRDefault="007A0456" w:rsidP="00C56EDF">
            <w:pPr>
              <w:ind w:left="342"/>
              <w:jc w:val="both"/>
              <w:rPr>
                <w:rFonts w:cs="Arial"/>
                <w:sz w:val="19"/>
                <w:szCs w:val="19"/>
              </w:rPr>
            </w:pPr>
            <w:r w:rsidRPr="00347BF6">
              <w:rPr>
                <w:rFonts w:cs="Arial"/>
                <w:sz w:val="19"/>
                <w:szCs w:val="19"/>
              </w:rPr>
              <w:t>908</w:t>
            </w:r>
          </w:p>
        </w:tc>
        <w:tc>
          <w:tcPr>
            <w:tcW w:w="7807" w:type="dxa"/>
          </w:tcPr>
          <w:p w14:paraId="2C68C5A4" w14:textId="7347530C" w:rsidR="007A0456" w:rsidRPr="00347BF6" w:rsidRDefault="007A0456" w:rsidP="00C56EDF">
            <w:pPr>
              <w:jc w:val="both"/>
              <w:rPr>
                <w:rFonts w:cs="Arial"/>
                <w:sz w:val="19"/>
                <w:szCs w:val="19"/>
              </w:rPr>
            </w:pPr>
            <w:r w:rsidRPr="00347BF6">
              <w:rPr>
                <w:rFonts w:cs="Arial"/>
                <w:sz w:val="19"/>
                <w:szCs w:val="19"/>
              </w:rPr>
              <w:t xml:space="preserve">Customer Assistance </w:t>
            </w:r>
            <w:r w:rsidR="009874B7" w:rsidRPr="00347BF6">
              <w:rPr>
                <w:rFonts w:cs="Arial"/>
                <w:sz w:val="19"/>
                <w:szCs w:val="19"/>
              </w:rPr>
              <w:t>(direct assignment)**</w:t>
            </w:r>
          </w:p>
        </w:tc>
      </w:tr>
      <w:tr w:rsidR="007A0456" w14:paraId="54147B7C" w14:textId="77777777" w:rsidTr="000844FD">
        <w:tc>
          <w:tcPr>
            <w:tcW w:w="1435" w:type="dxa"/>
          </w:tcPr>
          <w:p w14:paraId="389440AC" w14:textId="77777777" w:rsidR="007A0456" w:rsidRPr="00347BF6" w:rsidRDefault="007A0456" w:rsidP="00C56EDF">
            <w:pPr>
              <w:ind w:left="342"/>
              <w:jc w:val="both"/>
              <w:rPr>
                <w:rFonts w:cs="Arial"/>
                <w:sz w:val="19"/>
                <w:szCs w:val="19"/>
              </w:rPr>
            </w:pPr>
            <w:r w:rsidRPr="00347BF6">
              <w:rPr>
                <w:rFonts w:cs="Arial"/>
                <w:sz w:val="19"/>
                <w:szCs w:val="19"/>
              </w:rPr>
              <w:t>910</w:t>
            </w:r>
          </w:p>
        </w:tc>
        <w:tc>
          <w:tcPr>
            <w:tcW w:w="7807" w:type="dxa"/>
          </w:tcPr>
          <w:p w14:paraId="2A81E3FF" w14:textId="77777777" w:rsidR="007A0456" w:rsidRPr="00347BF6" w:rsidRDefault="007A0456" w:rsidP="00C56EDF">
            <w:pPr>
              <w:jc w:val="both"/>
              <w:rPr>
                <w:rFonts w:cs="Arial"/>
                <w:sz w:val="19"/>
                <w:szCs w:val="19"/>
              </w:rPr>
            </w:pPr>
            <w:r w:rsidRPr="00347BF6">
              <w:rPr>
                <w:rFonts w:cs="Arial"/>
                <w:sz w:val="19"/>
                <w:szCs w:val="19"/>
              </w:rPr>
              <w:t>Miscellaneous Customer Service and Informational</w:t>
            </w:r>
          </w:p>
        </w:tc>
      </w:tr>
      <w:tr w:rsidR="007A0456" w14:paraId="5647108A" w14:textId="77777777" w:rsidTr="000844FD">
        <w:tc>
          <w:tcPr>
            <w:tcW w:w="1435" w:type="dxa"/>
          </w:tcPr>
          <w:p w14:paraId="30D239AF" w14:textId="77777777" w:rsidR="007A0456" w:rsidRPr="00347BF6" w:rsidRDefault="007A0456" w:rsidP="00C56EDF">
            <w:pPr>
              <w:ind w:left="342"/>
              <w:jc w:val="both"/>
              <w:rPr>
                <w:rFonts w:cs="Arial"/>
                <w:sz w:val="19"/>
                <w:szCs w:val="19"/>
              </w:rPr>
            </w:pPr>
            <w:r w:rsidRPr="00347BF6">
              <w:rPr>
                <w:rFonts w:cs="Arial"/>
                <w:sz w:val="19"/>
                <w:szCs w:val="19"/>
              </w:rPr>
              <w:t>924</w:t>
            </w:r>
          </w:p>
        </w:tc>
        <w:tc>
          <w:tcPr>
            <w:tcW w:w="7807" w:type="dxa"/>
          </w:tcPr>
          <w:p w14:paraId="0BFBCF29" w14:textId="77777777" w:rsidR="007A0456" w:rsidRPr="00347BF6" w:rsidRDefault="007A0456" w:rsidP="00C56EDF">
            <w:pPr>
              <w:jc w:val="both"/>
              <w:rPr>
                <w:rFonts w:cs="Arial"/>
                <w:sz w:val="19"/>
                <w:szCs w:val="19"/>
              </w:rPr>
            </w:pPr>
            <w:r w:rsidRPr="00347BF6">
              <w:rPr>
                <w:rFonts w:cs="Arial"/>
                <w:sz w:val="19"/>
                <w:szCs w:val="19"/>
              </w:rPr>
              <w:t>Property Insurance</w:t>
            </w:r>
          </w:p>
        </w:tc>
      </w:tr>
      <w:tr w:rsidR="007A0456" w14:paraId="3D514A99" w14:textId="77777777" w:rsidTr="000844FD">
        <w:tc>
          <w:tcPr>
            <w:tcW w:w="1435" w:type="dxa"/>
          </w:tcPr>
          <w:p w14:paraId="7F526442" w14:textId="77777777" w:rsidR="007A0456" w:rsidRPr="00347BF6" w:rsidRDefault="007A0456" w:rsidP="00C56EDF">
            <w:pPr>
              <w:ind w:left="342"/>
              <w:jc w:val="both"/>
              <w:rPr>
                <w:rFonts w:cs="Arial"/>
                <w:sz w:val="19"/>
                <w:szCs w:val="19"/>
              </w:rPr>
            </w:pPr>
            <w:r w:rsidRPr="00347BF6">
              <w:rPr>
                <w:rFonts w:cs="Arial"/>
                <w:sz w:val="19"/>
                <w:szCs w:val="19"/>
              </w:rPr>
              <w:t>925</w:t>
            </w:r>
          </w:p>
        </w:tc>
        <w:tc>
          <w:tcPr>
            <w:tcW w:w="7807" w:type="dxa"/>
          </w:tcPr>
          <w:p w14:paraId="16DD27EC" w14:textId="20235E2C" w:rsidR="007A0456" w:rsidRPr="00347BF6" w:rsidRDefault="007A0456" w:rsidP="0046147A">
            <w:pPr>
              <w:tabs>
                <w:tab w:val="left" w:pos="2880"/>
              </w:tabs>
              <w:jc w:val="both"/>
              <w:rPr>
                <w:rFonts w:cs="Arial"/>
                <w:sz w:val="19"/>
                <w:szCs w:val="19"/>
              </w:rPr>
            </w:pPr>
            <w:r w:rsidRPr="00347BF6">
              <w:rPr>
                <w:rFonts w:cs="Arial"/>
                <w:sz w:val="19"/>
                <w:szCs w:val="19"/>
              </w:rPr>
              <w:t xml:space="preserve">Injuries </w:t>
            </w:r>
            <w:r w:rsidR="0046147A" w:rsidRPr="00347BF6">
              <w:rPr>
                <w:rFonts w:cs="Arial"/>
                <w:sz w:val="19"/>
                <w:szCs w:val="19"/>
              </w:rPr>
              <w:t>and</w:t>
            </w:r>
            <w:r w:rsidRPr="00347BF6">
              <w:rPr>
                <w:rFonts w:cs="Arial"/>
                <w:sz w:val="19"/>
                <w:szCs w:val="19"/>
              </w:rPr>
              <w:t xml:space="preserve"> Damages</w:t>
            </w:r>
          </w:p>
        </w:tc>
      </w:tr>
      <w:tr w:rsidR="007A0456" w14:paraId="218BBFAA" w14:textId="77777777" w:rsidTr="000844FD">
        <w:tc>
          <w:tcPr>
            <w:tcW w:w="1435" w:type="dxa"/>
          </w:tcPr>
          <w:p w14:paraId="72A79C75" w14:textId="77777777" w:rsidR="007A0456" w:rsidRPr="00347BF6" w:rsidRDefault="007A0456" w:rsidP="00C56EDF">
            <w:pPr>
              <w:ind w:left="342"/>
              <w:jc w:val="both"/>
              <w:rPr>
                <w:rFonts w:cs="Arial"/>
                <w:sz w:val="19"/>
                <w:szCs w:val="19"/>
              </w:rPr>
            </w:pPr>
            <w:r w:rsidRPr="00347BF6">
              <w:rPr>
                <w:rFonts w:cs="Arial"/>
                <w:sz w:val="19"/>
                <w:szCs w:val="19"/>
              </w:rPr>
              <w:t>926</w:t>
            </w:r>
          </w:p>
        </w:tc>
        <w:tc>
          <w:tcPr>
            <w:tcW w:w="7807" w:type="dxa"/>
          </w:tcPr>
          <w:p w14:paraId="232A1C48" w14:textId="77777777" w:rsidR="007A0456" w:rsidRPr="00347BF6" w:rsidRDefault="007A0456" w:rsidP="00C56EDF">
            <w:pPr>
              <w:jc w:val="both"/>
              <w:rPr>
                <w:rFonts w:cs="Arial"/>
                <w:sz w:val="19"/>
                <w:szCs w:val="19"/>
              </w:rPr>
            </w:pPr>
            <w:r w:rsidRPr="00347BF6">
              <w:rPr>
                <w:rFonts w:cs="Arial"/>
                <w:sz w:val="19"/>
                <w:szCs w:val="19"/>
              </w:rPr>
              <w:t>Employee Pensions and Benefits</w:t>
            </w:r>
          </w:p>
        </w:tc>
      </w:tr>
    </w:tbl>
    <w:p w14:paraId="09449781" w14:textId="77777777" w:rsidR="007A0456" w:rsidRPr="0005033F" w:rsidRDefault="007A0456" w:rsidP="007A0456">
      <w:pPr>
        <w:jc w:val="both"/>
        <w:rPr>
          <w:sz w:val="12"/>
          <w:szCs w:val="12"/>
        </w:rPr>
      </w:pPr>
    </w:p>
    <w:p w14:paraId="2774F2ED" w14:textId="77777777" w:rsidR="007A0456" w:rsidRPr="0046147A" w:rsidRDefault="007A0456" w:rsidP="0046147A">
      <w:pPr>
        <w:ind w:left="187" w:hanging="187"/>
        <w:jc w:val="both"/>
        <w:rPr>
          <w:sz w:val="18"/>
          <w:szCs w:val="18"/>
        </w:rPr>
      </w:pPr>
      <w:r w:rsidRPr="0046147A">
        <w:rPr>
          <w:sz w:val="18"/>
          <w:szCs w:val="18"/>
        </w:rPr>
        <w:t xml:space="preserve">* </w:t>
      </w:r>
      <w:r w:rsidRPr="0046147A">
        <w:rPr>
          <w:sz w:val="18"/>
          <w:szCs w:val="18"/>
        </w:rPr>
        <w:tab/>
        <w:t xml:space="preserve">Inclusion of these FERC accounts are contingent on the inclusion of other FERC accounts for rate base or expense accounts. </w:t>
      </w:r>
    </w:p>
    <w:p w14:paraId="7D1AEDC2" w14:textId="222CD235" w:rsidR="00D92381" w:rsidRDefault="00D92381" w:rsidP="007A0456">
      <w:pPr>
        <w:ind w:left="180" w:hanging="180"/>
        <w:jc w:val="both"/>
        <w:rPr>
          <w:sz w:val="18"/>
          <w:szCs w:val="18"/>
        </w:rPr>
      </w:pPr>
      <w:r w:rsidRPr="0046147A">
        <w:rPr>
          <w:sz w:val="18"/>
          <w:szCs w:val="18"/>
        </w:rPr>
        <w:t>**</w:t>
      </w:r>
      <w:r w:rsidR="00F54B08" w:rsidRPr="0046147A">
        <w:rPr>
          <w:sz w:val="18"/>
          <w:szCs w:val="18"/>
        </w:rPr>
        <w:tab/>
      </w:r>
      <w:r w:rsidRPr="0046147A">
        <w:rPr>
          <w:sz w:val="18"/>
          <w:szCs w:val="18"/>
        </w:rPr>
        <w:t>Where direct assignment is required but not possible, cost allocation proposals will be considered in accordance with Section III</w:t>
      </w:r>
      <w:r w:rsidR="00445561" w:rsidRPr="0046147A">
        <w:rPr>
          <w:sz w:val="18"/>
          <w:szCs w:val="18"/>
        </w:rPr>
        <w:t>.</w:t>
      </w:r>
      <w:r w:rsidRPr="0046147A">
        <w:rPr>
          <w:sz w:val="18"/>
          <w:szCs w:val="18"/>
        </w:rPr>
        <w:t xml:space="preserve">B.4. </w:t>
      </w:r>
      <w:r w:rsidRPr="0046147A">
        <w:rPr>
          <w:sz w:val="18"/>
          <w:szCs w:val="18"/>
          <w:u w:val="single"/>
        </w:rPr>
        <w:t xml:space="preserve">MRCC </w:t>
      </w:r>
      <w:r w:rsidR="00EA1D05" w:rsidRPr="0046147A">
        <w:rPr>
          <w:sz w:val="18"/>
          <w:szCs w:val="18"/>
          <w:u w:val="single"/>
        </w:rPr>
        <w:t>Application</w:t>
      </w:r>
      <w:r w:rsidR="00EA1D05" w:rsidRPr="0046147A">
        <w:rPr>
          <w:sz w:val="18"/>
          <w:szCs w:val="18"/>
        </w:rPr>
        <w:t>.</w:t>
      </w:r>
    </w:p>
    <w:p w14:paraId="2C48BAFD" w14:textId="31605179" w:rsidR="00721C0D" w:rsidRDefault="00721C0D" w:rsidP="00721C0D">
      <w:pPr>
        <w:pStyle w:val="Heading3"/>
        <w:tabs>
          <w:tab w:val="clear" w:pos="720"/>
        </w:tabs>
        <w:ind w:hanging="720"/>
      </w:pPr>
      <w:bookmarkStart w:id="106" w:name="_Toc501528291"/>
      <w:r>
        <w:lastRenderedPageBreak/>
        <w:t xml:space="preserve">Supporting </w:t>
      </w:r>
      <w:r w:rsidR="000B3217">
        <w:t>Documentation</w:t>
      </w:r>
      <w:bookmarkEnd w:id="106"/>
    </w:p>
    <w:p w14:paraId="4C983761" w14:textId="00E110CC" w:rsidR="007A0456" w:rsidRDefault="007A0456" w:rsidP="007A0456">
      <w:pPr>
        <w:autoSpaceDE w:val="0"/>
        <w:autoSpaceDN w:val="0"/>
        <w:jc w:val="both"/>
        <w:rPr>
          <w:rFonts w:cs="Arial"/>
          <w:szCs w:val="24"/>
        </w:rPr>
      </w:pPr>
    </w:p>
    <w:p w14:paraId="06915072" w14:textId="1D3388F0" w:rsidR="007A0456" w:rsidRDefault="007A0456" w:rsidP="007A0456">
      <w:pPr>
        <w:ind w:firstLine="720"/>
        <w:jc w:val="both"/>
      </w:pPr>
      <w:r>
        <w:t>F</w:t>
      </w:r>
      <w:r w:rsidRPr="002762F6">
        <w:t>or each revenue requirement component</w:t>
      </w:r>
      <w:r>
        <w:t>, each EDC is</w:t>
      </w:r>
      <w:r w:rsidRPr="002762F6">
        <w:t xml:space="preserve"> directed to submit a full accounting of the includable costs through a </w:t>
      </w:r>
      <w:r>
        <w:t xml:space="preserve">MRCC </w:t>
      </w:r>
      <w:r w:rsidRPr="002762F6">
        <w:t xml:space="preserve">COSS that identifies all of </w:t>
      </w:r>
      <w:r>
        <w:t xml:space="preserve">the </w:t>
      </w:r>
      <w:r w:rsidRPr="002762F6">
        <w:t>fixed</w:t>
      </w:r>
      <w:r>
        <w:t xml:space="preserve"> costs, O&amp;M expenses </w:t>
      </w:r>
      <w:r w:rsidRPr="002762F6">
        <w:t>and other</w:t>
      </w:r>
      <w:r>
        <w:t xml:space="preserve"> expenses</w:t>
      </w:r>
      <w:r w:rsidRPr="002762F6">
        <w:t xml:space="preserve"> for each account using the</w:t>
      </w:r>
      <w:r>
        <w:t xml:space="preserve"> FERC Accounts.  In its current or next rate case, each </w:t>
      </w:r>
      <w:r w:rsidR="004D2E68">
        <w:t xml:space="preserve">EDC </w:t>
      </w:r>
      <w:r>
        <w:t xml:space="preserve">should file </w:t>
      </w:r>
      <w:r w:rsidRPr="002762F6">
        <w:t xml:space="preserve">a separate </w:t>
      </w:r>
      <w:r>
        <w:t xml:space="preserve">MRCC </w:t>
      </w:r>
      <w:r w:rsidRPr="002762F6">
        <w:t xml:space="preserve">COSS </w:t>
      </w:r>
      <w:r w:rsidR="004D2E68">
        <w:t>workable spreadsheet</w:t>
      </w:r>
      <w:r w:rsidRPr="002762F6">
        <w:t xml:space="preserve"> using the layout </w:t>
      </w:r>
      <w:r>
        <w:t xml:space="preserve">from </w:t>
      </w:r>
      <w:r w:rsidRPr="002762F6">
        <w:t xml:space="preserve">CL&amp;P’s </w:t>
      </w:r>
      <w:r w:rsidR="004D2E68">
        <w:t>r</w:t>
      </w:r>
      <w:r w:rsidRPr="002762F6">
        <w:t>esponse to Late File</w:t>
      </w:r>
      <w:r>
        <w:t xml:space="preserve">d Exhibit </w:t>
      </w:r>
      <w:r w:rsidRPr="002762F6">
        <w:t>No. 9</w:t>
      </w:r>
      <w:r>
        <w:t xml:space="preserve">, which must </w:t>
      </w:r>
      <w:r w:rsidRPr="002762F6">
        <w:t>includ</w:t>
      </w:r>
      <w:r>
        <w:t>e</w:t>
      </w:r>
      <w:r w:rsidRPr="002762F6">
        <w:t>:</w:t>
      </w:r>
    </w:p>
    <w:p w14:paraId="0FC7CE7A" w14:textId="77777777" w:rsidR="007A0456" w:rsidRPr="002762F6" w:rsidRDefault="007A0456" w:rsidP="007A0456">
      <w:pPr>
        <w:jc w:val="both"/>
      </w:pPr>
    </w:p>
    <w:p w14:paraId="7F48E679" w14:textId="5D192B77" w:rsidR="007A0456" w:rsidRDefault="007A0456" w:rsidP="007E4DE4">
      <w:pPr>
        <w:numPr>
          <w:ilvl w:val="0"/>
          <w:numId w:val="7"/>
        </w:numPr>
        <w:spacing w:after="120"/>
        <w:ind w:left="1080"/>
        <w:jc w:val="both"/>
      </w:pPr>
      <w:r w:rsidRPr="002762F6">
        <w:t>Each revenue requirement component identified in a separate tab, with an additional tab that shows the overall MRCC revenue requirement and unit rate calculations</w:t>
      </w:r>
      <w:r w:rsidR="004D2E68">
        <w:t>.</w:t>
      </w:r>
    </w:p>
    <w:p w14:paraId="2ABEAD17" w14:textId="105FB112" w:rsidR="007A0456" w:rsidRDefault="007A0456" w:rsidP="007E4DE4">
      <w:pPr>
        <w:numPr>
          <w:ilvl w:val="0"/>
          <w:numId w:val="7"/>
        </w:numPr>
        <w:spacing w:after="120"/>
        <w:ind w:left="1080"/>
        <w:jc w:val="both"/>
      </w:pPr>
      <w:r w:rsidRPr="002762F6">
        <w:t>All columns presented in each tab of CL&amp;P</w:t>
      </w:r>
      <w:r w:rsidR="00470FB3">
        <w:t>’s</w:t>
      </w:r>
      <w:r w:rsidRPr="002762F6">
        <w:t xml:space="preserve"> Response to Late File</w:t>
      </w:r>
      <w:r w:rsidR="004D2E68">
        <w:t>d Exhibit</w:t>
      </w:r>
      <w:r w:rsidRPr="002762F6">
        <w:t xml:space="preserve"> No. 9, showing the allocation methodology for each accounts’ costs</w:t>
      </w:r>
      <w:r>
        <w:t>.</w:t>
      </w:r>
    </w:p>
    <w:p w14:paraId="70030C04" w14:textId="442A04A0" w:rsidR="007A0456" w:rsidRDefault="007A0456" w:rsidP="007E4DE4">
      <w:pPr>
        <w:numPr>
          <w:ilvl w:val="0"/>
          <w:numId w:val="7"/>
        </w:numPr>
        <w:spacing w:after="120"/>
        <w:ind w:left="1080"/>
        <w:jc w:val="both"/>
      </w:pPr>
      <w:r w:rsidRPr="002762F6">
        <w:t xml:space="preserve">Separately identifying direct labor expenses for each of the </w:t>
      </w:r>
      <w:r>
        <w:t>four</w:t>
      </w:r>
      <w:r w:rsidRPr="002762F6">
        <w:t xml:space="preserve"> functions in the same general format as the labor expense tabs shown in </w:t>
      </w:r>
      <w:r>
        <w:t>CL&amp;P</w:t>
      </w:r>
      <w:r w:rsidR="004D2E68">
        <w:t>’s</w:t>
      </w:r>
      <w:r>
        <w:t xml:space="preserve"> </w:t>
      </w:r>
      <w:r w:rsidRPr="002762F6">
        <w:t>Late File</w:t>
      </w:r>
      <w:r>
        <w:t>d</w:t>
      </w:r>
      <w:r w:rsidRPr="002762F6">
        <w:t xml:space="preserve"> </w:t>
      </w:r>
      <w:r>
        <w:t xml:space="preserve">Exhibit </w:t>
      </w:r>
      <w:r w:rsidRPr="002762F6">
        <w:t>No. 9.</w:t>
      </w:r>
    </w:p>
    <w:p w14:paraId="3FF0EC4A" w14:textId="113DCF7D" w:rsidR="007A0456" w:rsidRDefault="007A0456" w:rsidP="007E4DE4">
      <w:pPr>
        <w:pStyle w:val="ListParagraph"/>
        <w:numPr>
          <w:ilvl w:val="0"/>
          <w:numId w:val="7"/>
        </w:numPr>
        <w:spacing w:after="120"/>
        <w:ind w:left="1080"/>
        <w:jc w:val="both"/>
      </w:pPr>
      <w:r w:rsidRPr="0089103B">
        <w:t>For includable rate base costs in the MRCC, the Companies may include the associated property tax, property insurance, depreciation, negative salvage, R</w:t>
      </w:r>
      <w:r>
        <w:t>ate of Return</w:t>
      </w:r>
      <w:r w:rsidRPr="0089103B">
        <w:t>, income taxes on R</w:t>
      </w:r>
      <w:r w:rsidR="00470FB3">
        <w:t>OE</w:t>
      </w:r>
      <w:r>
        <w:t xml:space="preserve"> </w:t>
      </w:r>
      <w:r w:rsidRPr="0089103B">
        <w:t>and G</w:t>
      </w:r>
      <w:r w:rsidR="00470FB3">
        <w:t>RT</w:t>
      </w:r>
      <w:r w:rsidRPr="0089103B">
        <w:t xml:space="preserve"> expenses.  </w:t>
      </w:r>
    </w:p>
    <w:p w14:paraId="18A5B005" w14:textId="3F9E0CBA" w:rsidR="007A0456" w:rsidRPr="002762F6" w:rsidRDefault="00470FB3" w:rsidP="00551C35">
      <w:pPr>
        <w:numPr>
          <w:ilvl w:val="0"/>
          <w:numId w:val="7"/>
        </w:numPr>
        <w:spacing w:after="120"/>
        <w:ind w:left="1080"/>
        <w:jc w:val="both"/>
      </w:pPr>
      <w:r>
        <w:t>An additional worksheet showing a</w:t>
      </w:r>
      <w:r w:rsidR="007A0456">
        <w:t>n itemization of the MRCC calculation by FERC account components in the same general format as shown in UI</w:t>
      </w:r>
      <w:r w:rsidR="004D2E68">
        <w:t>’s</w:t>
      </w:r>
      <w:r w:rsidR="007A0456">
        <w:t xml:space="preserve"> Late Filed Exhibit </w:t>
      </w:r>
      <w:r w:rsidR="004D2E68">
        <w:t xml:space="preserve">No. </w:t>
      </w:r>
      <w:r w:rsidR="007A0456">
        <w:t>3, Attachment A, Supplement 2.</w:t>
      </w:r>
    </w:p>
    <w:p w14:paraId="6F8EF250" w14:textId="1ACCC942" w:rsidR="007A0456" w:rsidRDefault="004D2E68" w:rsidP="00E1092F">
      <w:pPr>
        <w:numPr>
          <w:ilvl w:val="0"/>
          <w:numId w:val="7"/>
        </w:numPr>
        <w:ind w:left="1080"/>
        <w:jc w:val="both"/>
      </w:pPr>
      <w:r>
        <w:t>A</w:t>
      </w:r>
      <w:r w:rsidR="007A0456">
        <w:t xml:space="preserve">n </w:t>
      </w:r>
      <w:r w:rsidR="00470FB3">
        <w:t xml:space="preserve">additional worksheet showing the </w:t>
      </w:r>
      <w:r w:rsidR="007A0456">
        <w:t xml:space="preserve">itemization of the MRCC calculations using the layout in UI’s response to Late Filed Exhibit No. 3, Attachment A, Supplement 2. </w:t>
      </w:r>
    </w:p>
    <w:p w14:paraId="5B40FBE0" w14:textId="0C2D6132" w:rsidR="007A0456" w:rsidRPr="0011263B" w:rsidRDefault="007A0456" w:rsidP="007A0456">
      <w:pPr>
        <w:tabs>
          <w:tab w:val="left" w:pos="8524"/>
        </w:tabs>
        <w:jc w:val="both"/>
      </w:pPr>
    </w:p>
    <w:p w14:paraId="670BB5C9" w14:textId="77777777" w:rsidR="007A0456" w:rsidRPr="00AF526D" w:rsidRDefault="007A0456" w:rsidP="007E4DE4">
      <w:pPr>
        <w:pStyle w:val="Heading1"/>
        <w:numPr>
          <w:ilvl w:val="0"/>
          <w:numId w:val="4"/>
        </w:numPr>
        <w:tabs>
          <w:tab w:val="clear" w:pos="360"/>
        </w:tabs>
        <w:jc w:val="both"/>
      </w:pPr>
      <w:bookmarkStart w:id="107" w:name="_Toc499050502"/>
      <w:bookmarkStart w:id="108" w:name="_Toc501528292"/>
      <w:r w:rsidRPr="00AF526D">
        <w:t>FINDINGS OF FACT</w:t>
      </w:r>
      <w:bookmarkEnd w:id="107"/>
      <w:bookmarkEnd w:id="108"/>
    </w:p>
    <w:p w14:paraId="4749D20F" w14:textId="77777777" w:rsidR="007A0456" w:rsidRDefault="007A0456" w:rsidP="007A0456">
      <w:pPr>
        <w:jc w:val="both"/>
      </w:pPr>
      <w:bookmarkStart w:id="109" w:name="_Toc233013586"/>
    </w:p>
    <w:p w14:paraId="408D4DEA" w14:textId="77777777" w:rsidR="003E13C4" w:rsidRPr="00C82205" w:rsidRDefault="003E13C4" w:rsidP="007E4DE4">
      <w:pPr>
        <w:pStyle w:val="NormalWeb"/>
        <w:numPr>
          <w:ilvl w:val="0"/>
          <w:numId w:val="11"/>
        </w:numPr>
        <w:spacing w:before="0"/>
        <w:ind w:left="720" w:hanging="720"/>
        <w:jc w:val="both"/>
        <w:rPr>
          <w:rFonts w:ascii="Arial" w:hAnsi="Arial" w:cs="Arial"/>
          <w:bCs/>
        </w:rPr>
      </w:pPr>
      <w:r w:rsidRPr="00C82205">
        <w:rPr>
          <w:rFonts w:ascii="Arial" w:hAnsi="Arial" w:cs="Arial"/>
        </w:rPr>
        <w:t>The billing function encompass</w:t>
      </w:r>
      <w:r>
        <w:rPr>
          <w:rFonts w:ascii="Arial" w:hAnsi="Arial" w:cs="Arial"/>
        </w:rPr>
        <w:t>es</w:t>
      </w:r>
      <w:r w:rsidRPr="00C82205">
        <w:rPr>
          <w:rFonts w:ascii="Arial" w:hAnsi="Arial" w:cs="Arial"/>
        </w:rPr>
        <w:t xml:space="preserve"> the directly related costs of labor, materials, computer hardware and software to create customer invoices, residential customer reports, distribute, and collect invoice payments electric bills for residential non-heating customers.</w:t>
      </w:r>
    </w:p>
    <w:p w14:paraId="07F2D59D" w14:textId="77777777" w:rsidR="003E13C4" w:rsidRPr="00C82205" w:rsidRDefault="003E13C4" w:rsidP="003E13C4">
      <w:pPr>
        <w:pStyle w:val="ListParagraph"/>
        <w:jc w:val="both"/>
        <w:rPr>
          <w:rStyle w:val="catchln"/>
          <w:rFonts w:cs="Arial"/>
          <w:b w:val="0"/>
          <w:color w:val="auto"/>
        </w:rPr>
      </w:pPr>
    </w:p>
    <w:p w14:paraId="09F9A614" w14:textId="77777777" w:rsidR="003E13C4" w:rsidRPr="00C82205" w:rsidRDefault="003E13C4" w:rsidP="007E4DE4">
      <w:pPr>
        <w:pStyle w:val="NormalWeb"/>
        <w:numPr>
          <w:ilvl w:val="0"/>
          <w:numId w:val="11"/>
        </w:numPr>
        <w:spacing w:before="0"/>
        <w:ind w:left="720" w:hanging="720"/>
        <w:jc w:val="both"/>
        <w:rPr>
          <w:rFonts w:ascii="Arial" w:hAnsi="Arial" w:cs="Arial"/>
          <w:bCs/>
        </w:rPr>
      </w:pPr>
      <w:r w:rsidRPr="00C82205">
        <w:rPr>
          <w:rFonts w:ascii="Arial" w:hAnsi="Arial" w:cs="Arial"/>
        </w:rPr>
        <w:t>Each of the EDCs</w:t>
      </w:r>
      <w:r>
        <w:rPr>
          <w:rFonts w:ascii="Arial" w:hAnsi="Arial" w:cs="Arial"/>
        </w:rPr>
        <w:t>’</w:t>
      </w:r>
      <w:r w:rsidRPr="00C82205">
        <w:rPr>
          <w:rFonts w:ascii="Arial" w:hAnsi="Arial" w:cs="Arial"/>
        </w:rPr>
        <w:t xml:space="preserve"> billing functions is unique in performing the statutory functions.</w:t>
      </w:r>
    </w:p>
    <w:p w14:paraId="49651007" w14:textId="77777777" w:rsidR="003E13C4" w:rsidRDefault="003E13C4" w:rsidP="003E13C4">
      <w:pPr>
        <w:pStyle w:val="ListParagraph"/>
        <w:jc w:val="both"/>
        <w:rPr>
          <w:rStyle w:val="catchln"/>
          <w:rFonts w:cs="Arial"/>
          <w:b w:val="0"/>
          <w:color w:val="auto"/>
        </w:rPr>
      </w:pPr>
    </w:p>
    <w:p w14:paraId="4524B050" w14:textId="77777777" w:rsidR="003E13C4" w:rsidRPr="00E86EC5" w:rsidRDefault="003E13C4" w:rsidP="007E4DE4">
      <w:pPr>
        <w:pStyle w:val="NormalWeb"/>
        <w:numPr>
          <w:ilvl w:val="0"/>
          <w:numId w:val="11"/>
        </w:numPr>
        <w:spacing w:before="0"/>
        <w:ind w:left="720" w:hanging="720"/>
        <w:jc w:val="both"/>
        <w:rPr>
          <w:rFonts w:ascii="Arial" w:hAnsi="Arial" w:cs="Arial"/>
          <w:bCs/>
        </w:rPr>
      </w:pPr>
      <w:r>
        <w:rPr>
          <w:rFonts w:ascii="Arial" w:hAnsi="Arial" w:cs="Arial"/>
        </w:rPr>
        <w:t>E</w:t>
      </w:r>
      <w:r w:rsidRPr="00C82205">
        <w:rPr>
          <w:rFonts w:ascii="Arial" w:hAnsi="Arial" w:cs="Arial"/>
        </w:rPr>
        <w:t>xternal resources are vital to perform and complete the billing function.</w:t>
      </w:r>
    </w:p>
    <w:p w14:paraId="314A0D1D" w14:textId="77777777" w:rsidR="00E86EC5" w:rsidRDefault="00E86EC5" w:rsidP="00E86EC5">
      <w:pPr>
        <w:pStyle w:val="ListParagraph"/>
        <w:rPr>
          <w:rFonts w:cs="Arial"/>
          <w:bCs/>
        </w:rPr>
      </w:pPr>
    </w:p>
    <w:p w14:paraId="532498AD" w14:textId="77777777" w:rsidR="003E13C4" w:rsidRPr="00C82205" w:rsidRDefault="003E13C4" w:rsidP="007E4DE4">
      <w:pPr>
        <w:pStyle w:val="NormalWeb"/>
        <w:numPr>
          <w:ilvl w:val="0"/>
          <w:numId w:val="11"/>
        </w:numPr>
        <w:spacing w:before="0"/>
        <w:ind w:left="720" w:hanging="720"/>
        <w:jc w:val="both"/>
        <w:rPr>
          <w:rFonts w:ascii="Arial" w:hAnsi="Arial" w:cs="Arial"/>
          <w:bCs/>
        </w:rPr>
      </w:pPr>
      <w:r>
        <w:rPr>
          <w:rFonts w:ascii="Arial" w:hAnsi="Arial" w:cs="Arial"/>
        </w:rPr>
        <w:t>T</w:t>
      </w:r>
      <w:r w:rsidRPr="00C82205">
        <w:rPr>
          <w:rFonts w:ascii="Arial" w:hAnsi="Arial" w:cs="Arial"/>
        </w:rPr>
        <w:t>he billing function exclude</w:t>
      </w:r>
      <w:r>
        <w:rPr>
          <w:rFonts w:ascii="Arial" w:hAnsi="Arial" w:cs="Arial"/>
        </w:rPr>
        <w:t>s</w:t>
      </w:r>
      <w:r w:rsidRPr="00C82205">
        <w:rPr>
          <w:rFonts w:ascii="Arial" w:hAnsi="Arial" w:cs="Arial"/>
        </w:rPr>
        <w:t xml:space="preserve"> the regulatory allowance for uncollectible expenses and revenue credits for late fees and returned checks.  </w:t>
      </w:r>
    </w:p>
    <w:p w14:paraId="3E01FB17" w14:textId="77777777" w:rsidR="003E13C4" w:rsidRDefault="003E13C4" w:rsidP="003E13C4">
      <w:pPr>
        <w:pStyle w:val="ListParagraph"/>
        <w:jc w:val="both"/>
        <w:rPr>
          <w:rStyle w:val="catchln"/>
          <w:rFonts w:cs="Arial"/>
          <w:b w:val="0"/>
          <w:color w:val="auto"/>
        </w:rPr>
      </w:pPr>
    </w:p>
    <w:p w14:paraId="6D0A7DD1" w14:textId="77777777" w:rsidR="003E13C4" w:rsidRPr="00C82205" w:rsidRDefault="003E13C4" w:rsidP="007E4DE4">
      <w:pPr>
        <w:pStyle w:val="NormalWeb"/>
        <w:numPr>
          <w:ilvl w:val="0"/>
          <w:numId w:val="11"/>
        </w:numPr>
        <w:spacing w:before="0"/>
        <w:ind w:left="720" w:hanging="720"/>
        <w:jc w:val="both"/>
        <w:rPr>
          <w:rFonts w:ascii="Arial" w:hAnsi="Arial" w:cs="Arial"/>
          <w:bCs/>
        </w:rPr>
      </w:pPr>
      <w:r>
        <w:rPr>
          <w:rFonts w:ascii="Arial" w:hAnsi="Arial" w:cs="Arial"/>
        </w:rPr>
        <w:t>S</w:t>
      </w:r>
      <w:r w:rsidRPr="00C82205">
        <w:rPr>
          <w:rFonts w:ascii="Arial" w:hAnsi="Arial" w:cs="Arial"/>
        </w:rPr>
        <w:t xml:space="preserve">ome of the costs associated with the billing function do not neatly fit into the </w:t>
      </w:r>
      <w:r>
        <w:rPr>
          <w:rFonts w:ascii="Arial" w:hAnsi="Arial" w:cs="Arial"/>
        </w:rPr>
        <w:t>FERC</w:t>
      </w:r>
      <w:r w:rsidRPr="00C82205">
        <w:rPr>
          <w:rFonts w:ascii="Arial" w:hAnsi="Arial" w:cs="Arial"/>
        </w:rPr>
        <w:t xml:space="preserve"> accounts.  </w:t>
      </w:r>
    </w:p>
    <w:p w14:paraId="46899A4F" w14:textId="77777777" w:rsidR="003E13C4" w:rsidRDefault="003E13C4" w:rsidP="003E13C4">
      <w:pPr>
        <w:pStyle w:val="ListParagraph"/>
        <w:jc w:val="both"/>
        <w:rPr>
          <w:rStyle w:val="catchln"/>
          <w:rFonts w:cs="Arial"/>
          <w:b w:val="0"/>
          <w:color w:val="auto"/>
        </w:rPr>
      </w:pPr>
    </w:p>
    <w:p w14:paraId="27F1AB62" w14:textId="77777777" w:rsidR="003E13C4" w:rsidRPr="00B55B38" w:rsidRDefault="003E13C4" w:rsidP="007E4DE4">
      <w:pPr>
        <w:pStyle w:val="NormalWeb"/>
        <w:numPr>
          <w:ilvl w:val="0"/>
          <w:numId w:val="11"/>
        </w:numPr>
        <w:spacing w:before="0"/>
        <w:ind w:left="720" w:hanging="720"/>
        <w:jc w:val="both"/>
        <w:rPr>
          <w:rFonts w:ascii="Arial" w:hAnsi="Arial" w:cs="Arial"/>
          <w:bCs/>
        </w:rPr>
      </w:pPr>
      <w:r>
        <w:rPr>
          <w:rFonts w:ascii="Arial" w:hAnsi="Arial" w:cs="Arial"/>
        </w:rPr>
        <w:lastRenderedPageBreak/>
        <w:t>T</w:t>
      </w:r>
      <w:r w:rsidRPr="00C82205">
        <w:rPr>
          <w:rFonts w:ascii="Arial" w:hAnsi="Arial" w:cs="Arial"/>
        </w:rPr>
        <w:t xml:space="preserve">he billing software that is unique to each of the EDCs is accounted for within the miscellaneous intangible plant </w:t>
      </w:r>
      <w:r>
        <w:rPr>
          <w:rFonts w:ascii="Arial" w:hAnsi="Arial" w:cs="Arial"/>
        </w:rPr>
        <w:t>FERC</w:t>
      </w:r>
      <w:r w:rsidRPr="00C82205">
        <w:rPr>
          <w:rFonts w:ascii="Arial" w:hAnsi="Arial" w:cs="Arial"/>
        </w:rPr>
        <w:t xml:space="preserve"> </w:t>
      </w:r>
      <w:r>
        <w:rPr>
          <w:rFonts w:ascii="Arial" w:hAnsi="Arial" w:cs="Arial"/>
        </w:rPr>
        <w:t xml:space="preserve">Account </w:t>
      </w:r>
      <w:r w:rsidRPr="00C82205">
        <w:rPr>
          <w:rFonts w:ascii="Arial" w:hAnsi="Arial" w:cs="Arial"/>
        </w:rPr>
        <w:t>303</w:t>
      </w:r>
      <w:r>
        <w:rPr>
          <w:rFonts w:ascii="Arial" w:hAnsi="Arial" w:cs="Arial"/>
        </w:rPr>
        <w:t>.</w:t>
      </w:r>
    </w:p>
    <w:p w14:paraId="7D488A8A" w14:textId="77777777" w:rsidR="003E13C4" w:rsidRDefault="003E13C4" w:rsidP="003E13C4">
      <w:pPr>
        <w:pStyle w:val="ListParagraph"/>
        <w:jc w:val="both"/>
        <w:rPr>
          <w:rStyle w:val="catchln"/>
          <w:rFonts w:cs="Arial"/>
          <w:b w:val="0"/>
          <w:color w:val="auto"/>
        </w:rPr>
      </w:pPr>
    </w:p>
    <w:p w14:paraId="62F7DC52" w14:textId="3D51AA9D" w:rsidR="003E13C4" w:rsidRPr="00B55B38" w:rsidRDefault="003E13C4" w:rsidP="007E4DE4">
      <w:pPr>
        <w:pStyle w:val="NormalWeb"/>
        <w:numPr>
          <w:ilvl w:val="0"/>
          <w:numId w:val="11"/>
        </w:numPr>
        <w:spacing w:before="0"/>
        <w:ind w:left="720" w:hanging="720"/>
        <w:jc w:val="both"/>
        <w:rPr>
          <w:rFonts w:ascii="Arial" w:hAnsi="Arial" w:cs="Arial"/>
          <w:bCs/>
        </w:rPr>
      </w:pPr>
      <w:r w:rsidRPr="00B55B38">
        <w:rPr>
          <w:rFonts w:ascii="Arial" w:hAnsi="Arial" w:cs="Arial"/>
        </w:rPr>
        <w:t>The EDCs cannot measure the amount of electric services consumed by its customers, generate and distribute invoices to the customers without the necessary tools to perform the billing function.</w:t>
      </w:r>
    </w:p>
    <w:p w14:paraId="59CC304C" w14:textId="77777777" w:rsidR="003E13C4" w:rsidRDefault="003E13C4" w:rsidP="003E13C4">
      <w:pPr>
        <w:pStyle w:val="ListParagraph"/>
        <w:jc w:val="both"/>
        <w:rPr>
          <w:rStyle w:val="catchln"/>
          <w:rFonts w:cs="Arial"/>
          <w:b w:val="0"/>
          <w:color w:val="auto"/>
        </w:rPr>
      </w:pPr>
    </w:p>
    <w:p w14:paraId="0965ACC7" w14:textId="77777777" w:rsidR="003E13C4" w:rsidRPr="00B55B38" w:rsidRDefault="003E13C4" w:rsidP="007E4DE4">
      <w:pPr>
        <w:pStyle w:val="NormalWeb"/>
        <w:numPr>
          <w:ilvl w:val="0"/>
          <w:numId w:val="11"/>
        </w:numPr>
        <w:spacing w:before="0"/>
        <w:ind w:left="720" w:hanging="720"/>
        <w:jc w:val="both"/>
        <w:rPr>
          <w:rFonts w:ascii="Arial" w:hAnsi="Arial" w:cs="Arial"/>
          <w:bCs/>
        </w:rPr>
      </w:pPr>
      <w:r>
        <w:rPr>
          <w:rFonts w:ascii="Arial" w:hAnsi="Arial" w:cs="Arial"/>
        </w:rPr>
        <w:t>T</w:t>
      </w:r>
      <w:r w:rsidRPr="00B55B38">
        <w:rPr>
          <w:rFonts w:ascii="Arial" w:hAnsi="Arial" w:cs="Arial"/>
        </w:rPr>
        <w:t xml:space="preserve">he billing system and the internal and external resources that work together to complete the billing function do not apply only to the residential customer class.  </w:t>
      </w:r>
    </w:p>
    <w:p w14:paraId="1CA2079E" w14:textId="77777777" w:rsidR="003E13C4" w:rsidRDefault="003E13C4" w:rsidP="003E13C4">
      <w:pPr>
        <w:pStyle w:val="ListParagraph"/>
        <w:jc w:val="both"/>
        <w:rPr>
          <w:rStyle w:val="catchln"/>
          <w:rFonts w:cs="Arial"/>
          <w:b w:val="0"/>
          <w:color w:val="auto"/>
        </w:rPr>
      </w:pPr>
    </w:p>
    <w:p w14:paraId="0F0AEA27" w14:textId="77777777" w:rsidR="003E13C4" w:rsidRPr="00B55B38" w:rsidRDefault="003E13C4" w:rsidP="007E4DE4">
      <w:pPr>
        <w:pStyle w:val="NormalWeb"/>
        <w:numPr>
          <w:ilvl w:val="0"/>
          <w:numId w:val="11"/>
        </w:numPr>
        <w:spacing w:before="0"/>
        <w:ind w:left="720" w:hanging="720"/>
        <w:jc w:val="both"/>
        <w:rPr>
          <w:rFonts w:ascii="Arial" w:hAnsi="Arial" w:cs="Arial"/>
          <w:bCs/>
        </w:rPr>
      </w:pPr>
      <w:r w:rsidRPr="00B55B38">
        <w:rPr>
          <w:rFonts w:ascii="Arial" w:hAnsi="Arial" w:cs="Arial"/>
        </w:rPr>
        <w:t>The billing system is a shared asset and expense among customer classes.</w:t>
      </w:r>
    </w:p>
    <w:p w14:paraId="30C5A506" w14:textId="77777777" w:rsidR="003E13C4" w:rsidRPr="00B55B38" w:rsidRDefault="003E13C4" w:rsidP="003E13C4">
      <w:pPr>
        <w:pStyle w:val="ListParagraph"/>
        <w:jc w:val="both"/>
        <w:rPr>
          <w:rStyle w:val="catchln"/>
          <w:rFonts w:cs="Arial"/>
          <w:b w:val="0"/>
          <w:color w:val="auto"/>
        </w:rPr>
      </w:pPr>
    </w:p>
    <w:p w14:paraId="476FA250" w14:textId="77777777" w:rsidR="003E13C4" w:rsidRPr="00A55C60" w:rsidRDefault="003E13C4" w:rsidP="007E4DE4">
      <w:pPr>
        <w:pStyle w:val="NormalWeb"/>
        <w:numPr>
          <w:ilvl w:val="0"/>
          <w:numId w:val="11"/>
        </w:numPr>
        <w:spacing w:before="0"/>
        <w:ind w:left="720" w:hanging="720"/>
        <w:jc w:val="both"/>
        <w:rPr>
          <w:rFonts w:ascii="Arial" w:hAnsi="Arial" w:cs="Arial"/>
          <w:bCs/>
        </w:rPr>
      </w:pPr>
      <w:r w:rsidRPr="00A55C60">
        <w:rPr>
          <w:rFonts w:ascii="Arial" w:hAnsi="Arial" w:cs="Arial"/>
          <w:color w:val="000000" w:themeColor="text1"/>
        </w:rPr>
        <w:t xml:space="preserve">Late fees and returned check fees are similar in nature because of the labor that is required to perform the collection related activities associated with uncollectible amounts.  </w:t>
      </w:r>
    </w:p>
    <w:p w14:paraId="20B2A717" w14:textId="77777777" w:rsidR="003E13C4" w:rsidRDefault="003E13C4" w:rsidP="003E13C4">
      <w:pPr>
        <w:pStyle w:val="ListParagraph"/>
        <w:jc w:val="both"/>
        <w:rPr>
          <w:rStyle w:val="catchln"/>
          <w:rFonts w:cs="Arial"/>
          <w:b w:val="0"/>
          <w:color w:val="auto"/>
        </w:rPr>
      </w:pPr>
    </w:p>
    <w:p w14:paraId="00C0D089" w14:textId="231DCD90" w:rsidR="003E13C4" w:rsidRPr="00340230" w:rsidRDefault="003E13C4" w:rsidP="007E4DE4">
      <w:pPr>
        <w:pStyle w:val="NormalWeb"/>
        <w:numPr>
          <w:ilvl w:val="0"/>
          <w:numId w:val="11"/>
        </w:numPr>
        <w:spacing w:before="0"/>
        <w:ind w:left="720" w:hanging="720"/>
        <w:jc w:val="both"/>
        <w:rPr>
          <w:rFonts w:ascii="Arial" w:hAnsi="Arial" w:cs="Arial"/>
          <w:bCs/>
        </w:rPr>
      </w:pPr>
      <w:r w:rsidRPr="00A55C60">
        <w:rPr>
          <w:rFonts w:ascii="Arial" w:hAnsi="Arial" w:cs="Arial"/>
          <w:color w:val="000000" w:themeColor="text1"/>
        </w:rPr>
        <w:t xml:space="preserve">Other than the collection related activities that produce the uncollectible amounts there is no correlation between uncollectible accounts and late fees and returned check fees.  </w:t>
      </w:r>
    </w:p>
    <w:p w14:paraId="022B430F" w14:textId="77777777" w:rsidR="00340230" w:rsidRDefault="00340230" w:rsidP="00340230">
      <w:pPr>
        <w:pStyle w:val="ListParagraph"/>
        <w:rPr>
          <w:rFonts w:cs="Arial"/>
          <w:bCs/>
        </w:rPr>
      </w:pPr>
    </w:p>
    <w:p w14:paraId="06371D8E" w14:textId="77777777" w:rsidR="003E13C4" w:rsidRPr="002B116D" w:rsidRDefault="003E13C4" w:rsidP="007E4DE4">
      <w:pPr>
        <w:pStyle w:val="NormalWeb"/>
        <w:numPr>
          <w:ilvl w:val="0"/>
          <w:numId w:val="11"/>
        </w:numPr>
        <w:spacing w:before="0"/>
        <w:ind w:left="720" w:hanging="720"/>
        <w:jc w:val="both"/>
        <w:rPr>
          <w:rFonts w:ascii="Arial" w:hAnsi="Arial" w:cs="Arial"/>
          <w:bCs/>
        </w:rPr>
      </w:pPr>
      <w:r w:rsidRPr="002B116D">
        <w:rPr>
          <w:rFonts w:ascii="Arial" w:hAnsi="Arial" w:cs="Arial"/>
        </w:rPr>
        <w:t xml:space="preserve">Customer service provisioning begins with a customer initiating contact with its EDC regarding their electric services.  </w:t>
      </w:r>
    </w:p>
    <w:p w14:paraId="0B758274" w14:textId="77777777" w:rsidR="003E13C4" w:rsidRDefault="003E13C4" w:rsidP="003E13C4">
      <w:pPr>
        <w:pStyle w:val="ListParagraph"/>
        <w:jc w:val="both"/>
        <w:rPr>
          <w:rStyle w:val="catchln"/>
          <w:rFonts w:cs="Arial"/>
          <w:b w:val="0"/>
          <w:color w:val="auto"/>
        </w:rPr>
      </w:pPr>
    </w:p>
    <w:p w14:paraId="361A496D" w14:textId="77299239" w:rsidR="003E13C4" w:rsidRPr="002B116D" w:rsidRDefault="003E13C4" w:rsidP="007E4DE4">
      <w:pPr>
        <w:pStyle w:val="NormalWeb"/>
        <w:numPr>
          <w:ilvl w:val="0"/>
          <w:numId w:val="11"/>
        </w:numPr>
        <w:spacing w:before="0"/>
        <w:ind w:left="720" w:hanging="720"/>
        <w:jc w:val="both"/>
        <w:rPr>
          <w:rFonts w:ascii="Arial" w:hAnsi="Arial" w:cs="Arial"/>
          <w:bCs/>
        </w:rPr>
      </w:pPr>
      <w:r>
        <w:rPr>
          <w:rFonts w:ascii="Arial" w:hAnsi="Arial" w:cs="Arial"/>
        </w:rPr>
        <w:t>It is necessary to distinguish</w:t>
      </w:r>
      <w:r w:rsidRPr="002B116D">
        <w:rPr>
          <w:rFonts w:ascii="Arial" w:hAnsi="Arial" w:cs="Arial"/>
        </w:rPr>
        <w:t xml:space="preserve"> customer </w:t>
      </w:r>
      <w:r>
        <w:rPr>
          <w:rFonts w:ascii="Arial" w:hAnsi="Arial" w:cs="Arial"/>
        </w:rPr>
        <w:t xml:space="preserve">service </w:t>
      </w:r>
      <w:r w:rsidRPr="002B116D">
        <w:rPr>
          <w:rFonts w:ascii="Arial" w:hAnsi="Arial" w:cs="Arial"/>
        </w:rPr>
        <w:t xml:space="preserve">activities from other tasks such as, sales, advertising, final bill collection, or provisioning the electric distribution system as these tasks are not directly related to the statutory function of the provision of customer service.  </w:t>
      </w:r>
    </w:p>
    <w:p w14:paraId="297FB0C2" w14:textId="77777777" w:rsidR="003E13C4" w:rsidRPr="002B116D" w:rsidRDefault="003E13C4" w:rsidP="003E13C4">
      <w:pPr>
        <w:pStyle w:val="ListParagraph"/>
        <w:jc w:val="both"/>
        <w:rPr>
          <w:rStyle w:val="catchln"/>
          <w:rFonts w:cs="Arial"/>
          <w:b w:val="0"/>
          <w:color w:val="auto"/>
        </w:rPr>
      </w:pPr>
    </w:p>
    <w:p w14:paraId="22ACC8B0" w14:textId="77777777" w:rsidR="003E13C4" w:rsidRPr="002B116D" w:rsidRDefault="003E13C4" w:rsidP="007E4DE4">
      <w:pPr>
        <w:pStyle w:val="NormalWeb"/>
        <w:numPr>
          <w:ilvl w:val="0"/>
          <w:numId w:val="11"/>
        </w:numPr>
        <w:spacing w:before="0"/>
        <w:ind w:left="720" w:hanging="720"/>
        <w:jc w:val="both"/>
        <w:rPr>
          <w:rFonts w:ascii="Arial" w:hAnsi="Arial" w:cs="Arial"/>
          <w:bCs/>
        </w:rPr>
      </w:pPr>
      <w:r>
        <w:rPr>
          <w:rFonts w:ascii="Arial" w:hAnsi="Arial" w:cs="Arial"/>
        </w:rPr>
        <w:t xml:space="preserve">The </w:t>
      </w:r>
      <w:r w:rsidRPr="002B116D">
        <w:rPr>
          <w:rFonts w:ascii="Arial" w:hAnsi="Arial" w:cs="Arial"/>
        </w:rPr>
        <w:t>provision of customer service include</w:t>
      </w:r>
      <w:r>
        <w:rPr>
          <w:rFonts w:ascii="Arial" w:hAnsi="Arial" w:cs="Arial"/>
        </w:rPr>
        <w:t>s</w:t>
      </w:r>
      <w:r w:rsidRPr="002B116D">
        <w:rPr>
          <w:rFonts w:ascii="Arial" w:hAnsi="Arial" w:cs="Arial"/>
        </w:rPr>
        <w:t xml:space="preserve"> the costs for outside services, computer hardware and software, materials and labor required to provision ordering service for connections and disconnections, processing credits and payments, customer inquiries regarding invoicing and account balances, electric service prices and outage reporting.</w:t>
      </w:r>
    </w:p>
    <w:p w14:paraId="599BC2FB" w14:textId="77777777" w:rsidR="003E13C4" w:rsidRDefault="003E13C4" w:rsidP="003E13C4">
      <w:pPr>
        <w:pStyle w:val="ListParagraph"/>
        <w:jc w:val="both"/>
        <w:rPr>
          <w:rStyle w:val="catchln"/>
          <w:rFonts w:cs="Arial"/>
          <w:b w:val="0"/>
          <w:color w:val="auto"/>
        </w:rPr>
      </w:pPr>
    </w:p>
    <w:p w14:paraId="4793F61E" w14:textId="77777777" w:rsidR="003E13C4" w:rsidRPr="002B116D" w:rsidRDefault="003E13C4" w:rsidP="007E4DE4">
      <w:pPr>
        <w:pStyle w:val="NormalWeb"/>
        <w:numPr>
          <w:ilvl w:val="0"/>
          <w:numId w:val="11"/>
        </w:numPr>
        <w:spacing w:before="0"/>
        <w:ind w:left="720" w:hanging="720"/>
        <w:jc w:val="both"/>
        <w:rPr>
          <w:rFonts w:ascii="Arial" w:hAnsi="Arial" w:cs="Arial"/>
          <w:bCs/>
        </w:rPr>
      </w:pPr>
      <w:r>
        <w:rPr>
          <w:rFonts w:ascii="Arial" w:hAnsi="Arial" w:cs="Arial"/>
        </w:rPr>
        <w:t>T</w:t>
      </w:r>
      <w:r w:rsidRPr="002B116D">
        <w:rPr>
          <w:rFonts w:ascii="Arial" w:hAnsi="Arial" w:cs="Arial"/>
        </w:rPr>
        <w:t xml:space="preserve">he EDCs’ business activities are all integral to the metering functions.  </w:t>
      </w:r>
    </w:p>
    <w:p w14:paraId="1255BC0F" w14:textId="77777777" w:rsidR="003E13C4" w:rsidRDefault="003E13C4" w:rsidP="003E13C4">
      <w:pPr>
        <w:pStyle w:val="ListParagraph"/>
        <w:jc w:val="both"/>
        <w:rPr>
          <w:rStyle w:val="catchln"/>
          <w:rFonts w:cs="Arial"/>
          <w:b w:val="0"/>
          <w:color w:val="auto"/>
        </w:rPr>
      </w:pPr>
    </w:p>
    <w:p w14:paraId="7E1C5925" w14:textId="77777777" w:rsidR="003E13C4" w:rsidRPr="00044B10" w:rsidRDefault="003E13C4" w:rsidP="007E4DE4">
      <w:pPr>
        <w:pStyle w:val="NormalWeb"/>
        <w:numPr>
          <w:ilvl w:val="0"/>
          <w:numId w:val="11"/>
        </w:numPr>
        <w:spacing w:before="0"/>
        <w:ind w:left="720" w:hanging="720"/>
        <w:jc w:val="both"/>
        <w:rPr>
          <w:rFonts w:ascii="Arial" w:hAnsi="Arial" w:cs="Arial"/>
          <w:bCs/>
        </w:rPr>
      </w:pPr>
      <w:r>
        <w:rPr>
          <w:rFonts w:ascii="Arial" w:hAnsi="Arial" w:cs="Arial"/>
        </w:rPr>
        <w:t>C</w:t>
      </w:r>
      <w:r w:rsidRPr="00044B10">
        <w:rPr>
          <w:rFonts w:ascii="Arial" w:hAnsi="Arial" w:cs="Arial"/>
        </w:rPr>
        <w:t>osts associated with measuring the electricity delivered to residential non</w:t>
      </w:r>
      <w:r w:rsidRPr="00044B10">
        <w:rPr>
          <w:rFonts w:ascii="Arial" w:hAnsi="Arial" w:cs="Arial"/>
        </w:rPr>
        <w:noBreakHyphen/>
        <w:t>heating customers are directly related to performing the metering function.</w:t>
      </w:r>
    </w:p>
    <w:p w14:paraId="2094EE82" w14:textId="77777777" w:rsidR="003E13C4" w:rsidRDefault="003E13C4" w:rsidP="003E13C4">
      <w:pPr>
        <w:pStyle w:val="ListParagraph"/>
        <w:jc w:val="both"/>
        <w:rPr>
          <w:rStyle w:val="catchln"/>
          <w:rFonts w:cs="Arial"/>
          <w:b w:val="0"/>
          <w:color w:val="auto"/>
        </w:rPr>
      </w:pPr>
    </w:p>
    <w:p w14:paraId="0C8EB3B1" w14:textId="484F4267" w:rsidR="003E13C4" w:rsidRPr="00044B10" w:rsidRDefault="003E13C4" w:rsidP="007E4DE4">
      <w:pPr>
        <w:pStyle w:val="NormalWeb"/>
        <w:numPr>
          <w:ilvl w:val="0"/>
          <w:numId w:val="11"/>
        </w:numPr>
        <w:spacing w:before="0"/>
        <w:ind w:left="720" w:hanging="720"/>
        <w:jc w:val="both"/>
        <w:rPr>
          <w:rFonts w:ascii="Arial" w:hAnsi="Arial" w:cs="Arial"/>
          <w:bCs/>
        </w:rPr>
      </w:pPr>
      <w:r>
        <w:rPr>
          <w:rFonts w:ascii="Arial" w:hAnsi="Arial" w:cs="Arial"/>
        </w:rPr>
        <w:t>E</w:t>
      </w:r>
      <w:r w:rsidRPr="00044B10">
        <w:rPr>
          <w:rFonts w:ascii="Arial" w:hAnsi="Arial" w:cs="Arial"/>
        </w:rPr>
        <w:t>quipment costs that fall under the meter</w:t>
      </w:r>
      <w:r w:rsidR="00340230">
        <w:rPr>
          <w:rFonts w:ascii="Arial" w:hAnsi="Arial" w:cs="Arial"/>
        </w:rPr>
        <w:t>ing</w:t>
      </w:r>
      <w:r w:rsidRPr="00044B10">
        <w:rPr>
          <w:rFonts w:ascii="Arial" w:hAnsi="Arial" w:cs="Arial"/>
        </w:rPr>
        <w:t xml:space="preserve"> titles within the USOA are directly related to metering.  </w:t>
      </w:r>
    </w:p>
    <w:p w14:paraId="59904532" w14:textId="77777777" w:rsidR="003E13C4" w:rsidRDefault="003E13C4" w:rsidP="003E13C4">
      <w:pPr>
        <w:pStyle w:val="ListParagraph"/>
        <w:jc w:val="both"/>
        <w:rPr>
          <w:rStyle w:val="catchln"/>
          <w:rFonts w:cs="Arial"/>
          <w:b w:val="0"/>
          <w:color w:val="auto"/>
        </w:rPr>
      </w:pPr>
    </w:p>
    <w:p w14:paraId="0EBB7C57" w14:textId="77777777" w:rsidR="003E13C4" w:rsidRPr="00044B10" w:rsidRDefault="003E13C4" w:rsidP="007E4DE4">
      <w:pPr>
        <w:pStyle w:val="NormalWeb"/>
        <w:numPr>
          <w:ilvl w:val="0"/>
          <w:numId w:val="11"/>
        </w:numPr>
        <w:spacing w:before="0"/>
        <w:ind w:left="720" w:hanging="720"/>
        <w:jc w:val="both"/>
        <w:rPr>
          <w:rFonts w:ascii="Arial" w:hAnsi="Arial" w:cs="Arial"/>
          <w:bCs/>
        </w:rPr>
      </w:pPr>
      <w:r>
        <w:rPr>
          <w:rFonts w:ascii="Arial" w:hAnsi="Arial" w:cs="Arial"/>
        </w:rPr>
        <w:t>B</w:t>
      </w:r>
      <w:r w:rsidRPr="00044B10">
        <w:rPr>
          <w:rFonts w:ascii="Arial" w:hAnsi="Arial" w:cs="Arial"/>
        </w:rPr>
        <w:t>ased on the USOA requirements, the software expenses associated with metering do not fall under a corresponding account with meter title.</w:t>
      </w:r>
    </w:p>
    <w:p w14:paraId="499DBBAB" w14:textId="77777777" w:rsidR="003E13C4" w:rsidRDefault="003E13C4" w:rsidP="003E13C4">
      <w:pPr>
        <w:pStyle w:val="ListParagraph"/>
        <w:jc w:val="both"/>
        <w:rPr>
          <w:rStyle w:val="catchln"/>
          <w:rFonts w:cs="Arial"/>
          <w:b w:val="0"/>
          <w:color w:val="auto"/>
        </w:rPr>
      </w:pPr>
    </w:p>
    <w:p w14:paraId="43357373" w14:textId="77777777" w:rsidR="003E13C4" w:rsidRPr="00044B10" w:rsidRDefault="003E13C4" w:rsidP="007E4DE4">
      <w:pPr>
        <w:pStyle w:val="NormalWeb"/>
        <w:numPr>
          <w:ilvl w:val="0"/>
          <w:numId w:val="11"/>
        </w:numPr>
        <w:spacing w:before="0"/>
        <w:ind w:left="720" w:hanging="720"/>
        <w:jc w:val="both"/>
        <w:rPr>
          <w:rFonts w:ascii="Arial" w:hAnsi="Arial" w:cs="Arial"/>
          <w:bCs/>
        </w:rPr>
      </w:pPr>
      <w:r>
        <w:rPr>
          <w:rFonts w:ascii="Arial" w:hAnsi="Arial" w:cs="Arial"/>
        </w:rPr>
        <w:t>T</w:t>
      </w:r>
      <w:r w:rsidRPr="00044B10">
        <w:rPr>
          <w:rFonts w:ascii="Arial" w:hAnsi="Arial" w:cs="Arial"/>
        </w:rPr>
        <w:t>he statutory service connection function refers to the service line or drop that connects the network distribution system to the customer’s facilities.</w:t>
      </w:r>
    </w:p>
    <w:p w14:paraId="5E1AE2A4" w14:textId="77777777" w:rsidR="00340230" w:rsidRDefault="00340230" w:rsidP="00AF2983">
      <w:pPr>
        <w:pStyle w:val="ListParagraph"/>
        <w:jc w:val="both"/>
        <w:rPr>
          <w:rStyle w:val="catchln"/>
          <w:rFonts w:cs="Arial"/>
          <w:b w:val="0"/>
          <w:color w:val="auto"/>
        </w:rPr>
      </w:pPr>
    </w:p>
    <w:p w14:paraId="754D7CB6" w14:textId="60969D01" w:rsidR="003E13C4" w:rsidRPr="00FA6FCE" w:rsidRDefault="003E13C4" w:rsidP="007E4DE4">
      <w:pPr>
        <w:pStyle w:val="NormalWeb"/>
        <w:numPr>
          <w:ilvl w:val="0"/>
          <w:numId w:val="11"/>
        </w:numPr>
        <w:spacing w:before="0"/>
        <w:ind w:left="720" w:hanging="720"/>
        <w:jc w:val="both"/>
        <w:rPr>
          <w:rFonts w:ascii="Arial" w:hAnsi="Arial" w:cs="Arial"/>
          <w:bCs/>
        </w:rPr>
      </w:pPr>
      <w:r>
        <w:rPr>
          <w:rFonts w:ascii="Arial" w:hAnsi="Arial" w:cs="Arial"/>
          <w:bCs/>
          <w:iCs/>
        </w:rPr>
        <w:lastRenderedPageBreak/>
        <w:t>T</w:t>
      </w:r>
      <w:r w:rsidRPr="00FA6FCE">
        <w:rPr>
          <w:rFonts w:ascii="Arial" w:hAnsi="Arial" w:cs="Arial"/>
          <w:bCs/>
          <w:iCs/>
        </w:rPr>
        <w:t>he one-to-one relationship for network plant for the service connection and metering statutory functions provides a reasonable guideline to determine includable plant and expenses for these functions</w:t>
      </w:r>
      <w:r>
        <w:rPr>
          <w:rFonts w:ascii="Arial" w:hAnsi="Arial" w:cs="Arial"/>
          <w:bCs/>
          <w:iCs/>
        </w:rPr>
        <w:t>.</w:t>
      </w:r>
    </w:p>
    <w:p w14:paraId="38B654DE" w14:textId="77777777" w:rsidR="003E13C4" w:rsidRDefault="003E13C4" w:rsidP="003E13C4">
      <w:pPr>
        <w:pStyle w:val="ListParagraph"/>
        <w:jc w:val="both"/>
        <w:rPr>
          <w:rStyle w:val="catchln"/>
          <w:rFonts w:cs="Arial"/>
          <w:b w:val="0"/>
          <w:color w:val="auto"/>
        </w:rPr>
      </w:pPr>
    </w:p>
    <w:p w14:paraId="45E2A124" w14:textId="010B2760" w:rsidR="003E13C4" w:rsidRPr="00FA6FCE" w:rsidRDefault="003E13C4" w:rsidP="007E4DE4">
      <w:pPr>
        <w:pStyle w:val="NormalWeb"/>
        <w:numPr>
          <w:ilvl w:val="0"/>
          <w:numId w:val="11"/>
        </w:numPr>
        <w:spacing w:before="0"/>
        <w:ind w:left="720" w:hanging="720"/>
        <w:jc w:val="both"/>
        <w:rPr>
          <w:rFonts w:ascii="Arial" w:hAnsi="Arial" w:cs="Arial"/>
          <w:bCs/>
        </w:rPr>
      </w:pPr>
      <w:r>
        <w:rPr>
          <w:rFonts w:ascii="Arial" w:hAnsi="Arial" w:cs="Arial"/>
          <w:bCs/>
          <w:iCs/>
        </w:rPr>
        <w:t>T</w:t>
      </w:r>
      <w:r w:rsidRPr="00FA6FCE">
        <w:rPr>
          <w:rFonts w:ascii="Arial" w:hAnsi="Arial" w:cs="Arial"/>
          <w:bCs/>
          <w:iCs/>
        </w:rPr>
        <w:t xml:space="preserve">he service connection function </w:t>
      </w:r>
      <w:r w:rsidR="00C649FD">
        <w:rPr>
          <w:rFonts w:ascii="Arial" w:hAnsi="Arial" w:cs="Arial"/>
          <w:bCs/>
          <w:iCs/>
        </w:rPr>
        <w:t>refers to</w:t>
      </w:r>
      <w:r w:rsidRPr="00FA6FCE">
        <w:rPr>
          <w:rFonts w:ascii="Arial" w:hAnsi="Arial" w:cs="Arial"/>
          <w:bCs/>
          <w:iCs/>
        </w:rPr>
        <w:t xml:space="preserve"> the installation and maintenance of service drops.</w:t>
      </w:r>
    </w:p>
    <w:p w14:paraId="224CA969" w14:textId="77777777" w:rsidR="003E13C4" w:rsidRDefault="003E13C4" w:rsidP="003E13C4">
      <w:pPr>
        <w:pStyle w:val="ListParagraph"/>
        <w:jc w:val="both"/>
        <w:rPr>
          <w:rStyle w:val="catchln"/>
          <w:rFonts w:cs="Arial"/>
          <w:b w:val="0"/>
          <w:color w:val="auto"/>
        </w:rPr>
      </w:pPr>
    </w:p>
    <w:p w14:paraId="720BF7FC" w14:textId="77777777" w:rsidR="003E13C4" w:rsidRDefault="003E13C4" w:rsidP="007E4DE4">
      <w:pPr>
        <w:pStyle w:val="NormalWeb"/>
        <w:numPr>
          <w:ilvl w:val="0"/>
          <w:numId w:val="11"/>
        </w:numPr>
        <w:spacing w:before="0"/>
        <w:ind w:left="720" w:hanging="720"/>
        <w:jc w:val="both"/>
        <w:rPr>
          <w:rFonts w:ascii="Arial" w:hAnsi="Arial" w:cs="Arial"/>
          <w:bCs/>
          <w:iCs/>
        </w:rPr>
      </w:pPr>
      <w:r w:rsidRPr="00FA6FCE">
        <w:rPr>
          <w:rFonts w:ascii="Arial" w:hAnsi="Arial" w:cs="Arial"/>
          <w:bCs/>
          <w:iCs/>
        </w:rPr>
        <w:t>The service connection function is the directly related costs of labor, materials and software required to install, and maintain the service connection (service drop or service line) for residential non</w:t>
      </w:r>
      <w:r w:rsidRPr="00FA6FCE">
        <w:rPr>
          <w:rFonts w:ascii="Arial" w:hAnsi="Arial" w:cs="Arial"/>
          <w:bCs/>
          <w:iCs/>
        </w:rPr>
        <w:noBreakHyphen/>
        <w:t xml:space="preserve">heating customers.  </w:t>
      </w:r>
    </w:p>
    <w:p w14:paraId="50356C64" w14:textId="77777777" w:rsidR="003E13C4" w:rsidRDefault="003E13C4" w:rsidP="003E13C4">
      <w:pPr>
        <w:pStyle w:val="ListParagraph"/>
        <w:jc w:val="both"/>
        <w:rPr>
          <w:rFonts w:cs="Arial"/>
          <w:bCs/>
          <w:iCs/>
        </w:rPr>
      </w:pPr>
    </w:p>
    <w:p w14:paraId="164B3A28" w14:textId="77777777" w:rsidR="003E13C4" w:rsidRPr="00FA6FCE"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T</w:t>
      </w:r>
      <w:r w:rsidRPr="00FA6FCE">
        <w:rPr>
          <w:rFonts w:ascii="Arial" w:hAnsi="Arial" w:cs="Arial"/>
        </w:rPr>
        <w:t xml:space="preserve">he </w:t>
      </w:r>
      <w:r>
        <w:rPr>
          <w:rFonts w:ascii="Arial" w:hAnsi="Arial" w:cs="Arial"/>
        </w:rPr>
        <w:t>FERC</w:t>
      </w:r>
      <w:r w:rsidRPr="00FA6FCE">
        <w:rPr>
          <w:rFonts w:ascii="Arial" w:hAnsi="Arial" w:cs="Arial"/>
        </w:rPr>
        <w:t xml:space="preserve"> accounts do not have account titles delineated for each of the statutory functions.  </w:t>
      </w:r>
    </w:p>
    <w:p w14:paraId="5F02C774" w14:textId="77777777" w:rsidR="003E13C4" w:rsidRDefault="003E13C4" w:rsidP="003E13C4">
      <w:pPr>
        <w:pStyle w:val="ListParagraph"/>
        <w:jc w:val="both"/>
        <w:rPr>
          <w:rFonts w:cs="Arial"/>
          <w:color w:val="000000"/>
        </w:rPr>
      </w:pPr>
    </w:p>
    <w:p w14:paraId="08AA8C74" w14:textId="77777777" w:rsidR="003E13C4" w:rsidRPr="00FA6FCE" w:rsidRDefault="003E13C4" w:rsidP="007E4DE4">
      <w:pPr>
        <w:pStyle w:val="NormalWeb"/>
        <w:numPr>
          <w:ilvl w:val="0"/>
          <w:numId w:val="11"/>
        </w:numPr>
        <w:spacing w:before="0"/>
        <w:ind w:left="720" w:hanging="720"/>
        <w:jc w:val="both"/>
        <w:rPr>
          <w:rFonts w:ascii="Arial" w:hAnsi="Arial" w:cs="Arial"/>
          <w:color w:val="000000"/>
        </w:rPr>
      </w:pPr>
      <w:r w:rsidRPr="00FA6FCE">
        <w:rPr>
          <w:rFonts w:ascii="Arial" w:hAnsi="Arial" w:cs="Arial"/>
        </w:rPr>
        <w:t xml:space="preserve">Direct cost assignments require the Companies to perform a granular examination of individual assets used and expenses incurred that are directly related to the statutory functions.  </w:t>
      </w:r>
    </w:p>
    <w:p w14:paraId="11DAF36B" w14:textId="77777777" w:rsidR="003E13C4" w:rsidRDefault="003E13C4" w:rsidP="003E13C4">
      <w:pPr>
        <w:pStyle w:val="ListParagraph"/>
        <w:jc w:val="both"/>
        <w:rPr>
          <w:rFonts w:cs="Arial"/>
          <w:color w:val="000000"/>
        </w:rPr>
      </w:pPr>
    </w:p>
    <w:p w14:paraId="17B908F8" w14:textId="77777777" w:rsidR="003E13C4" w:rsidRPr="00FA6FCE"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T</w:t>
      </w:r>
      <w:r w:rsidRPr="00FA6FCE">
        <w:rPr>
          <w:rFonts w:ascii="Arial" w:hAnsi="Arial" w:cs="Arial"/>
        </w:rPr>
        <w:t>he direct assignment methodology presents an avenue to develop the MRCC calculation to cure these limitations.</w:t>
      </w:r>
    </w:p>
    <w:p w14:paraId="3099D54E" w14:textId="77777777" w:rsidR="003E13C4" w:rsidRDefault="003E13C4" w:rsidP="003E13C4">
      <w:pPr>
        <w:pStyle w:val="ListParagraph"/>
        <w:jc w:val="both"/>
        <w:rPr>
          <w:rFonts w:cs="Arial"/>
          <w:color w:val="000000"/>
        </w:rPr>
      </w:pPr>
    </w:p>
    <w:p w14:paraId="1898E88E" w14:textId="77777777" w:rsidR="003E13C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color w:val="000000"/>
        </w:rPr>
        <w:t>T</w:t>
      </w:r>
      <w:r w:rsidRPr="00001DFB">
        <w:rPr>
          <w:rFonts w:ascii="Arial" w:hAnsi="Arial" w:cs="Arial"/>
          <w:color w:val="000000"/>
        </w:rPr>
        <w:t xml:space="preserve">here are accounts where the </w:t>
      </w:r>
      <w:r>
        <w:rPr>
          <w:rFonts w:ascii="Arial" w:hAnsi="Arial" w:cs="Arial"/>
          <w:color w:val="000000"/>
        </w:rPr>
        <w:t>FERC</w:t>
      </w:r>
      <w:r w:rsidRPr="00001DFB">
        <w:rPr>
          <w:rFonts w:ascii="Arial" w:hAnsi="Arial" w:cs="Arial"/>
          <w:color w:val="000000"/>
        </w:rPr>
        <w:t xml:space="preserve"> account description clearly</w:t>
      </w:r>
      <w:r w:rsidRPr="00001DFB">
        <w:rPr>
          <w:rFonts w:ascii="Arial" w:hAnsi="Arial" w:cs="Arial"/>
          <w:b/>
          <w:color w:val="000000"/>
        </w:rPr>
        <w:t xml:space="preserve"> </w:t>
      </w:r>
      <w:r w:rsidRPr="00001DFB">
        <w:rPr>
          <w:rFonts w:ascii="Arial" w:hAnsi="Arial" w:cs="Arial"/>
          <w:color w:val="000000"/>
        </w:rPr>
        <w:t xml:space="preserve">applies to one or more of the four statutory functions.  </w:t>
      </w:r>
    </w:p>
    <w:p w14:paraId="3D1E538C" w14:textId="77777777" w:rsidR="003E13C4" w:rsidRDefault="003E13C4" w:rsidP="003E13C4">
      <w:pPr>
        <w:pStyle w:val="ListParagraph"/>
        <w:jc w:val="both"/>
        <w:rPr>
          <w:rFonts w:cs="Arial"/>
          <w:color w:val="000000"/>
        </w:rPr>
      </w:pPr>
    </w:p>
    <w:p w14:paraId="4F77F208" w14:textId="77777777" w:rsidR="003E13C4" w:rsidRDefault="003E13C4" w:rsidP="007E4DE4">
      <w:pPr>
        <w:pStyle w:val="NormalWeb"/>
        <w:numPr>
          <w:ilvl w:val="0"/>
          <w:numId w:val="11"/>
        </w:numPr>
        <w:spacing w:before="0"/>
        <w:ind w:left="720" w:hanging="720"/>
        <w:jc w:val="both"/>
        <w:rPr>
          <w:rFonts w:ascii="Arial" w:hAnsi="Arial" w:cs="Arial"/>
          <w:color w:val="000000"/>
        </w:rPr>
      </w:pPr>
      <w:r w:rsidRPr="00001DFB">
        <w:rPr>
          <w:rFonts w:ascii="Arial" w:hAnsi="Arial" w:cs="Arial"/>
          <w:color w:val="000000"/>
        </w:rPr>
        <w:t xml:space="preserve">There are accounts where the </w:t>
      </w:r>
      <w:r>
        <w:rPr>
          <w:rFonts w:ascii="Arial" w:hAnsi="Arial" w:cs="Arial"/>
          <w:color w:val="000000"/>
        </w:rPr>
        <w:t>FERC</w:t>
      </w:r>
      <w:r w:rsidRPr="00001DFB">
        <w:rPr>
          <w:rFonts w:ascii="Arial" w:hAnsi="Arial" w:cs="Arial"/>
          <w:color w:val="000000"/>
        </w:rPr>
        <w:t xml:space="preserve"> account description does not clearly apply to any of the four statutory functions but costs within those </w:t>
      </w:r>
      <w:r>
        <w:rPr>
          <w:rFonts w:ascii="Arial" w:hAnsi="Arial" w:cs="Arial"/>
          <w:color w:val="000000"/>
        </w:rPr>
        <w:t>FERC</w:t>
      </w:r>
      <w:r w:rsidRPr="00001DFB">
        <w:rPr>
          <w:rFonts w:ascii="Arial" w:hAnsi="Arial" w:cs="Arial"/>
          <w:color w:val="000000"/>
        </w:rPr>
        <w:t xml:space="preserve"> accounts are necessary for the provision of one or more of these functions.  </w:t>
      </w:r>
    </w:p>
    <w:p w14:paraId="478D0462" w14:textId="77777777" w:rsidR="003E13C4" w:rsidRDefault="003E13C4" w:rsidP="003E13C4">
      <w:pPr>
        <w:pStyle w:val="ListParagraph"/>
        <w:jc w:val="both"/>
        <w:rPr>
          <w:rFonts w:cs="Arial"/>
          <w:color w:val="000000"/>
        </w:rPr>
      </w:pPr>
    </w:p>
    <w:p w14:paraId="07EDF786" w14:textId="6E107C39" w:rsidR="003E13C4" w:rsidRPr="004826AA" w:rsidRDefault="003E13C4" w:rsidP="007E4DE4">
      <w:pPr>
        <w:pStyle w:val="NormalWeb"/>
        <w:numPr>
          <w:ilvl w:val="0"/>
          <w:numId w:val="11"/>
        </w:numPr>
        <w:spacing w:before="0"/>
        <w:ind w:left="720" w:hanging="720"/>
        <w:jc w:val="both"/>
        <w:rPr>
          <w:rFonts w:ascii="Arial" w:hAnsi="Arial" w:cs="Arial"/>
          <w:color w:val="000000"/>
        </w:rPr>
      </w:pPr>
      <w:r w:rsidRPr="004826AA">
        <w:rPr>
          <w:rFonts w:ascii="Arial" w:hAnsi="Arial" w:cs="Arial"/>
          <w:color w:val="000000"/>
        </w:rPr>
        <w:t xml:space="preserve">A limited number of </w:t>
      </w:r>
      <w:r w:rsidR="00340230">
        <w:rPr>
          <w:rFonts w:ascii="Arial" w:hAnsi="Arial" w:cs="Arial"/>
          <w:color w:val="000000"/>
        </w:rPr>
        <w:t xml:space="preserve">A&amp;G </w:t>
      </w:r>
      <w:r w:rsidRPr="004826AA">
        <w:rPr>
          <w:rFonts w:ascii="Arial" w:hAnsi="Arial" w:cs="Arial"/>
          <w:color w:val="000000"/>
        </w:rPr>
        <w:t>expense</w:t>
      </w:r>
      <w:r w:rsidR="00340230">
        <w:rPr>
          <w:rFonts w:ascii="Arial" w:hAnsi="Arial" w:cs="Arial"/>
          <w:color w:val="000000"/>
        </w:rPr>
        <w:t>s</w:t>
      </w:r>
      <w:r w:rsidRPr="004826AA">
        <w:rPr>
          <w:rFonts w:ascii="Arial" w:hAnsi="Arial" w:cs="Arial"/>
          <w:color w:val="000000"/>
        </w:rPr>
        <w:t xml:space="preserve"> are directly linked to either an includable asset or employee related to the statutory functions.</w:t>
      </w:r>
      <w:r w:rsidR="003F6BF8">
        <w:rPr>
          <w:rFonts w:ascii="Arial" w:hAnsi="Arial" w:cs="Arial"/>
          <w:color w:val="000000"/>
        </w:rPr>
        <w:t xml:space="preserve">  </w:t>
      </w:r>
    </w:p>
    <w:p w14:paraId="7D11AB4C" w14:textId="77777777" w:rsidR="004826AA" w:rsidRDefault="004826AA" w:rsidP="003E13C4">
      <w:pPr>
        <w:pStyle w:val="ListParagraph"/>
        <w:jc w:val="both"/>
        <w:rPr>
          <w:rFonts w:cs="Arial"/>
          <w:color w:val="000000"/>
        </w:rPr>
      </w:pPr>
    </w:p>
    <w:p w14:paraId="4F3D93F0" w14:textId="77777777" w:rsidR="003E13C4" w:rsidRPr="000A26E3" w:rsidRDefault="003E13C4" w:rsidP="007E4DE4">
      <w:pPr>
        <w:pStyle w:val="NormalWeb"/>
        <w:numPr>
          <w:ilvl w:val="0"/>
          <w:numId w:val="11"/>
        </w:numPr>
        <w:spacing w:before="0"/>
        <w:ind w:left="720" w:hanging="720"/>
        <w:jc w:val="both"/>
        <w:rPr>
          <w:rFonts w:ascii="Arial" w:hAnsi="Arial" w:cs="Arial"/>
          <w:color w:val="000000"/>
        </w:rPr>
      </w:pPr>
      <w:r w:rsidRPr="000A26E3">
        <w:rPr>
          <w:rFonts w:ascii="Arial" w:hAnsi="Arial" w:cs="Arial"/>
        </w:rPr>
        <w:t xml:space="preserve">The EDCs separated the residential non-heating customers from the other customer classes and allocated the customer component of the costs associated with the FERC accounts in their proposed MRCC COSS.  </w:t>
      </w:r>
    </w:p>
    <w:p w14:paraId="08614A3D" w14:textId="77777777" w:rsidR="003E13C4" w:rsidRDefault="003E13C4" w:rsidP="003E13C4">
      <w:pPr>
        <w:pStyle w:val="ListParagraph"/>
        <w:jc w:val="both"/>
        <w:rPr>
          <w:rFonts w:cs="Arial"/>
          <w:color w:val="000000"/>
        </w:rPr>
      </w:pPr>
    </w:p>
    <w:p w14:paraId="1769B6CB" w14:textId="77777777" w:rsidR="003E13C4" w:rsidRPr="00152C0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T</w:t>
      </w:r>
      <w:r w:rsidRPr="00152C04">
        <w:rPr>
          <w:rFonts w:ascii="Arial" w:hAnsi="Arial" w:cs="Arial"/>
        </w:rPr>
        <w:t>he EDCs must have property insurance for the assets that meet the statutory functions</w:t>
      </w:r>
      <w:r>
        <w:rPr>
          <w:rFonts w:ascii="Arial" w:hAnsi="Arial" w:cs="Arial"/>
        </w:rPr>
        <w:t xml:space="preserve"> because </w:t>
      </w:r>
      <w:r w:rsidRPr="00152C04">
        <w:rPr>
          <w:rFonts w:ascii="Arial" w:hAnsi="Arial" w:cs="Arial"/>
        </w:rPr>
        <w:t>there is a relationship between the</w:t>
      </w:r>
      <w:r>
        <w:rPr>
          <w:rFonts w:ascii="Arial" w:hAnsi="Arial" w:cs="Arial"/>
        </w:rPr>
        <w:t>se</w:t>
      </w:r>
      <w:r w:rsidRPr="00152C04">
        <w:rPr>
          <w:rFonts w:ascii="Arial" w:hAnsi="Arial" w:cs="Arial"/>
        </w:rPr>
        <w:t xml:space="preserve"> expenses and other includable costs.</w:t>
      </w:r>
    </w:p>
    <w:p w14:paraId="4D9638CD" w14:textId="77777777" w:rsidR="003E13C4" w:rsidRDefault="003E13C4" w:rsidP="003E13C4">
      <w:pPr>
        <w:pStyle w:val="ListParagraph"/>
        <w:jc w:val="both"/>
        <w:rPr>
          <w:rFonts w:cs="Arial"/>
          <w:color w:val="000000"/>
        </w:rPr>
      </w:pPr>
    </w:p>
    <w:p w14:paraId="170DED03" w14:textId="77777777" w:rsidR="003E13C4" w:rsidRPr="00D47802" w:rsidRDefault="003E13C4" w:rsidP="007E4DE4">
      <w:pPr>
        <w:pStyle w:val="NormalWeb"/>
        <w:numPr>
          <w:ilvl w:val="0"/>
          <w:numId w:val="11"/>
        </w:numPr>
        <w:spacing w:before="0"/>
        <w:ind w:left="720" w:hanging="720"/>
        <w:jc w:val="both"/>
        <w:rPr>
          <w:rFonts w:ascii="Arial" w:hAnsi="Arial" w:cs="Arial"/>
          <w:color w:val="000000"/>
        </w:rPr>
      </w:pPr>
      <w:r w:rsidRPr="00152C04">
        <w:rPr>
          <w:rFonts w:ascii="Arial" w:hAnsi="Arial" w:cs="Arial"/>
        </w:rPr>
        <w:t xml:space="preserve">Certain </w:t>
      </w:r>
      <w:r>
        <w:rPr>
          <w:rFonts w:ascii="Arial" w:hAnsi="Arial" w:cs="Arial"/>
        </w:rPr>
        <w:t xml:space="preserve">FERC </w:t>
      </w:r>
      <w:r w:rsidRPr="00152C04">
        <w:rPr>
          <w:rFonts w:ascii="Arial" w:hAnsi="Arial" w:cs="Arial"/>
        </w:rPr>
        <w:t>accounts were either related to general plant or were overhead in nature and used in other operating functions</w:t>
      </w:r>
      <w:r>
        <w:rPr>
          <w:rFonts w:ascii="Arial" w:hAnsi="Arial" w:cs="Arial"/>
        </w:rPr>
        <w:t xml:space="preserve"> even though h</w:t>
      </w:r>
      <w:r w:rsidRPr="007F312E">
        <w:rPr>
          <w:rFonts w:ascii="Arial" w:hAnsi="Arial" w:cs="Arial"/>
        </w:rPr>
        <w:t>istorically some of the costs associated with those accounts were included in the development of the customer charge.</w:t>
      </w:r>
    </w:p>
    <w:p w14:paraId="589258FF" w14:textId="77777777" w:rsidR="00D47802" w:rsidRPr="007F312E" w:rsidRDefault="00D47802" w:rsidP="00D47802">
      <w:pPr>
        <w:pStyle w:val="NormalWeb"/>
        <w:spacing w:before="0"/>
        <w:ind w:left="720" w:firstLine="0"/>
        <w:jc w:val="both"/>
        <w:rPr>
          <w:rFonts w:ascii="Arial" w:hAnsi="Arial" w:cs="Arial"/>
          <w:color w:val="000000"/>
        </w:rPr>
      </w:pPr>
    </w:p>
    <w:p w14:paraId="195579C1" w14:textId="77777777" w:rsidR="003E13C4" w:rsidRPr="007F312E" w:rsidRDefault="003E13C4" w:rsidP="007E4DE4">
      <w:pPr>
        <w:pStyle w:val="NormalWeb"/>
        <w:numPr>
          <w:ilvl w:val="0"/>
          <w:numId w:val="11"/>
        </w:numPr>
        <w:spacing w:before="0"/>
        <w:ind w:left="720" w:hanging="720"/>
        <w:jc w:val="both"/>
        <w:rPr>
          <w:rFonts w:ascii="Arial" w:hAnsi="Arial" w:cs="Arial"/>
          <w:color w:val="000000"/>
        </w:rPr>
      </w:pPr>
      <w:r w:rsidRPr="007F312E">
        <w:rPr>
          <w:rFonts w:ascii="Arial" w:hAnsi="Arial" w:cs="Arial"/>
        </w:rPr>
        <w:t xml:space="preserve">The CWC allowance is approved in a general rate case in recognition of the timing difference between when revenues are received and when expenses are paid out.  </w:t>
      </w:r>
    </w:p>
    <w:p w14:paraId="7F2C9675" w14:textId="77777777" w:rsidR="003E13C4" w:rsidRDefault="003E13C4" w:rsidP="003E13C4">
      <w:pPr>
        <w:pStyle w:val="ListParagraph"/>
        <w:jc w:val="both"/>
        <w:rPr>
          <w:rFonts w:cs="Arial"/>
          <w:color w:val="000000"/>
        </w:rPr>
      </w:pPr>
    </w:p>
    <w:p w14:paraId="6C95134B" w14:textId="77777777" w:rsidR="003E13C4" w:rsidRPr="007F312E" w:rsidRDefault="003E13C4" w:rsidP="007E4DE4">
      <w:pPr>
        <w:pStyle w:val="NormalWeb"/>
        <w:numPr>
          <w:ilvl w:val="0"/>
          <w:numId w:val="11"/>
        </w:numPr>
        <w:spacing w:before="0"/>
        <w:ind w:left="720" w:hanging="720"/>
        <w:jc w:val="both"/>
        <w:rPr>
          <w:rFonts w:ascii="Arial" w:hAnsi="Arial" w:cs="Arial"/>
          <w:color w:val="000000"/>
        </w:rPr>
      </w:pPr>
      <w:r w:rsidRPr="007F312E">
        <w:rPr>
          <w:rFonts w:ascii="Arial" w:hAnsi="Arial" w:cs="Arial"/>
        </w:rPr>
        <w:lastRenderedPageBreak/>
        <w:t>The CWC allowance is not a direct expense incurred in the process of collecting customer data, issuing customer bills or pursuing credit and collection activities.</w:t>
      </w:r>
    </w:p>
    <w:p w14:paraId="2E1209C6" w14:textId="77777777" w:rsidR="003E13C4" w:rsidRDefault="003E13C4" w:rsidP="003E13C4">
      <w:pPr>
        <w:pStyle w:val="ListParagraph"/>
        <w:jc w:val="both"/>
        <w:rPr>
          <w:rFonts w:cs="Arial"/>
          <w:color w:val="000000"/>
        </w:rPr>
      </w:pPr>
    </w:p>
    <w:p w14:paraId="050DCF91" w14:textId="77777777" w:rsidR="003E13C4" w:rsidRPr="007F312E" w:rsidRDefault="003E13C4" w:rsidP="007E4DE4">
      <w:pPr>
        <w:pStyle w:val="NormalWeb"/>
        <w:numPr>
          <w:ilvl w:val="0"/>
          <w:numId w:val="11"/>
        </w:numPr>
        <w:spacing w:before="0"/>
        <w:ind w:left="720" w:hanging="720"/>
        <w:jc w:val="both"/>
        <w:rPr>
          <w:rFonts w:ascii="Arial" w:hAnsi="Arial" w:cs="Arial"/>
          <w:color w:val="000000"/>
        </w:rPr>
      </w:pPr>
      <w:r w:rsidRPr="007F312E">
        <w:rPr>
          <w:rFonts w:ascii="Arial" w:hAnsi="Arial" w:cs="Arial"/>
        </w:rPr>
        <w:t>The CWC cost is typically based on the length of time that revenue is realized after bills are collectively sent to customers</w:t>
      </w:r>
      <w:r>
        <w:rPr>
          <w:rFonts w:ascii="Arial" w:hAnsi="Arial" w:cs="Arial"/>
        </w:rPr>
        <w:t>.</w:t>
      </w:r>
    </w:p>
    <w:p w14:paraId="7DE0B0F5" w14:textId="77777777" w:rsidR="003E13C4" w:rsidRDefault="003E13C4" w:rsidP="003E13C4">
      <w:pPr>
        <w:pStyle w:val="ListParagraph"/>
        <w:jc w:val="both"/>
        <w:rPr>
          <w:rFonts w:cs="Arial"/>
          <w:color w:val="000000"/>
        </w:rPr>
      </w:pPr>
    </w:p>
    <w:p w14:paraId="2FF1AB8E" w14:textId="77777777" w:rsidR="003E13C4" w:rsidRPr="007F312E"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T</w:t>
      </w:r>
      <w:r w:rsidRPr="007F312E">
        <w:rPr>
          <w:rFonts w:ascii="Arial" w:hAnsi="Arial" w:cs="Arial"/>
        </w:rPr>
        <w:t xml:space="preserve">he purpose of the actual CWC allowance is to provide enough free cash flow for the utility to properly maintain its operations until the revenues have been collected from customers.  </w:t>
      </w:r>
    </w:p>
    <w:p w14:paraId="654F267F" w14:textId="77777777" w:rsidR="003E13C4" w:rsidRDefault="003E13C4" w:rsidP="003E13C4">
      <w:pPr>
        <w:pStyle w:val="ListParagraph"/>
        <w:jc w:val="both"/>
        <w:rPr>
          <w:rFonts w:cs="Arial"/>
          <w:color w:val="000000"/>
        </w:rPr>
      </w:pPr>
    </w:p>
    <w:p w14:paraId="2884D405" w14:textId="77777777" w:rsidR="003E13C4" w:rsidRPr="00C54E1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The EDCs incur software costs necessary to perform the statutory functions.</w:t>
      </w:r>
    </w:p>
    <w:p w14:paraId="0AC67D4A" w14:textId="77777777" w:rsidR="003E13C4" w:rsidRDefault="003E13C4" w:rsidP="003E13C4">
      <w:pPr>
        <w:pStyle w:val="ListParagraph"/>
        <w:jc w:val="both"/>
        <w:rPr>
          <w:rFonts w:cs="Arial"/>
          <w:color w:val="000000"/>
        </w:rPr>
      </w:pPr>
    </w:p>
    <w:p w14:paraId="7BC13F92" w14:textId="77777777" w:rsidR="003E13C4" w:rsidRPr="00C54E1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S</w:t>
      </w:r>
      <w:r w:rsidRPr="00C54E14">
        <w:rPr>
          <w:rFonts w:ascii="Arial" w:hAnsi="Arial" w:cs="Arial"/>
        </w:rPr>
        <w:t>oftware applications carry a shorter depreciation life than network plant assets such as meters.</w:t>
      </w:r>
    </w:p>
    <w:p w14:paraId="3FB0AD04" w14:textId="77777777" w:rsidR="003E13C4" w:rsidRDefault="003E13C4" w:rsidP="003E13C4">
      <w:pPr>
        <w:pStyle w:val="ListParagraph"/>
        <w:jc w:val="both"/>
        <w:rPr>
          <w:rFonts w:cs="Arial"/>
          <w:color w:val="000000"/>
        </w:rPr>
      </w:pPr>
    </w:p>
    <w:p w14:paraId="77EA385C" w14:textId="77777777" w:rsidR="003E13C4" w:rsidRPr="00C54E1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Certain</w:t>
      </w:r>
      <w:r w:rsidRPr="0099082F">
        <w:rPr>
          <w:rFonts w:ascii="Arial" w:hAnsi="Arial" w:cs="Arial"/>
        </w:rPr>
        <w:t xml:space="preserve"> software costs not directly related to performing the statutory functions should not be included in the MRCC calculation.</w:t>
      </w:r>
    </w:p>
    <w:p w14:paraId="6F810D51" w14:textId="77777777" w:rsidR="003E13C4" w:rsidRDefault="003E13C4" w:rsidP="003E13C4">
      <w:pPr>
        <w:pStyle w:val="ListParagraph"/>
        <w:jc w:val="both"/>
        <w:rPr>
          <w:rFonts w:cs="Arial"/>
          <w:color w:val="000000"/>
        </w:rPr>
      </w:pPr>
    </w:p>
    <w:p w14:paraId="44E8CBD8" w14:textId="77777777" w:rsidR="003E13C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color w:val="000000"/>
        </w:rPr>
        <w:t>S</w:t>
      </w:r>
      <w:r w:rsidRPr="00BA178D">
        <w:rPr>
          <w:rFonts w:ascii="Arial" w:hAnsi="Arial" w:cs="Arial"/>
          <w:color w:val="000000"/>
        </w:rPr>
        <w:t xml:space="preserve">ervice connections </w:t>
      </w:r>
      <w:r>
        <w:rPr>
          <w:rFonts w:ascii="Arial" w:hAnsi="Arial" w:cs="Arial"/>
          <w:color w:val="000000"/>
        </w:rPr>
        <w:t xml:space="preserve">are defined </w:t>
      </w:r>
      <w:r w:rsidRPr="00BA178D">
        <w:rPr>
          <w:rFonts w:ascii="Arial" w:hAnsi="Arial" w:cs="Arial"/>
          <w:color w:val="000000"/>
        </w:rPr>
        <w:t xml:space="preserve">as the service drop or service wire that connects a customer’s residence to the EDC’s general distribution system.  </w:t>
      </w:r>
    </w:p>
    <w:p w14:paraId="31E0FB35" w14:textId="77777777" w:rsidR="003E13C4" w:rsidRDefault="003E13C4" w:rsidP="003E13C4">
      <w:pPr>
        <w:pStyle w:val="ListParagraph"/>
        <w:jc w:val="both"/>
        <w:rPr>
          <w:rFonts w:cs="Arial"/>
          <w:color w:val="000000"/>
        </w:rPr>
      </w:pPr>
    </w:p>
    <w:p w14:paraId="1F11DCA6" w14:textId="77777777" w:rsidR="003E13C4" w:rsidRDefault="003E13C4" w:rsidP="007E4DE4">
      <w:pPr>
        <w:pStyle w:val="NormalWeb"/>
        <w:numPr>
          <w:ilvl w:val="0"/>
          <w:numId w:val="11"/>
        </w:numPr>
        <w:spacing w:before="0"/>
        <w:ind w:left="720" w:hanging="720"/>
        <w:jc w:val="both"/>
        <w:rPr>
          <w:rFonts w:ascii="Arial" w:hAnsi="Arial" w:cs="Arial"/>
          <w:color w:val="000000"/>
        </w:rPr>
      </w:pPr>
      <w:r w:rsidRPr="00BA178D">
        <w:rPr>
          <w:rFonts w:ascii="Arial" w:hAnsi="Arial" w:cs="Arial"/>
          <w:color w:val="000000"/>
        </w:rPr>
        <w:t xml:space="preserve">Distribution plant for poles, towers and fixtures, and line transformers are outside of the statutory functions.  </w:t>
      </w:r>
    </w:p>
    <w:p w14:paraId="0B4A8F38" w14:textId="77777777" w:rsidR="003E13C4" w:rsidRDefault="003E13C4" w:rsidP="003E13C4">
      <w:pPr>
        <w:pStyle w:val="ListParagraph"/>
        <w:jc w:val="both"/>
        <w:rPr>
          <w:rFonts w:cs="Arial"/>
          <w:color w:val="000000"/>
        </w:rPr>
      </w:pPr>
    </w:p>
    <w:p w14:paraId="466512B0" w14:textId="77777777" w:rsidR="003E13C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 xml:space="preserve">Common utility plant such as land and/or buildings that are used for several utility services or for other purposes are </w:t>
      </w:r>
      <w:r>
        <w:rPr>
          <w:rFonts w:ascii="Arial" w:hAnsi="Arial" w:cs="Arial"/>
          <w:color w:val="000000"/>
        </w:rPr>
        <w:t>outside of the statutory functions.</w:t>
      </w:r>
    </w:p>
    <w:p w14:paraId="2E8ABE62" w14:textId="77777777" w:rsidR="003E13C4" w:rsidRDefault="003E13C4" w:rsidP="003E13C4">
      <w:pPr>
        <w:pStyle w:val="ListParagraph"/>
        <w:jc w:val="both"/>
        <w:rPr>
          <w:rFonts w:cs="Arial"/>
          <w:color w:val="000000"/>
        </w:rPr>
      </w:pPr>
    </w:p>
    <w:p w14:paraId="1BB68447" w14:textId="77777777" w:rsidR="003E13C4"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color w:val="000000"/>
        </w:rPr>
        <w:t>P</w:t>
      </w:r>
      <w:r w:rsidRPr="00BA178D">
        <w:rPr>
          <w:rFonts w:ascii="Arial" w:hAnsi="Arial" w:cs="Arial"/>
          <w:color w:val="000000"/>
        </w:rPr>
        <w:t xml:space="preserve">ayroll and property taxes associated with the cost includable in the MRCC calculation are unavoidable.  </w:t>
      </w:r>
    </w:p>
    <w:p w14:paraId="43FD66FE" w14:textId="77777777" w:rsidR="003E13C4" w:rsidRDefault="003E13C4" w:rsidP="003E13C4">
      <w:pPr>
        <w:pStyle w:val="ListParagraph"/>
        <w:jc w:val="both"/>
        <w:rPr>
          <w:rFonts w:cs="Arial"/>
          <w:color w:val="000000"/>
        </w:rPr>
      </w:pPr>
    </w:p>
    <w:p w14:paraId="6B64F7E3" w14:textId="77777777" w:rsidR="003E13C4" w:rsidRPr="00BA178D"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color w:val="000000"/>
        </w:rPr>
        <w:t>C</w:t>
      </w:r>
      <w:r w:rsidRPr="00BA178D">
        <w:rPr>
          <w:rFonts w:ascii="Arial" w:hAnsi="Arial" w:cs="Arial"/>
          <w:color w:val="000000"/>
        </w:rPr>
        <w:t xml:space="preserve">osts </w:t>
      </w:r>
      <w:r w:rsidRPr="00BA178D">
        <w:rPr>
          <w:rFonts w:ascii="Arial" w:hAnsi="Arial" w:cs="Arial"/>
        </w:rPr>
        <w:t>associated with pole inspections and transformer expenses and credits are not directly related to the metering and service connection functions</w:t>
      </w:r>
      <w:r>
        <w:rPr>
          <w:rFonts w:ascii="Arial" w:hAnsi="Arial" w:cs="Arial"/>
        </w:rPr>
        <w:t>.</w:t>
      </w:r>
    </w:p>
    <w:p w14:paraId="1B86A299" w14:textId="77777777" w:rsidR="003E13C4" w:rsidRDefault="003E13C4" w:rsidP="003E13C4">
      <w:pPr>
        <w:pStyle w:val="ListParagraph"/>
        <w:jc w:val="both"/>
        <w:rPr>
          <w:rFonts w:cs="Arial"/>
          <w:color w:val="000000"/>
        </w:rPr>
      </w:pPr>
    </w:p>
    <w:p w14:paraId="1718870D" w14:textId="77777777" w:rsidR="003E13C4" w:rsidRPr="00BA178D"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 xml:space="preserve">Certain </w:t>
      </w:r>
      <w:r w:rsidRPr="00BA178D">
        <w:rPr>
          <w:rFonts w:ascii="Arial" w:hAnsi="Arial" w:cs="Arial"/>
        </w:rPr>
        <w:t xml:space="preserve">distribution expense accounts that include costs associated with minimum system distribution plant are outside of the metering or service connection functions.  </w:t>
      </w:r>
    </w:p>
    <w:p w14:paraId="2301AB6E" w14:textId="77777777" w:rsidR="003E13C4" w:rsidRDefault="003E13C4" w:rsidP="003E13C4">
      <w:pPr>
        <w:pStyle w:val="ListParagraph"/>
        <w:jc w:val="both"/>
        <w:rPr>
          <w:rFonts w:cs="Arial"/>
          <w:color w:val="000000"/>
        </w:rPr>
      </w:pPr>
    </w:p>
    <w:p w14:paraId="121A6D29" w14:textId="77777777" w:rsidR="003E13C4" w:rsidRPr="00BA178D" w:rsidRDefault="003E13C4" w:rsidP="007E4DE4">
      <w:pPr>
        <w:pStyle w:val="NormalWeb"/>
        <w:numPr>
          <w:ilvl w:val="0"/>
          <w:numId w:val="11"/>
        </w:numPr>
        <w:spacing w:before="0"/>
        <w:ind w:left="720" w:hanging="720"/>
        <w:jc w:val="both"/>
        <w:rPr>
          <w:rFonts w:ascii="Arial" w:hAnsi="Arial" w:cs="Arial"/>
          <w:color w:val="000000"/>
        </w:rPr>
      </w:pPr>
      <w:r w:rsidRPr="00BA178D">
        <w:rPr>
          <w:rFonts w:ascii="Arial" w:hAnsi="Arial" w:cs="Arial"/>
        </w:rPr>
        <w:t xml:space="preserve">The uncollectible allowance is approved in a general rate case as a public policy expense that recognizes that a certain portion of revenue will not be realized through customer receipts and will ultimately be charged off.  </w:t>
      </w:r>
    </w:p>
    <w:p w14:paraId="1ADA7B57" w14:textId="77777777" w:rsidR="003E13C4" w:rsidRDefault="003E13C4" w:rsidP="003E13C4">
      <w:pPr>
        <w:pStyle w:val="ListParagraph"/>
        <w:jc w:val="both"/>
        <w:rPr>
          <w:rFonts w:cs="Arial"/>
          <w:color w:val="000000"/>
        </w:rPr>
      </w:pPr>
    </w:p>
    <w:p w14:paraId="4ABA69FC" w14:textId="77777777" w:rsidR="003E13C4" w:rsidRPr="00BA178D" w:rsidRDefault="003E13C4" w:rsidP="007E4DE4">
      <w:pPr>
        <w:pStyle w:val="NormalWeb"/>
        <w:numPr>
          <w:ilvl w:val="0"/>
          <w:numId w:val="11"/>
        </w:numPr>
        <w:spacing w:before="0"/>
        <w:ind w:left="720" w:hanging="720"/>
        <w:jc w:val="both"/>
        <w:rPr>
          <w:rFonts w:ascii="Arial" w:hAnsi="Arial" w:cs="Arial"/>
          <w:color w:val="000000"/>
        </w:rPr>
      </w:pPr>
      <w:r w:rsidRPr="00BA178D">
        <w:rPr>
          <w:rFonts w:ascii="Arial" w:hAnsi="Arial" w:cs="Arial"/>
        </w:rPr>
        <w:t xml:space="preserve">The purpose of the actual uncollectible allowance is to recognize and provide for the recovery of this revenue shortfall through base rates.  </w:t>
      </w:r>
    </w:p>
    <w:p w14:paraId="6C80B6EB" w14:textId="77777777" w:rsidR="003E13C4" w:rsidRDefault="003E13C4" w:rsidP="003E13C4">
      <w:pPr>
        <w:pStyle w:val="ListParagraph"/>
        <w:jc w:val="both"/>
        <w:rPr>
          <w:rFonts w:cs="Arial"/>
          <w:color w:val="000000"/>
        </w:rPr>
      </w:pPr>
    </w:p>
    <w:p w14:paraId="20F6556D" w14:textId="77777777" w:rsidR="003E13C4" w:rsidRPr="00BA178D" w:rsidRDefault="003E13C4" w:rsidP="007E4DE4">
      <w:pPr>
        <w:pStyle w:val="NormalWeb"/>
        <w:numPr>
          <w:ilvl w:val="0"/>
          <w:numId w:val="11"/>
        </w:numPr>
        <w:spacing w:before="0"/>
        <w:ind w:left="720" w:hanging="720"/>
        <w:jc w:val="both"/>
        <w:rPr>
          <w:rFonts w:ascii="Arial" w:hAnsi="Arial" w:cs="Arial"/>
          <w:color w:val="000000"/>
        </w:rPr>
      </w:pPr>
      <w:r w:rsidRPr="00BA178D">
        <w:rPr>
          <w:rFonts w:ascii="Arial" w:hAnsi="Arial" w:cs="Arial"/>
        </w:rPr>
        <w:t>The uncollectible allowance is not formulated to recover direct expenses incurred in the process of pursuing credit and collection activity, the costs of which are included in other accounts.</w:t>
      </w:r>
    </w:p>
    <w:p w14:paraId="2537FA69" w14:textId="77777777" w:rsidR="003E13C4" w:rsidRDefault="003E13C4" w:rsidP="003E13C4">
      <w:pPr>
        <w:pStyle w:val="ListParagraph"/>
        <w:jc w:val="both"/>
        <w:rPr>
          <w:rFonts w:cs="Arial"/>
          <w:color w:val="000000"/>
        </w:rPr>
      </w:pPr>
    </w:p>
    <w:p w14:paraId="6F8E5061" w14:textId="77777777" w:rsidR="003E13C4" w:rsidRPr="00CD01D7"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lastRenderedPageBreak/>
        <w:t>T</w:t>
      </w:r>
      <w:r w:rsidRPr="00CD01D7">
        <w:rPr>
          <w:rFonts w:ascii="Arial" w:hAnsi="Arial" w:cs="Arial"/>
        </w:rPr>
        <w:t xml:space="preserve">he Companies must have insurance on its assets and employees in the provision of service and that these costs are fixed in nature.  </w:t>
      </w:r>
    </w:p>
    <w:p w14:paraId="41AE88F5" w14:textId="77777777" w:rsidR="003E13C4" w:rsidRDefault="003E13C4" w:rsidP="003E13C4">
      <w:pPr>
        <w:pStyle w:val="ListParagraph"/>
        <w:jc w:val="both"/>
        <w:rPr>
          <w:rFonts w:cs="Arial"/>
          <w:color w:val="000000"/>
        </w:rPr>
      </w:pPr>
    </w:p>
    <w:p w14:paraId="5FC8F23F" w14:textId="77777777" w:rsidR="003E13C4" w:rsidRPr="00CD01D7" w:rsidRDefault="003E13C4" w:rsidP="007E4DE4">
      <w:pPr>
        <w:pStyle w:val="NormalWeb"/>
        <w:numPr>
          <w:ilvl w:val="0"/>
          <w:numId w:val="11"/>
        </w:numPr>
        <w:spacing w:before="0"/>
        <w:ind w:left="720" w:hanging="720"/>
        <w:jc w:val="both"/>
        <w:rPr>
          <w:rFonts w:ascii="Arial" w:hAnsi="Arial" w:cs="Arial"/>
          <w:color w:val="000000"/>
        </w:rPr>
      </w:pPr>
      <w:r>
        <w:rPr>
          <w:rFonts w:ascii="Arial" w:hAnsi="Arial" w:cs="Arial"/>
        </w:rPr>
        <w:t>I</w:t>
      </w:r>
      <w:r w:rsidRPr="00CD01D7">
        <w:rPr>
          <w:rFonts w:ascii="Arial" w:hAnsi="Arial" w:cs="Arial"/>
        </w:rPr>
        <w:t>ncentive compensation are administered at a corporate level and are not directly related to the statutory functions.</w:t>
      </w:r>
    </w:p>
    <w:p w14:paraId="3B025386" w14:textId="77777777" w:rsidR="003E13C4" w:rsidRDefault="003E13C4" w:rsidP="003E13C4">
      <w:pPr>
        <w:pStyle w:val="ListParagraph"/>
        <w:jc w:val="both"/>
        <w:rPr>
          <w:rFonts w:cs="Arial"/>
          <w:color w:val="000000"/>
        </w:rPr>
      </w:pPr>
    </w:p>
    <w:p w14:paraId="634B0016" w14:textId="77777777" w:rsidR="003E13C4" w:rsidRPr="00E84AF1" w:rsidRDefault="003E13C4" w:rsidP="007E4DE4">
      <w:pPr>
        <w:pStyle w:val="NormalWeb"/>
        <w:numPr>
          <w:ilvl w:val="0"/>
          <w:numId w:val="11"/>
        </w:numPr>
        <w:spacing w:before="0"/>
        <w:ind w:left="720" w:hanging="720"/>
        <w:jc w:val="both"/>
        <w:rPr>
          <w:rFonts w:ascii="Arial" w:hAnsi="Arial" w:cs="Arial"/>
        </w:rPr>
      </w:pPr>
      <w:r w:rsidRPr="00CD01D7">
        <w:rPr>
          <w:rFonts w:ascii="Arial" w:hAnsi="Arial" w:cs="Arial"/>
        </w:rPr>
        <w:t xml:space="preserve">Includable employee salaries and compensation should be contained in the </w:t>
      </w:r>
      <w:r>
        <w:rPr>
          <w:rFonts w:ascii="Arial" w:hAnsi="Arial" w:cs="Arial"/>
        </w:rPr>
        <w:t>FERC</w:t>
      </w:r>
      <w:r w:rsidRPr="00CD01D7">
        <w:rPr>
          <w:rFonts w:ascii="Arial" w:hAnsi="Arial" w:cs="Arial"/>
        </w:rPr>
        <w:t xml:space="preserve"> accounts previously deemed includable for the MRCC calculation.  </w:t>
      </w:r>
    </w:p>
    <w:p w14:paraId="4F4F45FA" w14:textId="77777777" w:rsidR="003E13C4" w:rsidRDefault="003E13C4" w:rsidP="003E13C4">
      <w:pPr>
        <w:pStyle w:val="ListParagraph"/>
        <w:jc w:val="both"/>
        <w:rPr>
          <w:rFonts w:cs="Arial"/>
        </w:rPr>
      </w:pPr>
    </w:p>
    <w:p w14:paraId="2F3C5692" w14:textId="77777777" w:rsidR="003E13C4" w:rsidRDefault="003E13C4" w:rsidP="007E4DE4">
      <w:pPr>
        <w:pStyle w:val="NormalWeb"/>
        <w:numPr>
          <w:ilvl w:val="0"/>
          <w:numId w:val="11"/>
        </w:numPr>
        <w:spacing w:before="0"/>
        <w:ind w:left="720" w:hanging="720"/>
        <w:jc w:val="both"/>
        <w:rPr>
          <w:rFonts w:ascii="Arial" w:hAnsi="Arial" w:cs="Arial"/>
        </w:rPr>
      </w:pPr>
      <w:r>
        <w:rPr>
          <w:rFonts w:ascii="Arial" w:hAnsi="Arial" w:cs="Arial"/>
        </w:rPr>
        <w:t>T</w:t>
      </w:r>
      <w:r w:rsidRPr="00CD01D7">
        <w:rPr>
          <w:rFonts w:ascii="Arial" w:hAnsi="Arial" w:cs="Arial"/>
        </w:rPr>
        <w:t xml:space="preserve">he level of detailed cost tracking required in establishing the MRCC calculation can only be performed at the test year level where the costs are known and measurable.  </w:t>
      </w:r>
    </w:p>
    <w:p w14:paraId="38D1F535" w14:textId="77777777" w:rsidR="003E13C4" w:rsidRDefault="003E13C4" w:rsidP="003E13C4">
      <w:pPr>
        <w:pStyle w:val="ListParagraph"/>
        <w:jc w:val="both"/>
        <w:rPr>
          <w:rFonts w:cs="Arial"/>
        </w:rPr>
      </w:pPr>
    </w:p>
    <w:p w14:paraId="69B8C7BF" w14:textId="77777777" w:rsidR="003E13C4" w:rsidRDefault="003E13C4" w:rsidP="007E4DE4">
      <w:pPr>
        <w:pStyle w:val="NormalWeb"/>
        <w:numPr>
          <w:ilvl w:val="0"/>
          <w:numId w:val="11"/>
        </w:numPr>
        <w:spacing w:before="0"/>
        <w:ind w:left="720" w:hanging="720"/>
        <w:jc w:val="both"/>
        <w:rPr>
          <w:rFonts w:ascii="Arial" w:hAnsi="Arial" w:cs="Arial"/>
        </w:rPr>
      </w:pPr>
      <w:r w:rsidRPr="00CD01D7">
        <w:rPr>
          <w:rFonts w:ascii="Arial" w:hAnsi="Arial" w:cs="Arial"/>
        </w:rPr>
        <w:t>Grossing up the charge in the amount of the rate increase or even attempting to forecast individual asset/expenses may cause the MRCC calculation to be established at a level that differs from actual costs</w:t>
      </w:r>
      <w:r>
        <w:rPr>
          <w:rFonts w:ascii="Arial" w:hAnsi="Arial" w:cs="Arial"/>
        </w:rPr>
        <w:t xml:space="preserve">, which could create a risk if it recovers more than the </w:t>
      </w:r>
      <w:r w:rsidRPr="00CD01D7">
        <w:rPr>
          <w:rFonts w:ascii="Arial" w:hAnsi="Arial" w:cs="Arial"/>
        </w:rPr>
        <w:t xml:space="preserve">directly related </w:t>
      </w:r>
      <w:r>
        <w:rPr>
          <w:rFonts w:ascii="Arial" w:hAnsi="Arial" w:cs="Arial"/>
        </w:rPr>
        <w:t>costs</w:t>
      </w:r>
      <w:r w:rsidRPr="00CD01D7">
        <w:rPr>
          <w:rFonts w:ascii="Arial" w:hAnsi="Arial" w:cs="Arial"/>
        </w:rPr>
        <w:t xml:space="preserve"> to the statutory functions.  </w:t>
      </w:r>
    </w:p>
    <w:p w14:paraId="70D3CDE4" w14:textId="77777777" w:rsidR="003E13C4" w:rsidRDefault="003E13C4" w:rsidP="003E13C4">
      <w:pPr>
        <w:pStyle w:val="ListParagraph"/>
        <w:jc w:val="both"/>
        <w:rPr>
          <w:rFonts w:cs="Arial"/>
        </w:rPr>
      </w:pPr>
    </w:p>
    <w:p w14:paraId="088E8610" w14:textId="77777777" w:rsidR="003E13C4" w:rsidRDefault="003E13C4" w:rsidP="007E4DE4">
      <w:pPr>
        <w:pStyle w:val="NormalWeb"/>
        <w:numPr>
          <w:ilvl w:val="0"/>
          <w:numId w:val="11"/>
        </w:numPr>
        <w:spacing w:before="0"/>
        <w:ind w:left="720" w:hanging="720"/>
        <w:jc w:val="both"/>
        <w:rPr>
          <w:rFonts w:ascii="Arial" w:hAnsi="Arial" w:cs="Arial"/>
        </w:rPr>
      </w:pPr>
      <w:r w:rsidRPr="00CD01D7">
        <w:rPr>
          <w:rFonts w:ascii="Arial" w:hAnsi="Arial" w:cs="Arial"/>
        </w:rPr>
        <w:t xml:space="preserve">The Companies’ respective MRCC calculations may include a combination of direct assignments and cost allocations.  </w:t>
      </w:r>
    </w:p>
    <w:p w14:paraId="5EB9CC62" w14:textId="77777777" w:rsidR="003E13C4" w:rsidRDefault="003E13C4" w:rsidP="003E13C4">
      <w:pPr>
        <w:pStyle w:val="ListParagraph"/>
        <w:jc w:val="both"/>
        <w:rPr>
          <w:rFonts w:cs="Arial"/>
        </w:rPr>
      </w:pPr>
    </w:p>
    <w:p w14:paraId="18E2AAC3" w14:textId="77777777" w:rsidR="003E13C4" w:rsidRDefault="003E13C4" w:rsidP="007E4DE4">
      <w:pPr>
        <w:pStyle w:val="NormalWeb"/>
        <w:numPr>
          <w:ilvl w:val="0"/>
          <w:numId w:val="11"/>
        </w:numPr>
        <w:spacing w:before="0"/>
        <w:ind w:left="720" w:hanging="720"/>
        <w:jc w:val="both"/>
        <w:rPr>
          <w:rFonts w:ascii="Arial" w:hAnsi="Arial" w:cs="Arial"/>
        </w:rPr>
      </w:pPr>
      <w:r w:rsidRPr="00CD01D7">
        <w:rPr>
          <w:rFonts w:ascii="Arial" w:hAnsi="Arial" w:cs="Arial"/>
        </w:rPr>
        <w:t>Certain accounts require direct assignment while other accounts may utilize cost allocations when direct assignment is not feasible.</w:t>
      </w:r>
    </w:p>
    <w:p w14:paraId="760C74D2" w14:textId="77777777" w:rsidR="007A0456" w:rsidRDefault="007A0456" w:rsidP="007A0456">
      <w:pPr>
        <w:pStyle w:val="ListParagraph"/>
        <w:jc w:val="both"/>
        <w:rPr>
          <w:rFonts w:cs="Arial"/>
        </w:rPr>
      </w:pPr>
    </w:p>
    <w:p w14:paraId="56EA814B" w14:textId="00E5E695" w:rsidR="007A0456" w:rsidRPr="0011263B" w:rsidRDefault="007A0456" w:rsidP="007E4DE4">
      <w:pPr>
        <w:pStyle w:val="Heading1"/>
        <w:numPr>
          <w:ilvl w:val="0"/>
          <w:numId w:val="4"/>
        </w:numPr>
        <w:tabs>
          <w:tab w:val="clear" w:pos="360"/>
        </w:tabs>
        <w:jc w:val="both"/>
      </w:pPr>
      <w:bookmarkStart w:id="110" w:name="_Toc498961990"/>
      <w:bookmarkStart w:id="111" w:name="_Toc499050503"/>
      <w:bookmarkStart w:id="112" w:name="_Toc501528293"/>
      <w:bookmarkEnd w:id="109"/>
      <w:bookmarkEnd w:id="110"/>
      <w:r w:rsidRPr="0011263B">
        <w:t>CONCLUSION AND ORDERS</w:t>
      </w:r>
      <w:bookmarkEnd w:id="111"/>
      <w:bookmarkEnd w:id="112"/>
    </w:p>
    <w:p w14:paraId="7D6EEE63" w14:textId="77777777" w:rsidR="007A0456" w:rsidRPr="0011263B" w:rsidRDefault="007A0456" w:rsidP="007A0456">
      <w:pPr>
        <w:jc w:val="both"/>
      </w:pPr>
    </w:p>
    <w:p w14:paraId="23BC4B7F" w14:textId="77777777" w:rsidR="007A0456" w:rsidRPr="00AF526D" w:rsidRDefault="007A0456" w:rsidP="00E04D94">
      <w:pPr>
        <w:pStyle w:val="Heading2"/>
        <w:numPr>
          <w:ilvl w:val="1"/>
          <w:numId w:val="4"/>
        </w:numPr>
        <w:ind w:left="720"/>
        <w:jc w:val="both"/>
      </w:pPr>
      <w:bookmarkStart w:id="113" w:name="_Toc499050504"/>
      <w:bookmarkStart w:id="114" w:name="_Toc501528294"/>
      <w:r w:rsidRPr="00AF526D">
        <w:t>Conclusion</w:t>
      </w:r>
      <w:bookmarkEnd w:id="113"/>
      <w:bookmarkEnd w:id="114"/>
    </w:p>
    <w:p w14:paraId="09A9009C" w14:textId="77777777" w:rsidR="007A0456" w:rsidRPr="0011263B" w:rsidRDefault="007A0456" w:rsidP="007A0456">
      <w:pPr>
        <w:jc w:val="both"/>
      </w:pPr>
    </w:p>
    <w:p w14:paraId="72BB1746" w14:textId="046C6FA8" w:rsidR="00707DDC" w:rsidRDefault="007E4DE4" w:rsidP="00707DDC">
      <w:pPr>
        <w:ind w:firstLine="720"/>
        <w:jc w:val="both"/>
        <w:rPr>
          <w:rFonts w:cs="Arial"/>
          <w:szCs w:val="24"/>
        </w:rPr>
      </w:pPr>
      <w:r>
        <w:rPr>
          <w:rFonts w:cs="Arial"/>
          <w:bCs/>
          <w:iCs/>
        </w:rPr>
        <w:t>The Authority approves the MRCC methodology set forth in th</w:t>
      </w:r>
      <w:r w:rsidR="00340230">
        <w:rPr>
          <w:rFonts w:cs="Arial"/>
          <w:bCs/>
          <w:iCs/>
        </w:rPr>
        <w:t>e instant</w:t>
      </w:r>
      <w:r>
        <w:rPr>
          <w:rFonts w:cs="Arial"/>
          <w:bCs/>
          <w:iCs/>
        </w:rPr>
        <w:t xml:space="preserve"> Decision to ensure compliance with the requirements set forth in Conn. Gen. Stat. §16</w:t>
      </w:r>
      <w:r>
        <w:rPr>
          <w:rFonts w:cs="Arial"/>
          <w:bCs/>
          <w:iCs/>
        </w:rPr>
        <w:noBreakHyphen/>
        <w:t xml:space="preserve">243bb.  </w:t>
      </w:r>
      <w:r w:rsidR="00707DDC">
        <w:rPr>
          <w:rFonts w:cs="Arial"/>
          <w:szCs w:val="24"/>
        </w:rPr>
        <w:t xml:space="preserve">The Authority concludes that careful adherence to this methodology, which was derived after a lengthy and thorough investigation, will aid the EDCs and the Authority in the future to ensure, by efficient and transparent means, that the EDCs’ customer charges for residential non-heating customers do not exceed the limits established by </w:t>
      </w:r>
      <w:r w:rsidR="00707DDC" w:rsidRPr="00B468E2">
        <w:rPr>
          <w:rFonts w:cs="Arial"/>
          <w:szCs w:val="24"/>
        </w:rPr>
        <w:t>Conn. Gen. Stat. §16-243bb</w:t>
      </w:r>
      <w:r w:rsidR="00707DDC">
        <w:rPr>
          <w:rFonts w:cs="Arial"/>
          <w:szCs w:val="24"/>
        </w:rPr>
        <w:t xml:space="preserve">.  </w:t>
      </w:r>
      <w:r w:rsidR="00C649FD">
        <w:rPr>
          <w:rFonts w:cs="Arial"/>
          <w:szCs w:val="24"/>
        </w:rPr>
        <w:t>As</w:t>
      </w:r>
      <w:r w:rsidR="00707DDC">
        <w:rPr>
          <w:rFonts w:cs="Arial"/>
          <w:szCs w:val="24"/>
        </w:rPr>
        <w:t xml:space="preserve"> noted above, </w:t>
      </w:r>
      <w:r>
        <w:rPr>
          <w:rFonts w:cs="Arial"/>
          <w:szCs w:val="24"/>
        </w:rPr>
        <w:t xml:space="preserve">this statute </w:t>
      </w:r>
      <w:r w:rsidR="00707DDC">
        <w:rPr>
          <w:rFonts w:cs="Arial"/>
          <w:szCs w:val="24"/>
        </w:rPr>
        <w:t xml:space="preserve">does not prohibit the EDCs from proposing a residential non-heating customer charge that is less than the MRCC calculation.  Mindful of the limits that have been placed by Conn. Gen. Stat. </w:t>
      </w:r>
      <w:r w:rsidR="00707DDC" w:rsidRPr="00B468E2">
        <w:rPr>
          <w:rFonts w:cs="Arial"/>
          <w:szCs w:val="24"/>
        </w:rPr>
        <w:t>§16-243bb</w:t>
      </w:r>
      <w:r w:rsidR="00707DDC">
        <w:rPr>
          <w:rFonts w:cs="Arial"/>
          <w:szCs w:val="24"/>
        </w:rPr>
        <w:t xml:space="preserve">, </w:t>
      </w:r>
      <w:r>
        <w:rPr>
          <w:rFonts w:cs="Arial"/>
          <w:szCs w:val="24"/>
        </w:rPr>
        <w:t xml:space="preserve">the Authority </w:t>
      </w:r>
      <w:r w:rsidR="00707DDC">
        <w:rPr>
          <w:rFonts w:cs="Arial"/>
          <w:szCs w:val="24"/>
        </w:rPr>
        <w:t xml:space="preserve">will continue to consider </w:t>
      </w:r>
      <w:r w:rsidR="00DB5304" w:rsidRPr="00387975">
        <w:rPr>
          <w:rFonts w:cs="Arial"/>
          <w:szCs w:val="24"/>
        </w:rPr>
        <w:t>policy and economic considerations</w:t>
      </w:r>
      <w:r w:rsidR="00DB5304">
        <w:rPr>
          <w:rFonts w:cs="Arial"/>
          <w:szCs w:val="24"/>
        </w:rPr>
        <w:t xml:space="preserve"> consistent with</w:t>
      </w:r>
      <w:r w:rsidR="00707DDC">
        <w:rPr>
          <w:rFonts w:cs="Arial"/>
          <w:szCs w:val="24"/>
        </w:rPr>
        <w:t xml:space="preserve"> its jurisdiction under Conn. Gen. Stat.</w:t>
      </w:r>
      <w:r w:rsidR="00707DDC" w:rsidRPr="0082419E">
        <w:rPr>
          <w:rFonts w:cs="Arial"/>
          <w:szCs w:val="24"/>
        </w:rPr>
        <w:t xml:space="preserve"> </w:t>
      </w:r>
      <w:r w:rsidR="00707DDC" w:rsidRPr="00405446">
        <w:rPr>
          <w:rFonts w:cs="Arial"/>
          <w:szCs w:val="24"/>
        </w:rPr>
        <w:t>§§16-19 and 16-19e</w:t>
      </w:r>
      <w:r w:rsidR="00DB5304">
        <w:rPr>
          <w:rFonts w:cs="Arial"/>
          <w:szCs w:val="24"/>
        </w:rPr>
        <w:t xml:space="preserve">, </w:t>
      </w:r>
      <w:r w:rsidR="00707DDC">
        <w:rPr>
          <w:rFonts w:cs="Arial"/>
          <w:szCs w:val="24"/>
        </w:rPr>
        <w:t>now in the context of whether to a</w:t>
      </w:r>
      <w:r w:rsidR="00707DDC" w:rsidRPr="008411EA">
        <w:rPr>
          <w:rFonts w:cs="Arial"/>
          <w:szCs w:val="24"/>
        </w:rPr>
        <w:t xml:space="preserve">pprove </w:t>
      </w:r>
      <w:r w:rsidR="00707DDC">
        <w:rPr>
          <w:rFonts w:cs="Arial"/>
          <w:szCs w:val="24"/>
        </w:rPr>
        <w:t xml:space="preserve">or adjust </w:t>
      </w:r>
      <w:r w:rsidR="00707DDC" w:rsidRPr="008411EA">
        <w:rPr>
          <w:rFonts w:cs="Arial"/>
          <w:szCs w:val="24"/>
        </w:rPr>
        <w:t xml:space="preserve">a residential </w:t>
      </w:r>
      <w:r w:rsidR="00707DDC">
        <w:rPr>
          <w:rFonts w:cs="Arial"/>
          <w:szCs w:val="24"/>
        </w:rPr>
        <w:t xml:space="preserve">non-heating </w:t>
      </w:r>
      <w:r w:rsidR="00707DDC" w:rsidRPr="008411EA">
        <w:rPr>
          <w:rFonts w:cs="Arial"/>
          <w:szCs w:val="24"/>
        </w:rPr>
        <w:t xml:space="preserve">customer charge </w:t>
      </w:r>
      <w:r w:rsidR="00707DDC">
        <w:rPr>
          <w:rFonts w:cs="Arial"/>
          <w:szCs w:val="24"/>
        </w:rPr>
        <w:t xml:space="preserve">to a level that </w:t>
      </w:r>
      <w:r w:rsidR="00DE6B95">
        <w:rPr>
          <w:rFonts w:cs="Arial"/>
          <w:szCs w:val="24"/>
        </w:rPr>
        <w:t xml:space="preserve">is </w:t>
      </w:r>
      <w:r w:rsidR="00DB5304">
        <w:rPr>
          <w:rFonts w:cs="Arial"/>
          <w:szCs w:val="24"/>
        </w:rPr>
        <w:t xml:space="preserve">equal to or </w:t>
      </w:r>
      <w:r w:rsidR="00707DDC" w:rsidRPr="004340EC">
        <w:rPr>
          <w:rFonts w:cs="Arial"/>
          <w:szCs w:val="24"/>
        </w:rPr>
        <w:t>less</w:t>
      </w:r>
      <w:r w:rsidR="00707DDC" w:rsidRPr="008411EA">
        <w:rPr>
          <w:rFonts w:cs="Arial"/>
          <w:szCs w:val="24"/>
        </w:rPr>
        <w:t xml:space="preserve"> than the MRCC </w:t>
      </w:r>
      <w:r w:rsidR="00707DDC">
        <w:rPr>
          <w:rFonts w:cs="Arial"/>
          <w:szCs w:val="24"/>
        </w:rPr>
        <w:t>calculation.</w:t>
      </w:r>
    </w:p>
    <w:p w14:paraId="0E78C35B" w14:textId="77777777" w:rsidR="00707DDC" w:rsidRDefault="00707DDC" w:rsidP="00707DDC">
      <w:pPr>
        <w:ind w:firstLine="720"/>
        <w:jc w:val="both"/>
        <w:rPr>
          <w:rFonts w:cs="Arial"/>
          <w:szCs w:val="24"/>
        </w:rPr>
      </w:pPr>
    </w:p>
    <w:p w14:paraId="3389205D" w14:textId="71ECBF3D" w:rsidR="007A0456" w:rsidRDefault="00707DDC" w:rsidP="007A0456">
      <w:pPr>
        <w:ind w:firstLine="720"/>
        <w:jc w:val="both"/>
        <w:rPr>
          <w:rFonts w:cs="Arial"/>
          <w:bCs/>
          <w:iCs/>
        </w:rPr>
      </w:pPr>
      <w:r w:rsidRPr="006A686F">
        <w:rPr>
          <w:rFonts w:cs="Arial"/>
          <w:color w:val="000000" w:themeColor="text1"/>
          <w:szCs w:val="24"/>
        </w:rPr>
        <w:t xml:space="preserve">In summary, the approved methodology requires the Companies to include only directly related costs in their respective </w:t>
      </w:r>
      <w:r w:rsidR="00CE1F21">
        <w:rPr>
          <w:rFonts w:cs="Arial"/>
          <w:color w:val="000000" w:themeColor="text1"/>
          <w:szCs w:val="24"/>
        </w:rPr>
        <w:t xml:space="preserve">non-heating </w:t>
      </w:r>
      <w:r w:rsidRPr="006A686F">
        <w:rPr>
          <w:rFonts w:cs="Arial"/>
          <w:color w:val="000000" w:themeColor="text1"/>
          <w:szCs w:val="24"/>
        </w:rPr>
        <w:t>customer charges at a subaccount level preferably through direct assignment of assets and expenses whenever possible, and through cost allocation when dire</w:t>
      </w:r>
      <w:r>
        <w:rPr>
          <w:rFonts w:cs="Arial"/>
          <w:color w:val="000000" w:themeColor="text1"/>
          <w:szCs w:val="24"/>
        </w:rPr>
        <w:t xml:space="preserve">ct assignment is not feasible.  </w:t>
      </w:r>
      <w:r w:rsidRPr="006A686F">
        <w:rPr>
          <w:rFonts w:cs="Arial"/>
          <w:color w:val="000000" w:themeColor="text1"/>
          <w:szCs w:val="24"/>
        </w:rPr>
        <w:t>If the Authority approves a residential non-heating customer charge that allows for recovery of less than the full amount of the Authority</w:t>
      </w:r>
      <w:r w:rsidR="00DB5304">
        <w:rPr>
          <w:rFonts w:cs="Arial"/>
          <w:color w:val="000000" w:themeColor="text1"/>
          <w:szCs w:val="24"/>
        </w:rPr>
        <w:t>-</w:t>
      </w:r>
      <w:r w:rsidRPr="006A686F">
        <w:rPr>
          <w:rFonts w:cs="Arial"/>
          <w:color w:val="000000" w:themeColor="text1"/>
          <w:szCs w:val="24"/>
        </w:rPr>
        <w:t xml:space="preserve">approved MRCC, the costs and expenses not recovered through the residential non-heating customer charge will be part of the </w:t>
      </w:r>
      <w:r>
        <w:rPr>
          <w:rFonts w:cs="Arial"/>
          <w:color w:val="000000" w:themeColor="text1"/>
          <w:szCs w:val="24"/>
        </w:rPr>
        <w:lastRenderedPageBreak/>
        <w:t xml:space="preserve">residential volumetric charge.  </w:t>
      </w:r>
      <w:r w:rsidRPr="006A686F">
        <w:rPr>
          <w:rFonts w:cs="Arial"/>
          <w:color w:val="000000" w:themeColor="text1"/>
          <w:szCs w:val="24"/>
        </w:rPr>
        <w:t xml:space="preserve">However, if the Companies experience revenue shortfalls or surpluses due to volumetric variances from their projected sales forecasts for the </w:t>
      </w:r>
      <w:r w:rsidR="00DE6B95">
        <w:rPr>
          <w:rFonts w:cs="Arial"/>
          <w:color w:val="000000" w:themeColor="text1"/>
          <w:szCs w:val="24"/>
        </w:rPr>
        <w:t>r</w:t>
      </w:r>
      <w:r w:rsidRPr="006A686F">
        <w:rPr>
          <w:rFonts w:cs="Arial"/>
          <w:color w:val="000000" w:themeColor="text1"/>
          <w:szCs w:val="24"/>
        </w:rPr>
        <w:t xml:space="preserve">esidential </w:t>
      </w:r>
      <w:r w:rsidR="00DE6B95">
        <w:rPr>
          <w:rFonts w:cs="Arial"/>
          <w:color w:val="000000" w:themeColor="text1"/>
          <w:szCs w:val="24"/>
        </w:rPr>
        <w:t>n</w:t>
      </w:r>
      <w:r w:rsidRPr="006A686F">
        <w:rPr>
          <w:rFonts w:cs="Arial"/>
          <w:color w:val="000000" w:themeColor="text1"/>
          <w:szCs w:val="24"/>
        </w:rPr>
        <w:t>on</w:t>
      </w:r>
      <w:r w:rsidR="00DE6B95">
        <w:rPr>
          <w:rFonts w:cs="Arial"/>
          <w:color w:val="000000" w:themeColor="text1"/>
          <w:szCs w:val="24"/>
        </w:rPr>
        <w:t>-h</w:t>
      </w:r>
      <w:r w:rsidRPr="006A686F">
        <w:rPr>
          <w:rFonts w:cs="Arial"/>
          <w:color w:val="000000" w:themeColor="text1"/>
          <w:szCs w:val="24"/>
        </w:rPr>
        <w:t>eating customer class, the EDCs are directed to account for these variances as part of their annual decoupling filing.</w:t>
      </w:r>
      <w:r w:rsidR="007E4DE4">
        <w:rPr>
          <w:rFonts w:cs="Arial"/>
          <w:color w:val="000000" w:themeColor="text1"/>
          <w:szCs w:val="24"/>
        </w:rPr>
        <w:t xml:space="preserve">  </w:t>
      </w:r>
    </w:p>
    <w:p w14:paraId="526FEA8D" w14:textId="77777777" w:rsidR="00707DDC" w:rsidRDefault="00707DDC" w:rsidP="007A0456">
      <w:pPr>
        <w:jc w:val="both"/>
      </w:pPr>
    </w:p>
    <w:p w14:paraId="6C816164" w14:textId="77777777" w:rsidR="007A0456" w:rsidRPr="0011263B" w:rsidRDefault="007A0456" w:rsidP="007E4DE4">
      <w:pPr>
        <w:pStyle w:val="Heading2"/>
        <w:numPr>
          <w:ilvl w:val="1"/>
          <w:numId w:val="4"/>
        </w:numPr>
        <w:jc w:val="both"/>
      </w:pPr>
      <w:bookmarkStart w:id="115" w:name="_Toc499050505"/>
      <w:bookmarkStart w:id="116" w:name="_Toc501528295"/>
      <w:r w:rsidRPr="0011263B">
        <w:t>Orders</w:t>
      </w:r>
      <w:bookmarkEnd w:id="115"/>
      <w:bookmarkEnd w:id="116"/>
    </w:p>
    <w:p w14:paraId="3A822CF1" w14:textId="77777777" w:rsidR="007A0456" w:rsidRDefault="007A0456" w:rsidP="007A0456">
      <w:pPr>
        <w:jc w:val="both"/>
      </w:pPr>
    </w:p>
    <w:p w14:paraId="2F02FDE2" w14:textId="39B89E44" w:rsidR="007A0456" w:rsidRDefault="007A0456" w:rsidP="007A0456">
      <w:pPr>
        <w:jc w:val="both"/>
      </w:pPr>
      <w:r>
        <w:tab/>
        <w:t xml:space="preserve">For the following Orders, the company shall submit one original of the required documentation to the Executive Secretary, 10 Franklin Square, New Britain, Connecticut 06051 </w:t>
      </w:r>
      <w:r w:rsidRPr="00B02D4D">
        <w:rPr>
          <w:u w:val="single"/>
        </w:rPr>
        <w:t>and</w:t>
      </w:r>
      <w:r>
        <w:t xml:space="preserve"> file an electronic version through the Authority’s website at </w:t>
      </w:r>
      <w:r>
        <w:rPr>
          <w:u w:val="single"/>
        </w:rPr>
        <w:t>www.ct.gov/pura</w:t>
      </w:r>
      <w:r>
        <w:t xml:space="preserve">.  Submissions filed in compliance with the Authority’s Orders must be identified by all three of the following: Docket Number, Title and Order Number.  </w:t>
      </w:r>
    </w:p>
    <w:p w14:paraId="20D282E6" w14:textId="77777777" w:rsidR="007A0456" w:rsidRDefault="007A0456" w:rsidP="007A0456">
      <w:pPr>
        <w:jc w:val="both"/>
      </w:pPr>
    </w:p>
    <w:p w14:paraId="46F46315" w14:textId="190C1FA9" w:rsidR="007A0456" w:rsidRPr="00F15E7D" w:rsidRDefault="007A0456" w:rsidP="007E4DE4">
      <w:pPr>
        <w:pStyle w:val="ListParagraph"/>
        <w:numPr>
          <w:ilvl w:val="0"/>
          <w:numId w:val="5"/>
        </w:numPr>
        <w:ind w:hanging="720"/>
        <w:jc w:val="both"/>
        <w:rPr>
          <w:rFonts w:cs="Arial"/>
          <w:szCs w:val="24"/>
        </w:rPr>
      </w:pPr>
      <w:r>
        <w:t>No later than January 5, 2018, CL&amp;P shall file in Docket No. 17</w:t>
      </w:r>
      <w:r w:rsidR="00DE6B95">
        <w:t>-</w:t>
      </w:r>
      <w:r>
        <w:t xml:space="preserve">10-46, </w:t>
      </w:r>
      <w:r>
        <w:rPr>
          <w:u w:val="single"/>
        </w:rPr>
        <w:t>Application of The Connecticut Light &amp; Power Company d/b/a Eversource Energy to Amend Its Rate Schedules</w:t>
      </w:r>
      <w:r>
        <w:t xml:space="preserve">, </w:t>
      </w:r>
      <w:r w:rsidR="00F455B8">
        <w:t>the following</w:t>
      </w:r>
      <w:r w:rsidR="00DE6B95" w:rsidRPr="00DE6B95">
        <w:t xml:space="preserve"> </w:t>
      </w:r>
      <w:r w:rsidR="00DE6B95">
        <w:t>with supporting documentation</w:t>
      </w:r>
      <w:r w:rsidR="00F455B8">
        <w:t xml:space="preserve">:  </w:t>
      </w:r>
    </w:p>
    <w:p w14:paraId="2889F8F1" w14:textId="77777777" w:rsidR="007A0456" w:rsidRDefault="007A0456" w:rsidP="007A0456">
      <w:pPr>
        <w:pStyle w:val="ListParagraph"/>
        <w:jc w:val="both"/>
        <w:rPr>
          <w:rFonts w:cs="Arial"/>
          <w:szCs w:val="24"/>
        </w:rPr>
      </w:pPr>
    </w:p>
    <w:p w14:paraId="502006FF" w14:textId="774498F9" w:rsidR="007A0456" w:rsidRPr="00F15E7D" w:rsidRDefault="007A0456" w:rsidP="007E4DE4">
      <w:pPr>
        <w:pStyle w:val="ListParagraph"/>
        <w:numPr>
          <w:ilvl w:val="0"/>
          <w:numId w:val="10"/>
        </w:numPr>
        <w:ind w:left="1080"/>
        <w:jc w:val="both"/>
      </w:pPr>
      <w:r>
        <w:t xml:space="preserve">MRCC COSS with formatting as described in </w:t>
      </w:r>
      <w:r w:rsidR="00DE6B95">
        <w:t xml:space="preserve">Section </w:t>
      </w:r>
      <w:r>
        <w:t>III.</w:t>
      </w:r>
      <w:r w:rsidR="001B7B98">
        <w:t>E</w:t>
      </w:r>
      <w:r>
        <w:t xml:space="preserve">. </w:t>
      </w:r>
      <w:r w:rsidRPr="003C57EF">
        <w:rPr>
          <w:u w:val="single"/>
        </w:rPr>
        <w:t>MRCC Calculation</w:t>
      </w:r>
      <w:r>
        <w:t>;</w:t>
      </w:r>
    </w:p>
    <w:p w14:paraId="77B94F7B" w14:textId="7A4D278A" w:rsidR="007A0456" w:rsidRPr="0005033F" w:rsidRDefault="007A0456" w:rsidP="007E4DE4">
      <w:pPr>
        <w:pStyle w:val="ListParagraph"/>
        <w:numPr>
          <w:ilvl w:val="0"/>
          <w:numId w:val="10"/>
        </w:numPr>
        <w:ind w:left="1080"/>
        <w:jc w:val="both"/>
      </w:pPr>
      <w:r>
        <w:rPr>
          <w:rFonts w:cs="Arial"/>
          <w:szCs w:val="24"/>
        </w:rPr>
        <w:t xml:space="preserve">testimony on its MRCC calculation methodology; </w:t>
      </w:r>
    </w:p>
    <w:p w14:paraId="19FA4BB2" w14:textId="5B69862C" w:rsidR="001B7B98" w:rsidRDefault="001B7B98" w:rsidP="001B7B98">
      <w:pPr>
        <w:pStyle w:val="ListParagraph"/>
        <w:numPr>
          <w:ilvl w:val="0"/>
          <w:numId w:val="10"/>
        </w:numPr>
        <w:ind w:left="1080"/>
        <w:jc w:val="both"/>
      </w:pPr>
      <w:r>
        <w:t xml:space="preserve">a proposed residential non-heating customer charge, that is at or below the company’s MRCC calculation conforming to the requirements of Conn. Gen. Stat. </w:t>
      </w:r>
      <w:r w:rsidRPr="00F52DCD">
        <w:rPr>
          <w:rFonts w:cs="Arial"/>
          <w:szCs w:val="24"/>
        </w:rPr>
        <w:t>§16-243bb</w:t>
      </w:r>
      <w:r>
        <w:rPr>
          <w:rFonts w:cs="Arial"/>
          <w:szCs w:val="24"/>
        </w:rPr>
        <w:t xml:space="preserve"> and the requirements herein; and</w:t>
      </w:r>
    </w:p>
    <w:p w14:paraId="1B2B22A3" w14:textId="7CF2C600" w:rsidR="007A0456" w:rsidRPr="00EA1CA2" w:rsidRDefault="007A0456" w:rsidP="007E4DE4">
      <w:pPr>
        <w:pStyle w:val="ListParagraph"/>
        <w:numPr>
          <w:ilvl w:val="0"/>
          <w:numId w:val="10"/>
        </w:numPr>
        <w:ind w:left="1080"/>
        <w:jc w:val="both"/>
      </w:pPr>
      <w:r>
        <w:t xml:space="preserve">scored and unscored </w:t>
      </w:r>
      <w:r>
        <w:rPr>
          <w:rFonts w:cs="Arial"/>
          <w:szCs w:val="24"/>
        </w:rPr>
        <w:t>proposed tariffs</w:t>
      </w:r>
      <w:r w:rsidRPr="003E4E15">
        <w:t xml:space="preserve"> </w:t>
      </w:r>
      <w:r>
        <w:t xml:space="preserve">incorporating all </w:t>
      </w:r>
      <w:r w:rsidR="00DE6B95">
        <w:t>proposed revisions</w:t>
      </w:r>
      <w:r>
        <w:rPr>
          <w:rFonts w:cs="Arial"/>
          <w:szCs w:val="24"/>
        </w:rPr>
        <w:t>.</w:t>
      </w:r>
    </w:p>
    <w:p w14:paraId="60DC91EB" w14:textId="77777777" w:rsidR="007A0456" w:rsidRDefault="007A0456" w:rsidP="007A0456">
      <w:pPr>
        <w:jc w:val="both"/>
      </w:pPr>
    </w:p>
    <w:p w14:paraId="08D6C1E3" w14:textId="7A7671ED" w:rsidR="007A0456" w:rsidRPr="004461DF" w:rsidRDefault="007A0456" w:rsidP="007E4DE4">
      <w:pPr>
        <w:pStyle w:val="ListParagraph"/>
        <w:numPr>
          <w:ilvl w:val="0"/>
          <w:numId w:val="5"/>
        </w:numPr>
        <w:ind w:hanging="720"/>
        <w:jc w:val="both"/>
        <w:rPr>
          <w:rFonts w:cs="Arial"/>
          <w:szCs w:val="24"/>
        </w:rPr>
      </w:pPr>
      <w:r w:rsidRPr="00B05194">
        <w:rPr>
          <w:rFonts w:cs="Arial"/>
          <w:szCs w:val="24"/>
        </w:rPr>
        <w:t>No later than</w:t>
      </w:r>
      <w:r>
        <w:rPr>
          <w:rFonts w:cs="Arial"/>
          <w:szCs w:val="24"/>
        </w:rPr>
        <w:t xml:space="preserve"> June 4</w:t>
      </w:r>
      <w:r w:rsidR="00F455B8">
        <w:rPr>
          <w:rFonts w:cs="Arial"/>
          <w:szCs w:val="24"/>
        </w:rPr>
        <w:t>,</w:t>
      </w:r>
      <w:r>
        <w:rPr>
          <w:rFonts w:cs="Arial"/>
          <w:szCs w:val="24"/>
        </w:rPr>
        <w:t xml:space="preserve"> 2018, UI</w:t>
      </w:r>
      <w:r w:rsidRPr="0004511A">
        <w:rPr>
          <w:rFonts w:cs="Arial"/>
          <w:szCs w:val="24"/>
        </w:rPr>
        <w:t xml:space="preserve"> shall </w:t>
      </w:r>
      <w:r>
        <w:rPr>
          <w:rFonts w:cs="Arial"/>
          <w:szCs w:val="24"/>
        </w:rPr>
        <w:t>file in Docket No. 16</w:t>
      </w:r>
      <w:r>
        <w:rPr>
          <w:rFonts w:cs="Arial"/>
          <w:szCs w:val="24"/>
        </w:rPr>
        <w:noBreakHyphen/>
        <w:t>06</w:t>
      </w:r>
      <w:r>
        <w:rPr>
          <w:rFonts w:cs="Arial"/>
          <w:szCs w:val="24"/>
        </w:rPr>
        <w:noBreakHyphen/>
        <w:t xml:space="preserve">04RE01, </w:t>
      </w:r>
      <w:r w:rsidRPr="00193451">
        <w:rPr>
          <w:rFonts w:cs="Arial"/>
          <w:szCs w:val="24"/>
          <w:u w:val="single"/>
        </w:rPr>
        <w:t>Application of The United Illuminating Company to Increase Its Rates and Charges</w:t>
      </w:r>
      <w:r>
        <w:rPr>
          <w:rFonts w:cs="Arial"/>
          <w:szCs w:val="24"/>
          <w:u w:val="single"/>
        </w:rPr>
        <w:t xml:space="preserve"> – Residential Customer Charge</w:t>
      </w:r>
      <w:r w:rsidRPr="004461DF">
        <w:rPr>
          <w:rFonts w:cs="Arial"/>
          <w:szCs w:val="24"/>
        </w:rPr>
        <w:t xml:space="preserve">, </w:t>
      </w:r>
      <w:r>
        <w:t>a proposed residential non-heating Customer Charge</w:t>
      </w:r>
      <w:r w:rsidRPr="001A474F">
        <w:rPr>
          <w:rFonts w:cs="Arial"/>
          <w:szCs w:val="24"/>
        </w:rPr>
        <w:t xml:space="preserve"> </w:t>
      </w:r>
      <w:r>
        <w:rPr>
          <w:rFonts w:cs="Arial"/>
          <w:szCs w:val="24"/>
        </w:rPr>
        <w:t>to become effective January 1, 2019</w:t>
      </w:r>
      <w:r>
        <w:t xml:space="preserve">, </w:t>
      </w:r>
      <w:r w:rsidR="00DE6B95">
        <w:t xml:space="preserve">the following </w:t>
      </w:r>
      <w:r>
        <w:rPr>
          <w:rFonts w:cs="Arial"/>
          <w:szCs w:val="24"/>
        </w:rPr>
        <w:t>with supporting documentation:</w:t>
      </w:r>
    </w:p>
    <w:p w14:paraId="31D8C8F4" w14:textId="77777777" w:rsidR="007A0456" w:rsidRDefault="007A0456" w:rsidP="001B7B98">
      <w:pPr>
        <w:pStyle w:val="ListParagraph"/>
        <w:ind w:left="1080" w:hanging="360"/>
        <w:jc w:val="both"/>
        <w:rPr>
          <w:rFonts w:cs="Arial"/>
          <w:szCs w:val="24"/>
        </w:rPr>
      </w:pPr>
    </w:p>
    <w:p w14:paraId="1E92A621" w14:textId="32D3880B" w:rsidR="001B7B98" w:rsidRPr="00F15E7D" w:rsidRDefault="001B7B98" w:rsidP="001B7B98">
      <w:pPr>
        <w:pStyle w:val="ListParagraph"/>
        <w:numPr>
          <w:ilvl w:val="0"/>
          <w:numId w:val="12"/>
        </w:numPr>
        <w:ind w:left="1080"/>
        <w:jc w:val="both"/>
      </w:pPr>
      <w:r>
        <w:t xml:space="preserve">MRCC COSS with formatting as described in Section III.E. </w:t>
      </w:r>
      <w:r w:rsidRPr="003C57EF">
        <w:rPr>
          <w:u w:val="single"/>
        </w:rPr>
        <w:t>MRCC Calculation</w:t>
      </w:r>
      <w:r>
        <w:t>;</w:t>
      </w:r>
    </w:p>
    <w:p w14:paraId="7AFC122E" w14:textId="77777777" w:rsidR="001B7B98" w:rsidRPr="0005033F" w:rsidRDefault="001B7B98" w:rsidP="001B7B98">
      <w:pPr>
        <w:pStyle w:val="ListParagraph"/>
        <w:numPr>
          <w:ilvl w:val="0"/>
          <w:numId w:val="12"/>
        </w:numPr>
        <w:ind w:left="1080"/>
        <w:jc w:val="both"/>
      </w:pPr>
      <w:r>
        <w:rPr>
          <w:rFonts w:cs="Arial"/>
          <w:szCs w:val="24"/>
        </w:rPr>
        <w:t xml:space="preserve">testimony on its MRCC calculation methodology; </w:t>
      </w:r>
    </w:p>
    <w:p w14:paraId="335278E1" w14:textId="77777777" w:rsidR="001B7B98" w:rsidRDefault="001B7B98" w:rsidP="001B7B98">
      <w:pPr>
        <w:pStyle w:val="ListParagraph"/>
        <w:numPr>
          <w:ilvl w:val="0"/>
          <w:numId w:val="12"/>
        </w:numPr>
        <w:ind w:left="1080"/>
        <w:jc w:val="both"/>
      </w:pPr>
      <w:r>
        <w:t xml:space="preserve">a proposed residential non-heating customer charge, that is at or below the company’s MRCC calculation conforming to the requirements of Conn. Gen. Stat. </w:t>
      </w:r>
      <w:r w:rsidRPr="00F52DCD">
        <w:rPr>
          <w:rFonts w:cs="Arial"/>
          <w:szCs w:val="24"/>
        </w:rPr>
        <w:t>§16-243bb</w:t>
      </w:r>
      <w:r>
        <w:rPr>
          <w:rFonts w:cs="Arial"/>
          <w:szCs w:val="24"/>
        </w:rPr>
        <w:t xml:space="preserve"> and the requirements herein; and</w:t>
      </w:r>
    </w:p>
    <w:p w14:paraId="7DF4277A" w14:textId="77777777" w:rsidR="001B7B98" w:rsidRPr="00EA1CA2" w:rsidRDefault="001B7B98" w:rsidP="001B7B98">
      <w:pPr>
        <w:pStyle w:val="ListParagraph"/>
        <w:numPr>
          <w:ilvl w:val="0"/>
          <w:numId w:val="12"/>
        </w:numPr>
        <w:ind w:left="1080"/>
        <w:jc w:val="both"/>
      </w:pPr>
      <w:r>
        <w:t xml:space="preserve">scored and unscored </w:t>
      </w:r>
      <w:r>
        <w:rPr>
          <w:rFonts w:cs="Arial"/>
          <w:szCs w:val="24"/>
        </w:rPr>
        <w:t>proposed tariffs</w:t>
      </w:r>
      <w:r w:rsidRPr="003E4E15">
        <w:t xml:space="preserve"> </w:t>
      </w:r>
      <w:r>
        <w:t>incorporating all proposed revisions</w:t>
      </w:r>
      <w:r>
        <w:rPr>
          <w:rFonts w:cs="Arial"/>
          <w:szCs w:val="24"/>
        </w:rPr>
        <w:t>.</w:t>
      </w:r>
    </w:p>
    <w:p w14:paraId="6D973BBF" w14:textId="77777777" w:rsidR="00F455B8" w:rsidRDefault="00F455B8" w:rsidP="001B7B98">
      <w:pPr>
        <w:pStyle w:val="ListParagraph"/>
        <w:ind w:left="1080" w:hanging="360"/>
        <w:jc w:val="both"/>
      </w:pPr>
    </w:p>
    <w:p w14:paraId="661B9C56" w14:textId="77777777" w:rsidR="00E04D94" w:rsidRDefault="00E04D94" w:rsidP="001B7B98">
      <w:pPr>
        <w:pStyle w:val="ListParagraph"/>
        <w:ind w:left="1080" w:hanging="360"/>
        <w:jc w:val="both"/>
      </w:pPr>
    </w:p>
    <w:p w14:paraId="4C496FF9" w14:textId="77777777" w:rsidR="00E04D94" w:rsidRDefault="00E04D94" w:rsidP="001B7B98">
      <w:pPr>
        <w:pStyle w:val="ListParagraph"/>
        <w:ind w:left="1080" w:hanging="360"/>
        <w:jc w:val="both"/>
      </w:pPr>
    </w:p>
    <w:p w14:paraId="2E3711E8" w14:textId="5ABCE184" w:rsidR="008056B1" w:rsidRPr="00D5166B" w:rsidRDefault="008056B1" w:rsidP="003E1168">
      <w:pPr>
        <w:jc w:val="both"/>
      </w:pPr>
    </w:p>
    <w:p w14:paraId="11B6ABCE" w14:textId="77777777" w:rsidR="001F587C" w:rsidRDefault="001F587C" w:rsidP="003E1168">
      <w:pPr>
        <w:jc w:val="both"/>
        <w:sectPr w:rsidR="001F587C" w:rsidSect="00445561">
          <w:headerReference w:type="default" r:id="rId16"/>
          <w:footerReference w:type="default" r:id="rId17"/>
          <w:headerReference w:type="first" r:id="rId18"/>
          <w:footerReference w:type="first" r:id="rId19"/>
          <w:pgSz w:w="12240" w:h="15840" w:code="1"/>
          <w:pgMar w:top="1152" w:right="1440" w:bottom="1152" w:left="1440" w:header="432" w:footer="288" w:gutter="0"/>
          <w:paperSrc w:first="3" w:other="3"/>
          <w:pgNumType w:start="1"/>
          <w:cols w:space="720"/>
          <w:titlePg/>
          <w:docGrid w:linePitch="326"/>
        </w:sectPr>
      </w:pPr>
    </w:p>
    <w:tbl>
      <w:tblPr>
        <w:tblW w:w="0" w:type="auto"/>
        <w:tblLayout w:type="fixed"/>
        <w:tblLook w:val="0000" w:firstRow="0" w:lastRow="0" w:firstColumn="0" w:lastColumn="0" w:noHBand="0" w:noVBand="0"/>
      </w:tblPr>
      <w:tblGrid>
        <w:gridCol w:w="2804"/>
        <w:gridCol w:w="6698"/>
      </w:tblGrid>
      <w:tr w:rsidR="001F587C" w14:paraId="79617672" w14:textId="77777777">
        <w:trPr>
          <w:cantSplit/>
        </w:trPr>
        <w:tc>
          <w:tcPr>
            <w:tcW w:w="2804" w:type="dxa"/>
          </w:tcPr>
          <w:p w14:paraId="27E9ABFE" w14:textId="4831E61F" w:rsidR="001F587C" w:rsidRDefault="001F587C" w:rsidP="003E1168">
            <w:pPr>
              <w:jc w:val="both"/>
              <w:rPr>
                <w:b/>
                <w:caps/>
              </w:rPr>
            </w:pPr>
            <w:r>
              <w:rPr>
                <w:b/>
                <w:caps/>
              </w:rPr>
              <w:lastRenderedPageBreak/>
              <w:t>Docket No.</w:t>
            </w:r>
            <w:r w:rsidR="00316E20">
              <w:rPr>
                <w:b/>
                <w:caps/>
              </w:rPr>
              <w:t xml:space="preserve"> 17-01-12</w:t>
            </w:r>
          </w:p>
        </w:tc>
        <w:tc>
          <w:tcPr>
            <w:tcW w:w="6698" w:type="dxa"/>
          </w:tcPr>
          <w:p w14:paraId="4A7804EB" w14:textId="29FECC20" w:rsidR="001F587C" w:rsidRDefault="001F587C" w:rsidP="003E1168">
            <w:pPr>
              <w:jc w:val="both"/>
              <w:rPr>
                <w:b/>
                <w:caps/>
              </w:rPr>
            </w:pPr>
            <w:r>
              <w:rPr>
                <w:b/>
                <w:caps/>
              </w:rPr>
              <w:fldChar w:fldCharType="begin"/>
            </w:r>
            <w:r>
              <w:rPr>
                <w:b/>
                <w:caps/>
              </w:rPr>
              <w:instrText>ref title</w:instrText>
            </w:r>
            <w:r w:rsidR="003E1168">
              <w:rPr>
                <w:b/>
                <w:caps/>
              </w:rPr>
              <w:instrText xml:space="preserve"> \* MERGEFORMAT </w:instrText>
            </w:r>
            <w:r>
              <w:rPr>
                <w:b/>
                <w:caps/>
              </w:rPr>
              <w:fldChar w:fldCharType="separate"/>
            </w:r>
            <w:r w:rsidR="00B114E4">
              <w:rPr>
                <w:b/>
                <w:caps/>
              </w:rPr>
              <w:t>PURA ESTABLISHMENT OF THE MAXIMUM CUSTOMER CHARGE (MRCC) FORMULA FOR NON-HEATING RESIDENTIAL SERVICE</w:t>
            </w:r>
            <w:r>
              <w:rPr>
                <w:b/>
                <w:caps/>
              </w:rPr>
              <w:fldChar w:fldCharType="end"/>
            </w:r>
          </w:p>
        </w:tc>
      </w:tr>
    </w:tbl>
    <w:p w14:paraId="2B09F3C5" w14:textId="77777777" w:rsidR="001F587C" w:rsidRDefault="001F587C" w:rsidP="003E1168">
      <w:pPr>
        <w:ind w:left="60"/>
        <w:jc w:val="both"/>
      </w:pPr>
    </w:p>
    <w:p w14:paraId="37D985E3" w14:textId="77777777" w:rsidR="001F587C" w:rsidRDefault="001F587C" w:rsidP="003E1168">
      <w:pPr>
        <w:tabs>
          <w:tab w:val="center" w:pos="8881"/>
        </w:tabs>
        <w:ind w:left="60"/>
        <w:jc w:val="both"/>
      </w:pPr>
      <w:r>
        <w:t xml:space="preserve">This Decision is adopted by the following </w:t>
      </w:r>
      <w:r w:rsidR="00601882">
        <w:t>Commissioners</w:t>
      </w:r>
      <w:r>
        <w:t>:</w:t>
      </w:r>
    </w:p>
    <w:p w14:paraId="2EF22D95" w14:textId="77777777" w:rsidR="001F587C" w:rsidRDefault="001F587C" w:rsidP="003E1168">
      <w:pPr>
        <w:tabs>
          <w:tab w:val="center" w:pos="8881"/>
        </w:tabs>
        <w:ind w:left="60"/>
        <w:jc w:val="both"/>
      </w:pPr>
    </w:p>
    <w:p w14:paraId="1BCB77FC" w14:textId="77777777" w:rsidR="001F587C" w:rsidRDefault="001F587C" w:rsidP="003E1168">
      <w:pPr>
        <w:tabs>
          <w:tab w:val="center" w:pos="8881"/>
        </w:tabs>
        <w:ind w:left="60"/>
        <w:jc w:val="both"/>
      </w:pPr>
    </w:p>
    <w:tbl>
      <w:tblPr>
        <w:tblW w:w="0" w:type="auto"/>
        <w:tblInd w:w="2220" w:type="dxa"/>
        <w:tblLayout w:type="fixed"/>
        <w:tblLook w:val="0000" w:firstRow="0" w:lastRow="0" w:firstColumn="0" w:lastColumn="0" w:noHBand="0" w:noVBand="0"/>
      </w:tblPr>
      <w:tblGrid>
        <w:gridCol w:w="5427"/>
      </w:tblGrid>
      <w:tr w:rsidR="001F587C" w14:paraId="4F4BE376" w14:textId="77777777">
        <w:trPr>
          <w:cantSplit/>
        </w:trPr>
        <w:tc>
          <w:tcPr>
            <w:tcW w:w="5427" w:type="dxa"/>
          </w:tcPr>
          <w:p w14:paraId="67C6C3A1" w14:textId="77777777" w:rsidR="001F587C" w:rsidRDefault="001F587C" w:rsidP="003E1168">
            <w:pPr>
              <w:jc w:val="both"/>
            </w:pPr>
          </w:p>
        </w:tc>
      </w:tr>
      <w:tr w:rsidR="001F587C" w14:paraId="2223055F" w14:textId="77777777">
        <w:trPr>
          <w:cantSplit/>
        </w:trPr>
        <w:tc>
          <w:tcPr>
            <w:tcW w:w="5427" w:type="dxa"/>
          </w:tcPr>
          <w:p w14:paraId="2D61F5E4" w14:textId="77777777" w:rsidR="001F587C" w:rsidRDefault="001F587C" w:rsidP="003E1168">
            <w:pPr>
              <w:jc w:val="both"/>
            </w:pPr>
          </w:p>
        </w:tc>
      </w:tr>
      <w:tr w:rsidR="001F587C" w14:paraId="56FE9792" w14:textId="77777777" w:rsidTr="00B114E4">
        <w:trPr>
          <w:cantSplit/>
        </w:trPr>
        <w:tc>
          <w:tcPr>
            <w:tcW w:w="5427" w:type="dxa"/>
          </w:tcPr>
          <w:p w14:paraId="3491C350" w14:textId="77777777" w:rsidR="001F587C" w:rsidRDefault="00F42687" w:rsidP="003E1168">
            <w:pPr>
              <w:jc w:val="both"/>
            </w:pPr>
            <w:bookmarkStart w:id="118" w:name="comma"/>
            <w:bookmarkEnd w:id="118"/>
            <w:r>
              <w:t xml:space="preserve">Katherine S. Dykes </w:t>
            </w:r>
          </w:p>
        </w:tc>
      </w:tr>
      <w:tr w:rsidR="001F587C" w14:paraId="0E905ED5" w14:textId="77777777">
        <w:trPr>
          <w:cantSplit/>
        </w:trPr>
        <w:tc>
          <w:tcPr>
            <w:tcW w:w="5427" w:type="dxa"/>
          </w:tcPr>
          <w:p w14:paraId="0009AF22" w14:textId="77777777" w:rsidR="001F587C" w:rsidRDefault="001F587C" w:rsidP="003E1168">
            <w:pPr>
              <w:jc w:val="both"/>
            </w:pPr>
          </w:p>
        </w:tc>
      </w:tr>
      <w:tr w:rsidR="001F587C" w14:paraId="3F5D92FC" w14:textId="77777777">
        <w:trPr>
          <w:cantSplit/>
        </w:trPr>
        <w:tc>
          <w:tcPr>
            <w:tcW w:w="5427" w:type="dxa"/>
          </w:tcPr>
          <w:p w14:paraId="5392BCB0" w14:textId="77777777" w:rsidR="001F587C" w:rsidRDefault="001F587C" w:rsidP="003E1168">
            <w:pPr>
              <w:jc w:val="both"/>
            </w:pPr>
          </w:p>
        </w:tc>
      </w:tr>
      <w:tr w:rsidR="001F587C" w14:paraId="40793062" w14:textId="77777777" w:rsidTr="00B114E4">
        <w:trPr>
          <w:cantSplit/>
        </w:trPr>
        <w:tc>
          <w:tcPr>
            <w:tcW w:w="5427" w:type="dxa"/>
          </w:tcPr>
          <w:p w14:paraId="03DC9628" w14:textId="77777777" w:rsidR="001F587C" w:rsidRDefault="00F42687" w:rsidP="003E1168">
            <w:pPr>
              <w:jc w:val="both"/>
            </w:pPr>
            <w:bookmarkStart w:id="119" w:name="commb"/>
            <w:bookmarkEnd w:id="119"/>
            <w:r>
              <w:t xml:space="preserve">Michael A. Caron </w:t>
            </w:r>
          </w:p>
        </w:tc>
      </w:tr>
      <w:tr w:rsidR="001F587C" w14:paraId="704AC9E5" w14:textId="77777777">
        <w:trPr>
          <w:cantSplit/>
        </w:trPr>
        <w:tc>
          <w:tcPr>
            <w:tcW w:w="5427" w:type="dxa"/>
          </w:tcPr>
          <w:p w14:paraId="0441EDC1" w14:textId="77777777" w:rsidR="001F587C" w:rsidRDefault="001F587C" w:rsidP="003E1168">
            <w:pPr>
              <w:jc w:val="both"/>
            </w:pPr>
          </w:p>
        </w:tc>
      </w:tr>
      <w:tr w:rsidR="001F587C" w14:paraId="57F98340" w14:textId="77777777">
        <w:trPr>
          <w:cantSplit/>
        </w:trPr>
        <w:tc>
          <w:tcPr>
            <w:tcW w:w="5427" w:type="dxa"/>
          </w:tcPr>
          <w:p w14:paraId="00304CA8" w14:textId="77777777" w:rsidR="001F587C" w:rsidRDefault="001F587C" w:rsidP="003E1168">
            <w:pPr>
              <w:jc w:val="both"/>
            </w:pPr>
          </w:p>
        </w:tc>
      </w:tr>
      <w:tr w:rsidR="001F587C" w14:paraId="4D62917D" w14:textId="77777777" w:rsidTr="00B114E4">
        <w:trPr>
          <w:cantSplit/>
        </w:trPr>
        <w:tc>
          <w:tcPr>
            <w:tcW w:w="5427" w:type="dxa"/>
          </w:tcPr>
          <w:p w14:paraId="1A2D0D43" w14:textId="77777777" w:rsidR="001F587C" w:rsidRDefault="00F42687" w:rsidP="003E1168">
            <w:pPr>
              <w:jc w:val="both"/>
            </w:pPr>
            <w:bookmarkStart w:id="120" w:name="commc"/>
            <w:bookmarkEnd w:id="120"/>
            <w:r>
              <w:t xml:space="preserve">John W. Betkoski, III </w:t>
            </w:r>
          </w:p>
        </w:tc>
      </w:tr>
      <w:tr w:rsidR="001F587C" w14:paraId="5EB6650C" w14:textId="77777777">
        <w:trPr>
          <w:cantSplit/>
        </w:trPr>
        <w:tc>
          <w:tcPr>
            <w:tcW w:w="5427" w:type="dxa"/>
          </w:tcPr>
          <w:p w14:paraId="5974538E" w14:textId="77777777" w:rsidR="001F587C" w:rsidRDefault="001F587C" w:rsidP="003E1168">
            <w:pPr>
              <w:jc w:val="both"/>
            </w:pPr>
            <w:bookmarkStart w:id="121" w:name="B4"/>
            <w:bookmarkEnd w:id="121"/>
          </w:p>
        </w:tc>
      </w:tr>
      <w:tr w:rsidR="001F587C" w14:paraId="7DD0E5B0" w14:textId="77777777">
        <w:trPr>
          <w:cantSplit/>
        </w:trPr>
        <w:tc>
          <w:tcPr>
            <w:tcW w:w="5427" w:type="dxa"/>
          </w:tcPr>
          <w:p w14:paraId="164F5DDF" w14:textId="77777777" w:rsidR="001F587C" w:rsidRDefault="001F587C" w:rsidP="003E1168">
            <w:pPr>
              <w:jc w:val="both"/>
            </w:pPr>
            <w:bookmarkStart w:id="122" w:name="fourth"/>
            <w:bookmarkStart w:id="123" w:name="UnderL"/>
            <w:bookmarkEnd w:id="122"/>
            <w:bookmarkEnd w:id="123"/>
          </w:p>
        </w:tc>
      </w:tr>
      <w:tr w:rsidR="001F587C" w14:paraId="2A6AA9CB" w14:textId="77777777">
        <w:trPr>
          <w:cantSplit/>
        </w:trPr>
        <w:tc>
          <w:tcPr>
            <w:tcW w:w="5427" w:type="dxa"/>
          </w:tcPr>
          <w:p w14:paraId="52087B2F" w14:textId="77777777" w:rsidR="001F587C" w:rsidRDefault="001F587C" w:rsidP="003E1168">
            <w:pPr>
              <w:jc w:val="both"/>
            </w:pPr>
            <w:bookmarkStart w:id="124" w:name="commd"/>
            <w:bookmarkStart w:id="125" w:name="B5"/>
            <w:bookmarkEnd w:id="124"/>
            <w:bookmarkEnd w:id="125"/>
          </w:p>
        </w:tc>
      </w:tr>
      <w:tr w:rsidR="001F587C" w14:paraId="089D39AE" w14:textId="77777777">
        <w:trPr>
          <w:cantSplit/>
        </w:trPr>
        <w:tc>
          <w:tcPr>
            <w:tcW w:w="5427" w:type="dxa"/>
          </w:tcPr>
          <w:p w14:paraId="5900A3EA" w14:textId="77777777" w:rsidR="001F587C" w:rsidRDefault="001F587C" w:rsidP="003E1168">
            <w:pPr>
              <w:jc w:val="both"/>
            </w:pPr>
            <w:bookmarkStart w:id="126" w:name="fifth"/>
            <w:bookmarkEnd w:id="126"/>
          </w:p>
        </w:tc>
      </w:tr>
      <w:tr w:rsidR="001F587C" w14:paraId="148FDE7D" w14:textId="77777777">
        <w:trPr>
          <w:cantSplit/>
        </w:trPr>
        <w:tc>
          <w:tcPr>
            <w:tcW w:w="5427" w:type="dxa"/>
          </w:tcPr>
          <w:p w14:paraId="12BA6A62" w14:textId="77777777" w:rsidR="001F587C" w:rsidRDefault="001F587C" w:rsidP="003E1168">
            <w:pPr>
              <w:jc w:val="both"/>
            </w:pPr>
            <w:bookmarkStart w:id="127" w:name="UnderL1"/>
            <w:bookmarkEnd w:id="127"/>
          </w:p>
        </w:tc>
      </w:tr>
      <w:tr w:rsidR="001F587C" w14:paraId="1CA6C733" w14:textId="77777777">
        <w:trPr>
          <w:cantSplit/>
        </w:trPr>
        <w:tc>
          <w:tcPr>
            <w:tcW w:w="5427" w:type="dxa"/>
          </w:tcPr>
          <w:p w14:paraId="6E570D51" w14:textId="77777777" w:rsidR="001F587C" w:rsidRDefault="001F587C" w:rsidP="003E1168">
            <w:pPr>
              <w:jc w:val="both"/>
            </w:pPr>
            <w:bookmarkStart w:id="128" w:name="comme"/>
            <w:bookmarkEnd w:id="128"/>
          </w:p>
        </w:tc>
      </w:tr>
    </w:tbl>
    <w:p w14:paraId="4534C339" w14:textId="77777777" w:rsidR="001F587C" w:rsidRDefault="001F587C" w:rsidP="003E1168">
      <w:pPr>
        <w:jc w:val="both"/>
      </w:pPr>
    </w:p>
    <w:p w14:paraId="1432376E" w14:textId="77777777" w:rsidR="001F587C" w:rsidRDefault="001F587C" w:rsidP="003E1168">
      <w:pPr>
        <w:jc w:val="both"/>
        <w:rPr>
          <w:u w:val="single"/>
        </w:rPr>
      </w:pPr>
    </w:p>
    <w:p w14:paraId="658522A4" w14:textId="77777777" w:rsidR="001F587C" w:rsidRDefault="001F587C" w:rsidP="00F475DC">
      <w:pPr>
        <w:jc w:val="center"/>
        <w:rPr>
          <w:u w:val="single"/>
        </w:rPr>
      </w:pPr>
      <w:r>
        <w:rPr>
          <w:u w:val="single"/>
        </w:rPr>
        <w:t>CERTIFICATE OF SERVICE</w:t>
      </w:r>
    </w:p>
    <w:p w14:paraId="3F8EE9CF" w14:textId="77777777" w:rsidR="001F587C" w:rsidRDefault="001F587C" w:rsidP="003E1168">
      <w:pPr>
        <w:jc w:val="both"/>
      </w:pPr>
    </w:p>
    <w:p w14:paraId="68AC8A2E" w14:textId="77777777" w:rsidR="001F587C" w:rsidRDefault="001F587C" w:rsidP="003E1168">
      <w:pPr>
        <w:jc w:val="both"/>
      </w:pPr>
      <w:r>
        <w:tab/>
        <w:t xml:space="preserve">The foregoing is a true and correct copy of the Decision issued by the </w:t>
      </w:r>
      <w:r w:rsidR="00867840">
        <w:t>Public Utilities Regulatory Authority</w:t>
      </w:r>
      <w:r>
        <w:t>, State of Connecticut, and was forwarded by Certified Mail to all parties of record in this proceeding on the date indicated.</w:t>
      </w:r>
    </w:p>
    <w:p w14:paraId="3E3DFAB3" w14:textId="77777777" w:rsidR="001F587C" w:rsidRDefault="001F587C" w:rsidP="003E1168">
      <w:pPr>
        <w:jc w:val="both"/>
      </w:pPr>
    </w:p>
    <w:p w14:paraId="6AC785C2" w14:textId="77777777" w:rsidR="001F587C" w:rsidRDefault="001F587C" w:rsidP="003E1168">
      <w:pPr>
        <w:jc w:val="both"/>
      </w:pPr>
    </w:p>
    <w:tbl>
      <w:tblPr>
        <w:tblW w:w="9468" w:type="dxa"/>
        <w:tblInd w:w="180" w:type="dxa"/>
        <w:tblLayout w:type="fixed"/>
        <w:tblLook w:val="0000" w:firstRow="0" w:lastRow="0" w:firstColumn="0" w:lastColumn="0" w:noHBand="0" w:noVBand="0"/>
      </w:tblPr>
      <w:tblGrid>
        <w:gridCol w:w="918"/>
        <w:gridCol w:w="5850"/>
        <w:gridCol w:w="270"/>
        <w:gridCol w:w="2430"/>
      </w:tblGrid>
      <w:tr w:rsidR="001F587C" w14:paraId="5D741C66" w14:textId="77777777" w:rsidTr="006826A9">
        <w:trPr>
          <w:cantSplit/>
        </w:trPr>
        <w:tc>
          <w:tcPr>
            <w:tcW w:w="918" w:type="dxa"/>
          </w:tcPr>
          <w:p w14:paraId="0363506D" w14:textId="77777777" w:rsidR="001F587C" w:rsidRDefault="001F587C" w:rsidP="003E1168">
            <w:pPr>
              <w:jc w:val="both"/>
            </w:pPr>
          </w:p>
        </w:tc>
        <w:tc>
          <w:tcPr>
            <w:tcW w:w="5850" w:type="dxa"/>
          </w:tcPr>
          <w:p w14:paraId="14111D46" w14:textId="77777777" w:rsidR="001F587C" w:rsidRDefault="001F587C" w:rsidP="003E1168">
            <w:pPr>
              <w:jc w:val="both"/>
            </w:pPr>
          </w:p>
        </w:tc>
        <w:tc>
          <w:tcPr>
            <w:tcW w:w="270" w:type="dxa"/>
          </w:tcPr>
          <w:p w14:paraId="6F9CB854" w14:textId="77777777" w:rsidR="001F587C" w:rsidRDefault="001F587C" w:rsidP="003E1168">
            <w:pPr>
              <w:jc w:val="both"/>
            </w:pPr>
          </w:p>
        </w:tc>
        <w:tc>
          <w:tcPr>
            <w:tcW w:w="2430" w:type="dxa"/>
          </w:tcPr>
          <w:p w14:paraId="6A586DAB" w14:textId="77777777" w:rsidR="001F587C" w:rsidRDefault="001F587C" w:rsidP="003E1168">
            <w:pPr>
              <w:jc w:val="both"/>
            </w:pPr>
          </w:p>
        </w:tc>
      </w:tr>
      <w:tr w:rsidR="001F587C" w14:paraId="1B4718F6" w14:textId="77777777" w:rsidTr="006826A9">
        <w:trPr>
          <w:cantSplit/>
        </w:trPr>
        <w:tc>
          <w:tcPr>
            <w:tcW w:w="918" w:type="dxa"/>
          </w:tcPr>
          <w:p w14:paraId="4A7268BE" w14:textId="77777777" w:rsidR="001F587C" w:rsidRDefault="001F587C" w:rsidP="003E1168">
            <w:pPr>
              <w:jc w:val="both"/>
            </w:pPr>
          </w:p>
        </w:tc>
        <w:tc>
          <w:tcPr>
            <w:tcW w:w="5850" w:type="dxa"/>
          </w:tcPr>
          <w:p w14:paraId="22292C3F" w14:textId="77777777" w:rsidR="001F587C" w:rsidRDefault="001F587C" w:rsidP="003E1168">
            <w:pPr>
              <w:jc w:val="both"/>
            </w:pPr>
          </w:p>
        </w:tc>
        <w:tc>
          <w:tcPr>
            <w:tcW w:w="270" w:type="dxa"/>
          </w:tcPr>
          <w:p w14:paraId="209343F5" w14:textId="77777777" w:rsidR="001F587C" w:rsidRDefault="001F587C" w:rsidP="003E1168">
            <w:pPr>
              <w:jc w:val="both"/>
            </w:pPr>
          </w:p>
        </w:tc>
        <w:tc>
          <w:tcPr>
            <w:tcW w:w="2430" w:type="dxa"/>
          </w:tcPr>
          <w:p w14:paraId="4CA2C407" w14:textId="77777777" w:rsidR="001F587C" w:rsidRDefault="001F587C" w:rsidP="003E1168">
            <w:pPr>
              <w:jc w:val="both"/>
            </w:pPr>
          </w:p>
        </w:tc>
      </w:tr>
      <w:tr w:rsidR="001F587C" w14:paraId="46946283" w14:textId="77777777" w:rsidTr="006826A9">
        <w:trPr>
          <w:cantSplit/>
        </w:trPr>
        <w:tc>
          <w:tcPr>
            <w:tcW w:w="918" w:type="dxa"/>
          </w:tcPr>
          <w:p w14:paraId="119555BC" w14:textId="77777777" w:rsidR="001F587C" w:rsidRDefault="001F587C" w:rsidP="003E1168">
            <w:pPr>
              <w:jc w:val="both"/>
            </w:pPr>
          </w:p>
        </w:tc>
        <w:tc>
          <w:tcPr>
            <w:tcW w:w="5850" w:type="dxa"/>
          </w:tcPr>
          <w:p w14:paraId="2906C1E6" w14:textId="77777777" w:rsidR="001F587C" w:rsidRDefault="001F587C" w:rsidP="003E1168">
            <w:pPr>
              <w:jc w:val="both"/>
            </w:pPr>
          </w:p>
        </w:tc>
        <w:tc>
          <w:tcPr>
            <w:tcW w:w="270" w:type="dxa"/>
          </w:tcPr>
          <w:p w14:paraId="03495BAA" w14:textId="77777777" w:rsidR="001F587C" w:rsidRDefault="001F587C" w:rsidP="003E1168">
            <w:pPr>
              <w:jc w:val="both"/>
            </w:pPr>
          </w:p>
        </w:tc>
        <w:tc>
          <w:tcPr>
            <w:tcW w:w="2430" w:type="dxa"/>
          </w:tcPr>
          <w:p w14:paraId="304E4AB2" w14:textId="77777777" w:rsidR="001F587C" w:rsidRDefault="001F587C" w:rsidP="003E1168">
            <w:pPr>
              <w:jc w:val="both"/>
            </w:pPr>
          </w:p>
        </w:tc>
      </w:tr>
      <w:tr w:rsidR="001F587C" w14:paraId="4D1ACE32" w14:textId="77777777" w:rsidTr="006826A9">
        <w:trPr>
          <w:cantSplit/>
        </w:trPr>
        <w:tc>
          <w:tcPr>
            <w:tcW w:w="918" w:type="dxa"/>
          </w:tcPr>
          <w:p w14:paraId="45940FE2" w14:textId="77777777" w:rsidR="001F587C" w:rsidRDefault="001F587C" w:rsidP="003E1168">
            <w:pPr>
              <w:jc w:val="both"/>
            </w:pPr>
          </w:p>
        </w:tc>
        <w:tc>
          <w:tcPr>
            <w:tcW w:w="5850" w:type="dxa"/>
            <w:tcBorders>
              <w:bottom w:val="single" w:sz="12" w:space="0" w:color="auto"/>
            </w:tcBorders>
          </w:tcPr>
          <w:p w14:paraId="5C323834" w14:textId="1B2468E9" w:rsidR="001F587C" w:rsidRDefault="00B114E4" w:rsidP="003E1168">
            <w:pPr>
              <w:jc w:val="both"/>
            </w:pPr>
            <w:r>
              <w:rPr>
                <w:noProof/>
              </w:rPr>
              <w:drawing>
                <wp:inline distT="0" distB="0" distL="0" distR="0" wp14:anchorId="5ED971F5" wp14:editId="56F5B080">
                  <wp:extent cx="1297305" cy="638175"/>
                  <wp:effectExtent l="0" t="0" r="0" b="9525"/>
                  <wp:docPr id="2" name="Picture 2" descr="P:\Jeff G\Jeff.jpg"/>
                  <wp:cNvGraphicFramePr/>
                  <a:graphic xmlns:a="http://schemas.openxmlformats.org/drawingml/2006/main">
                    <a:graphicData uri="http://schemas.openxmlformats.org/drawingml/2006/picture">
                      <pic:pic xmlns:pic="http://schemas.openxmlformats.org/drawingml/2006/picture">
                        <pic:nvPicPr>
                          <pic:cNvPr id="2" name="Picture 2" descr="P:\Jeff G\Jeff.jpg"/>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97305" cy="638175"/>
                          </a:xfrm>
                          <a:prstGeom prst="rect">
                            <a:avLst/>
                          </a:prstGeom>
                          <a:noFill/>
                          <a:ln>
                            <a:noFill/>
                          </a:ln>
                        </pic:spPr>
                      </pic:pic>
                    </a:graphicData>
                  </a:graphic>
                </wp:inline>
              </w:drawing>
            </w:r>
          </w:p>
        </w:tc>
        <w:tc>
          <w:tcPr>
            <w:tcW w:w="270" w:type="dxa"/>
          </w:tcPr>
          <w:p w14:paraId="0DA2FA56" w14:textId="77777777" w:rsidR="001F587C" w:rsidRDefault="001F587C" w:rsidP="003E1168">
            <w:pPr>
              <w:jc w:val="both"/>
            </w:pPr>
          </w:p>
        </w:tc>
        <w:tc>
          <w:tcPr>
            <w:tcW w:w="2430" w:type="dxa"/>
            <w:tcBorders>
              <w:bottom w:val="single" w:sz="12" w:space="0" w:color="auto"/>
            </w:tcBorders>
          </w:tcPr>
          <w:p w14:paraId="2A80F8F1" w14:textId="77777777" w:rsidR="001F587C" w:rsidRDefault="001F587C" w:rsidP="003E1168">
            <w:pPr>
              <w:jc w:val="both"/>
            </w:pPr>
          </w:p>
          <w:p w14:paraId="30DAF23E" w14:textId="77777777" w:rsidR="00B114E4" w:rsidRDefault="00B114E4" w:rsidP="003E1168">
            <w:pPr>
              <w:jc w:val="both"/>
            </w:pPr>
          </w:p>
          <w:p w14:paraId="5A8C134E" w14:textId="77777777" w:rsidR="00B114E4" w:rsidRDefault="00B114E4" w:rsidP="003E1168">
            <w:pPr>
              <w:jc w:val="both"/>
            </w:pPr>
          </w:p>
          <w:p w14:paraId="406A67BF" w14:textId="1CD68986" w:rsidR="00B114E4" w:rsidRDefault="00B114E4" w:rsidP="003E1168">
            <w:pPr>
              <w:jc w:val="both"/>
            </w:pPr>
            <w:r>
              <w:t>December 20, 2017</w:t>
            </w:r>
          </w:p>
        </w:tc>
      </w:tr>
      <w:tr w:rsidR="001F587C" w14:paraId="32DCBFF3" w14:textId="77777777" w:rsidTr="006826A9">
        <w:trPr>
          <w:cantSplit/>
        </w:trPr>
        <w:tc>
          <w:tcPr>
            <w:tcW w:w="918" w:type="dxa"/>
          </w:tcPr>
          <w:p w14:paraId="18653CC4" w14:textId="77777777" w:rsidR="001F587C" w:rsidRDefault="001F587C" w:rsidP="003E1168">
            <w:pPr>
              <w:jc w:val="both"/>
            </w:pPr>
          </w:p>
        </w:tc>
        <w:tc>
          <w:tcPr>
            <w:tcW w:w="5850" w:type="dxa"/>
          </w:tcPr>
          <w:p w14:paraId="7ED8F48E" w14:textId="77777777" w:rsidR="001F587C" w:rsidRDefault="00F71FCC" w:rsidP="003E1168">
            <w:pPr>
              <w:jc w:val="both"/>
            </w:pPr>
            <w:r>
              <w:t>Jeffrey R. Gaudiosi, Esq.</w:t>
            </w:r>
          </w:p>
        </w:tc>
        <w:tc>
          <w:tcPr>
            <w:tcW w:w="270" w:type="dxa"/>
          </w:tcPr>
          <w:p w14:paraId="642AE51E" w14:textId="77777777" w:rsidR="001F587C" w:rsidRDefault="001F587C" w:rsidP="003E1168">
            <w:pPr>
              <w:jc w:val="both"/>
            </w:pPr>
          </w:p>
        </w:tc>
        <w:tc>
          <w:tcPr>
            <w:tcW w:w="2430" w:type="dxa"/>
          </w:tcPr>
          <w:p w14:paraId="5CA4A1B7" w14:textId="77777777" w:rsidR="001F587C" w:rsidRDefault="001F587C" w:rsidP="003E1168">
            <w:pPr>
              <w:jc w:val="both"/>
            </w:pPr>
            <w:r>
              <w:t>Date</w:t>
            </w:r>
          </w:p>
        </w:tc>
      </w:tr>
      <w:tr w:rsidR="001F587C" w14:paraId="6CEF3D20" w14:textId="77777777" w:rsidTr="006826A9">
        <w:trPr>
          <w:cantSplit/>
        </w:trPr>
        <w:tc>
          <w:tcPr>
            <w:tcW w:w="918" w:type="dxa"/>
          </w:tcPr>
          <w:p w14:paraId="59BC9848" w14:textId="77777777" w:rsidR="001F587C" w:rsidRDefault="001F587C" w:rsidP="003E1168">
            <w:pPr>
              <w:jc w:val="both"/>
            </w:pPr>
          </w:p>
        </w:tc>
        <w:tc>
          <w:tcPr>
            <w:tcW w:w="5850" w:type="dxa"/>
          </w:tcPr>
          <w:p w14:paraId="332AD52E" w14:textId="77777777" w:rsidR="001F587C" w:rsidRDefault="00F71FCC" w:rsidP="003E1168">
            <w:pPr>
              <w:jc w:val="both"/>
            </w:pPr>
            <w:r>
              <w:t>Executive Secretary</w:t>
            </w:r>
          </w:p>
        </w:tc>
        <w:tc>
          <w:tcPr>
            <w:tcW w:w="270" w:type="dxa"/>
          </w:tcPr>
          <w:p w14:paraId="0D410315" w14:textId="77777777" w:rsidR="001F587C" w:rsidRDefault="001F587C" w:rsidP="003E1168">
            <w:pPr>
              <w:jc w:val="both"/>
            </w:pPr>
          </w:p>
        </w:tc>
        <w:tc>
          <w:tcPr>
            <w:tcW w:w="2430" w:type="dxa"/>
          </w:tcPr>
          <w:p w14:paraId="121FE70B" w14:textId="77777777" w:rsidR="001F587C" w:rsidRDefault="001F587C" w:rsidP="003E1168">
            <w:pPr>
              <w:jc w:val="both"/>
            </w:pPr>
          </w:p>
        </w:tc>
      </w:tr>
      <w:tr w:rsidR="001F587C" w14:paraId="793F9831" w14:textId="77777777" w:rsidTr="006826A9">
        <w:trPr>
          <w:cantSplit/>
        </w:trPr>
        <w:tc>
          <w:tcPr>
            <w:tcW w:w="918" w:type="dxa"/>
          </w:tcPr>
          <w:p w14:paraId="3108F44E" w14:textId="77777777" w:rsidR="001F587C" w:rsidRDefault="001F587C" w:rsidP="003E1168">
            <w:pPr>
              <w:jc w:val="both"/>
            </w:pPr>
          </w:p>
        </w:tc>
        <w:tc>
          <w:tcPr>
            <w:tcW w:w="5850" w:type="dxa"/>
          </w:tcPr>
          <w:p w14:paraId="3F911B98" w14:textId="77777777" w:rsidR="001F587C" w:rsidRDefault="00867840" w:rsidP="003E1168">
            <w:pPr>
              <w:jc w:val="both"/>
            </w:pPr>
            <w:r>
              <w:t>Public Utilities Regulatory Authority</w:t>
            </w:r>
          </w:p>
        </w:tc>
        <w:tc>
          <w:tcPr>
            <w:tcW w:w="270" w:type="dxa"/>
          </w:tcPr>
          <w:p w14:paraId="3CDC6618" w14:textId="77777777" w:rsidR="001F587C" w:rsidRDefault="001F587C" w:rsidP="003E1168">
            <w:pPr>
              <w:jc w:val="both"/>
            </w:pPr>
          </w:p>
        </w:tc>
        <w:tc>
          <w:tcPr>
            <w:tcW w:w="2430" w:type="dxa"/>
          </w:tcPr>
          <w:p w14:paraId="6E457252" w14:textId="77777777" w:rsidR="001F587C" w:rsidRDefault="001F587C" w:rsidP="003E1168">
            <w:pPr>
              <w:jc w:val="both"/>
            </w:pPr>
          </w:p>
        </w:tc>
      </w:tr>
    </w:tbl>
    <w:p w14:paraId="17BE78EE" w14:textId="77777777" w:rsidR="00000234" w:rsidRDefault="00000234" w:rsidP="003E1168">
      <w:pPr>
        <w:tabs>
          <w:tab w:val="left" w:pos="5580"/>
        </w:tabs>
        <w:jc w:val="both"/>
        <w:rPr>
          <w:caps/>
          <w:sz w:val="20"/>
        </w:rPr>
      </w:pPr>
      <w:r>
        <w:rPr>
          <w:caps/>
          <w:sz w:val="20"/>
        </w:rPr>
        <w:fldChar w:fldCharType="begin"/>
      </w:r>
      <w:r>
        <w:rPr>
          <w:caps/>
          <w:sz w:val="20"/>
        </w:rPr>
        <w:instrText xml:space="preserve"> ASK  lead "Enter the lead staff's first initial and last name (i.e. G. Fuller)" \d "G. Fuller" </w:instrText>
      </w:r>
      <w:r>
        <w:rPr>
          <w:caps/>
          <w:sz w:val="20"/>
        </w:rPr>
        <w:fldChar w:fldCharType="separate"/>
      </w:r>
      <w:bookmarkStart w:id="129" w:name="lead"/>
      <w:r w:rsidR="000F69E2">
        <w:rPr>
          <w:caps/>
          <w:sz w:val="20"/>
        </w:rPr>
        <w:t>R. Skarzynski</w:t>
      </w:r>
      <w:bookmarkEnd w:id="129"/>
      <w:r>
        <w:rPr>
          <w:caps/>
          <w:sz w:val="20"/>
        </w:rPr>
        <w:fldChar w:fldCharType="end"/>
      </w:r>
    </w:p>
    <w:p w14:paraId="0131EFF2" w14:textId="77777777" w:rsidR="00000234" w:rsidRDefault="00000234" w:rsidP="003E1168">
      <w:pPr>
        <w:tabs>
          <w:tab w:val="left" w:pos="5580"/>
        </w:tabs>
        <w:jc w:val="both"/>
        <w:rPr>
          <w:caps/>
          <w:sz w:val="20"/>
        </w:rPr>
      </w:pPr>
      <w:r>
        <w:rPr>
          <w:caps/>
          <w:sz w:val="20"/>
        </w:rPr>
        <w:fldChar w:fldCharType="begin"/>
      </w:r>
      <w:r>
        <w:rPr>
          <w:caps/>
          <w:sz w:val="20"/>
        </w:rPr>
        <w:instrText xml:space="preserve"> ASK  LEGAL "Enter the LEGAL ADVISOR's first initial and last name (i.e. T. Caruso)" \d "T. Caruso" </w:instrText>
      </w:r>
      <w:r>
        <w:rPr>
          <w:caps/>
          <w:sz w:val="20"/>
        </w:rPr>
        <w:fldChar w:fldCharType="separate"/>
      </w:r>
      <w:bookmarkStart w:id="130" w:name="LEGAL"/>
      <w:r w:rsidR="000F69E2">
        <w:rPr>
          <w:caps/>
          <w:sz w:val="20"/>
        </w:rPr>
        <w:t>R. Luysterborghs</w:t>
      </w:r>
      <w:bookmarkEnd w:id="130"/>
      <w:r>
        <w:rPr>
          <w:caps/>
          <w:sz w:val="20"/>
        </w:rPr>
        <w:fldChar w:fldCharType="end"/>
      </w:r>
    </w:p>
    <w:p w14:paraId="73CED434" w14:textId="77777777" w:rsidR="001F587C" w:rsidRDefault="001F587C" w:rsidP="003E1168">
      <w:pPr>
        <w:tabs>
          <w:tab w:val="left" w:pos="5580"/>
        </w:tabs>
        <w:jc w:val="both"/>
        <w:rPr>
          <w:caps/>
          <w:sz w:val="20"/>
        </w:rPr>
      </w:pPr>
    </w:p>
    <w:sectPr w:rsidR="001F587C" w:rsidSect="004B10F5">
      <w:footerReference w:type="default" r:id="rId21"/>
      <w:footerReference w:type="first" r:id="rId22"/>
      <w:pgSz w:w="12240" w:h="15840" w:code="1"/>
      <w:pgMar w:top="1152" w:right="1440" w:bottom="1152" w:left="1440" w:header="432" w:footer="288" w:gutter="0"/>
      <w:paperSrc w:first="3" w:other="3"/>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BAC35B" w14:textId="77777777" w:rsidR="00347BF6" w:rsidRDefault="00347BF6">
      <w:r>
        <w:separator/>
      </w:r>
    </w:p>
  </w:endnote>
  <w:endnote w:type="continuationSeparator" w:id="0">
    <w:p w14:paraId="6B832ABC" w14:textId="77777777" w:rsidR="00347BF6" w:rsidRDefault="0034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RRKeyCaps">
    <w:charset w:val="00"/>
    <w:family w:val="decorative"/>
    <w:pitch w:val="variable"/>
    <w:sig w:usb0="00000003" w:usb1="00000000" w:usb2="00000000" w:usb3="00000000" w:csb0="00000001" w:csb1="00000000"/>
  </w:font>
  <w:font w:name="RRKeyLetters">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MNMC+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31" w:type="dxa"/>
      <w:tblLayout w:type="fixed"/>
      <w:tblLook w:val="0000" w:firstRow="0" w:lastRow="0" w:firstColumn="0" w:lastColumn="0" w:noHBand="0" w:noVBand="0"/>
    </w:tblPr>
    <w:tblGrid>
      <w:gridCol w:w="5295"/>
      <w:gridCol w:w="4100"/>
      <w:gridCol w:w="7"/>
    </w:tblGrid>
    <w:tr w:rsidR="00347BF6" w14:paraId="2DB16800" w14:textId="77777777">
      <w:trPr>
        <w:cantSplit/>
      </w:trPr>
      <w:tc>
        <w:tcPr>
          <w:tcW w:w="9402" w:type="dxa"/>
          <w:gridSpan w:val="3"/>
        </w:tcPr>
        <w:p w14:paraId="42861A72" w14:textId="4B887545" w:rsidR="00347BF6" w:rsidRDefault="00347BF6">
          <w:pPr>
            <w:pStyle w:val="Footer"/>
          </w:pPr>
          <w:r>
            <w:t xml:space="preserve">Name of Document: </w:t>
          </w:r>
          <w:r w:rsidR="00B114E4">
            <w:fldChar w:fldCharType="begin"/>
          </w:r>
          <w:r w:rsidR="00B114E4">
            <w:instrText xml:space="preserve"> FILENAME \p \* MERGEFORMAT </w:instrText>
          </w:r>
          <w:r w:rsidR="00B114E4">
            <w:fldChar w:fldCharType="separate"/>
          </w:r>
          <w:r w:rsidR="00B114E4">
            <w:rPr>
              <w:noProof/>
            </w:rPr>
            <w:t>\\deep\public\NewBritainShared\PURA\SharData\AGENCY\ELECTRIC\17\17-01-12\Draft\df170112final.docx</w:t>
          </w:r>
          <w:r w:rsidR="00B114E4">
            <w:rPr>
              <w:noProof/>
            </w:rPr>
            <w:fldChar w:fldCharType="end"/>
          </w:r>
        </w:p>
      </w:tc>
    </w:tr>
    <w:tr w:rsidR="00347BF6" w14:paraId="2C061C1F" w14:textId="77777777">
      <w:trPr>
        <w:gridAfter w:val="1"/>
        <w:wAfter w:w="7" w:type="dxa"/>
        <w:cantSplit/>
      </w:trPr>
      <w:tc>
        <w:tcPr>
          <w:tcW w:w="5295" w:type="dxa"/>
        </w:tcPr>
        <w:p w14:paraId="09EF80A6" w14:textId="77777777" w:rsidR="00347BF6" w:rsidRDefault="00347BF6" w:rsidP="00B83309">
          <w:pPr>
            <w:pStyle w:val="Footer"/>
          </w:pPr>
          <w:r>
            <w:t xml:space="preserve">Lead staff: </w:t>
          </w:r>
          <w:r>
            <w:fldChar w:fldCharType="begin"/>
          </w:r>
          <w:r>
            <w:instrText xml:space="preserve"> ref Lead</w:instrText>
          </w:r>
          <w:r>
            <w:fldChar w:fldCharType="separate"/>
          </w:r>
          <w:r w:rsidR="00B114E4">
            <w:rPr>
              <w:caps/>
            </w:rPr>
            <w:t>R. Skarzynski</w:t>
          </w:r>
          <w:r>
            <w:fldChar w:fldCharType="end"/>
          </w:r>
          <w:r>
            <w:t xml:space="preserve">  Legal Advisor: </w:t>
          </w:r>
          <w:r>
            <w:fldChar w:fldCharType="begin"/>
          </w:r>
          <w:r>
            <w:instrText xml:space="preserve"> ref Legal</w:instrText>
          </w:r>
          <w:r>
            <w:fldChar w:fldCharType="separate"/>
          </w:r>
          <w:r w:rsidR="00B114E4">
            <w:rPr>
              <w:caps/>
            </w:rPr>
            <w:t>R. Luysterborghs</w:t>
          </w:r>
          <w:r>
            <w:fldChar w:fldCharType="end"/>
          </w:r>
        </w:p>
      </w:tc>
      <w:tc>
        <w:tcPr>
          <w:tcW w:w="4100" w:type="dxa"/>
        </w:tcPr>
        <w:p w14:paraId="44272012" w14:textId="03A82004" w:rsidR="00347BF6" w:rsidRDefault="00347BF6">
          <w:pPr>
            <w:pStyle w:val="Footer"/>
            <w:jc w:val="right"/>
          </w:pPr>
          <w:r>
            <w:t xml:space="preserve">Date/Time: </w:t>
          </w:r>
          <w:r>
            <w:fldChar w:fldCharType="begin"/>
          </w:r>
          <w:r>
            <w:instrText>TIME \@ "MMMM d, yyyy"</w:instrText>
          </w:r>
          <w:r>
            <w:fldChar w:fldCharType="separate"/>
          </w:r>
          <w:r w:rsidR="00B114E4">
            <w:rPr>
              <w:noProof/>
            </w:rPr>
            <w:t>December 20, 2017</w:t>
          </w:r>
          <w:r>
            <w:fldChar w:fldCharType="end"/>
          </w:r>
          <w:r>
            <w:t xml:space="preserve"> </w:t>
          </w:r>
          <w:r>
            <w:fldChar w:fldCharType="begin"/>
          </w:r>
          <w:r>
            <w:instrText>TIME \@ "hh:mm AM/PM"</w:instrText>
          </w:r>
          <w:r>
            <w:fldChar w:fldCharType="separate"/>
          </w:r>
          <w:r w:rsidR="00B114E4">
            <w:rPr>
              <w:noProof/>
            </w:rPr>
            <w:t>12:05 PM</w:t>
          </w:r>
          <w:r>
            <w:fldChar w:fldCharType="end"/>
          </w:r>
        </w:p>
      </w:tc>
    </w:tr>
  </w:tbl>
  <w:p w14:paraId="017192FA" w14:textId="77777777" w:rsidR="00347BF6" w:rsidRDefault="00347BF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AE57F" w14:textId="77777777" w:rsidR="00347BF6" w:rsidRDefault="00347BF6">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1304318"/>
      <w:docPartObj>
        <w:docPartGallery w:val="Page Numbers (Bottom of Page)"/>
        <w:docPartUnique/>
      </w:docPartObj>
    </w:sdtPr>
    <w:sdtEndPr>
      <w:rPr>
        <w:noProof/>
      </w:rPr>
    </w:sdtEndPr>
    <w:sdtContent>
      <w:p w14:paraId="3DF824AA" w14:textId="5EF26871" w:rsidR="00347BF6" w:rsidRDefault="00347BF6">
        <w:pPr>
          <w:pStyle w:val="Footer"/>
          <w:jc w:val="center"/>
        </w:pPr>
        <w:r>
          <w:fldChar w:fldCharType="begin"/>
        </w:r>
        <w:r>
          <w:instrText xml:space="preserve"> PAGE   \* MERGEFORMAT </w:instrText>
        </w:r>
        <w:r>
          <w:fldChar w:fldCharType="separate"/>
        </w:r>
        <w:r w:rsidR="00B114E4">
          <w:rPr>
            <w:noProof/>
          </w:rPr>
          <w:t>ii</w:t>
        </w:r>
        <w:r>
          <w:rPr>
            <w:noProof/>
          </w:rPr>
          <w:fldChar w:fldCharType="end"/>
        </w:r>
      </w:p>
    </w:sdtContent>
  </w:sdt>
  <w:p w14:paraId="657D0FB1" w14:textId="15C9C55E" w:rsidR="00347BF6" w:rsidRDefault="00347BF6" w:rsidP="00D47802">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8C4EF" w14:textId="77777777" w:rsidR="00347BF6" w:rsidRDefault="00347BF6">
    <w:pPr>
      <w:pStyle w:val="Footer"/>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2EA625" w14:textId="6C3ED50D" w:rsidR="00347BF6" w:rsidRDefault="00347BF6">
    <w:pPr>
      <w:pStyle w:val="Footer"/>
      <w:jc w:val="center"/>
    </w:pPr>
  </w:p>
  <w:p w14:paraId="5BA8A3D8" w14:textId="77777777" w:rsidR="00347BF6" w:rsidRDefault="00347BF6" w:rsidP="00D47802">
    <w:pPr>
      <w:pStyle w:val="Footer"/>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91D1A7" w14:textId="77777777" w:rsidR="00347BF6" w:rsidRDefault="00347BF6">
    <w:pPr>
      <w:pStyle w:val="Footer"/>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E6CC5" w14:textId="77777777" w:rsidR="00347BF6" w:rsidRDefault="00347BF6">
    <w:pPr>
      <w:pStyle w:val="Foote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350B9" w14:textId="77777777" w:rsidR="00347BF6" w:rsidRDefault="00347BF6">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35AFD" w14:textId="77777777" w:rsidR="00347BF6" w:rsidRDefault="00347BF6">
      <w:r>
        <w:separator/>
      </w:r>
    </w:p>
  </w:footnote>
  <w:footnote w:type="continuationSeparator" w:id="0">
    <w:p w14:paraId="5D15830B" w14:textId="77777777" w:rsidR="00347BF6" w:rsidRDefault="00347BF6">
      <w:r>
        <w:continuationSeparator/>
      </w:r>
    </w:p>
  </w:footnote>
  <w:footnote w:id="1">
    <w:p w14:paraId="4F8E57E7" w14:textId="53C991D1" w:rsidR="00347BF6" w:rsidRPr="008207ED" w:rsidRDefault="00347BF6" w:rsidP="00517D4C">
      <w:pPr>
        <w:pStyle w:val="FootnoteText"/>
        <w:jc w:val="both"/>
      </w:pPr>
      <w:r>
        <w:rPr>
          <w:rStyle w:val="FootnoteReference"/>
        </w:rPr>
        <w:footnoteRef/>
      </w:r>
      <w:r>
        <w:t xml:space="preserve"> </w:t>
      </w:r>
      <w:r>
        <w:tab/>
      </w:r>
      <w:r>
        <w:rPr>
          <w:i/>
        </w:rPr>
        <w:t xml:space="preserve">See </w:t>
      </w:r>
      <w:r>
        <w:rPr>
          <w:rFonts w:cs="Arial"/>
          <w:szCs w:val="24"/>
        </w:rPr>
        <w:t xml:space="preserve">Conn. Gen. Stat. </w:t>
      </w:r>
      <w:r w:rsidRPr="003326B1">
        <w:rPr>
          <w:rFonts w:cs="Arial"/>
          <w:szCs w:val="24"/>
        </w:rPr>
        <w:t>§16-19</w:t>
      </w:r>
      <w:r>
        <w:rPr>
          <w:rFonts w:cs="Arial"/>
          <w:szCs w:val="24"/>
        </w:rPr>
        <w:t xml:space="preserve"> (providing in relevant part that “[i]f</w:t>
      </w:r>
      <w:r w:rsidRPr="003326B1">
        <w:rPr>
          <w:rFonts w:cs="Arial"/>
          <w:szCs w:val="24"/>
        </w:rPr>
        <w:t xml:space="preserve"> the authority finds any proposed amendment of rates to not conform to the principles and guidelines set forth in section 16-19e, or to be unreasonably discriminatory or more or less than just, reasonable and adequate to enable such company to provide properly for the public convenience, necessity and welfare, or the service to be inadequate or excessive, </w:t>
      </w:r>
      <w:r w:rsidRPr="003326B1">
        <w:rPr>
          <w:rFonts w:cs="Arial"/>
          <w:b/>
          <w:i/>
          <w:szCs w:val="24"/>
        </w:rPr>
        <w:t>it shall determine and prescribe, as appropriate</w:t>
      </w:r>
      <w:r>
        <w:rPr>
          <w:rFonts w:cs="Arial"/>
          <w:szCs w:val="24"/>
        </w:rPr>
        <w:t xml:space="preserve"> . . . </w:t>
      </w:r>
      <w:r w:rsidRPr="003326B1">
        <w:rPr>
          <w:rFonts w:cs="Arial"/>
          <w:b/>
          <w:i/>
          <w:szCs w:val="24"/>
        </w:rPr>
        <w:t>just and reasonable maximum rates and charges to be made by such company</w:t>
      </w:r>
      <w:r>
        <w:rPr>
          <w:rFonts w:cs="Arial"/>
          <w:szCs w:val="24"/>
        </w:rPr>
        <w:t xml:space="preserve">”)(emphasis added); and Conn. Gen. Stat. </w:t>
      </w:r>
      <w:r w:rsidRPr="008F2DBA">
        <w:rPr>
          <w:rFonts w:cs="Arial"/>
          <w:szCs w:val="24"/>
        </w:rPr>
        <w:t xml:space="preserve">§16-19e </w:t>
      </w:r>
      <w:r>
        <w:rPr>
          <w:rFonts w:cs="Arial"/>
          <w:szCs w:val="24"/>
        </w:rPr>
        <w:t>(providing</w:t>
      </w:r>
      <w:r w:rsidRPr="008F2DBA">
        <w:rPr>
          <w:rFonts w:cs="Arial"/>
          <w:szCs w:val="24"/>
        </w:rPr>
        <w:t xml:space="preserve">, in relevant part, that the Authority shall structure and approve rates designed to permit the public service companies to perform all of their respective public responsibilities and to be sufficient, but no more than sufficient, to allow </w:t>
      </w:r>
      <w:r>
        <w:rPr>
          <w:rFonts w:cs="Arial"/>
          <w:szCs w:val="24"/>
        </w:rPr>
        <w:t xml:space="preserve">the </w:t>
      </w:r>
      <w:r w:rsidRPr="008F2DBA">
        <w:rPr>
          <w:rFonts w:cs="Arial"/>
          <w:szCs w:val="24"/>
        </w:rPr>
        <w:t>companies to cover their operating costs including, but not limited to, appropriate staffing levels, and capital costs.</w:t>
      </w:r>
      <w:r>
        <w:rPr>
          <w:rFonts w:cs="Arial"/>
          <w:szCs w:val="24"/>
        </w:rPr>
        <w:t>)</w:t>
      </w:r>
    </w:p>
  </w:footnote>
  <w:footnote w:id="2">
    <w:p w14:paraId="22CF1981" w14:textId="77777777" w:rsidR="00347BF6" w:rsidRDefault="00347BF6" w:rsidP="00517D4C">
      <w:pPr>
        <w:pStyle w:val="FootnoteText"/>
        <w:jc w:val="both"/>
      </w:pPr>
      <w:r>
        <w:rPr>
          <w:rStyle w:val="FootnoteReference"/>
        </w:rPr>
        <w:footnoteRef/>
      </w:r>
      <w:r>
        <w:tab/>
        <w:t>The Court further noted a U.S. Supreme Court precedent on this issue: “Ratemaking bodies (are not bound) to the service of any single formula or combination of formulas.  The agency to which the legislative power has been delegated is free, within the scope of its regulatory purview, to make the pragmatic adjustments which may be called for by particular circumstances.”  Greenwich, 219 Conn. at 126, FN 4 (1991) (quoting Power Commission v. Pipeline, Co., 315 U.S. 575, 586 62 S.Ct. 736, 86 L.Ed. 1037 (1942)).</w:t>
      </w:r>
    </w:p>
    <w:p w14:paraId="7E122281" w14:textId="489B06EC" w:rsidR="00347BF6" w:rsidRDefault="00347BF6" w:rsidP="00517D4C">
      <w:pPr>
        <w:pStyle w:val="FootnoteText"/>
        <w:ind w:firstLine="0"/>
        <w:jc w:val="both"/>
      </w:pPr>
      <w:r>
        <w:t>The Greenwich decision further discussed these powers as follows:</w:t>
      </w:r>
    </w:p>
    <w:p w14:paraId="19BD442A" w14:textId="3FF4E456" w:rsidR="00347BF6" w:rsidRDefault="00347BF6" w:rsidP="00D04404">
      <w:pPr>
        <w:pStyle w:val="FootnoteText"/>
        <w:ind w:right="288" w:firstLine="0"/>
        <w:jc w:val="both"/>
      </w:pPr>
      <w:r>
        <w:t>Courts have frequently observed that the task of rate-making require[s] expertise, technical skill, and constant attention and that it [is] obvious that legislatures were unable to discharge this obligation directly.’ 1 J. Sutherland, Statutory Construction (4th Ed.Sands) §4.20.  As a result, enabling statutes have been construed as an expansive grant of authority to administrative agencies, and have been interpreted in a manner that allows the agencies significant latitude in setting rate policies.  Federal Power Commission v. Hope Natural Gas Co., 320 U.S. 591, 600-602, 615, 64 S.Ct. 281, 88 L.Ed. 333 (1944); see also Hartford Electric Light Co. v. Water Resources Commission, 162 Conn. 89, 93, 291 A.2d 721 (1971); Connecticut Co. v. Norwalk, 89 Conn. 528, 533, 94 A. 992 (1915).  Greenwich, 219 Conn. at 126, FN 3.</w:t>
      </w:r>
    </w:p>
  </w:footnote>
  <w:footnote w:id="3">
    <w:p w14:paraId="0CECBA15" w14:textId="57CC4D97" w:rsidR="00347BF6" w:rsidRDefault="00347BF6" w:rsidP="00517D4C">
      <w:pPr>
        <w:pStyle w:val="FootnoteText"/>
      </w:pPr>
      <w:r>
        <w:rPr>
          <w:rStyle w:val="FootnoteReference"/>
        </w:rPr>
        <w:footnoteRef/>
      </w:r>
      <w:r>
        <w:t xml:space="preserve"> </w:t>
      </w:r>
      <w:r>
        <w:tab/>
        <w:t>See, e.g., Senate Bill 570, An</w:t>
      </w:r>
      <w:r w:rsidRPr="003A4B2D">
        <w:t xml:space="preserve"> A</w:t>
      </w:r>
      <w:r>
        <w:t>ct</w:t>
      </w:r>
      <w:r w:rsidRPr="003A4B2D">
        <w:t xml:space="preserve"> C</w:t>
      </w:r>
      <w:r>
        <w:t>oncerning</w:t>
      </w:r>
      <w:r w:rsidRPr="003A4B2D">
        <w:t xml:space="preserve"> E</w:t>
      </w:r>
      <w:r>
        <w:t>lectric</w:t>
      </w:r>
      <w:r w:rsidRPr="003A4B2D">
        <w:t xml:space="preserve"> F</w:t>
      </w:r>
      <w:r>
        <w:t>ixed</w:t>
      </w:r>
      <w:r w:rsidRPr="003A4B2D">
        <w:t xml:space="preserve"> B</w:t>
      </w:r>
      <w:r>
        <w:t>ill</w:t>
      </w:r>
      <w:r w:rsidRPr="003A4B2D">
        <w:t xml:space="preserve"> F</w:t>
      </w:r>
      <w:r>
        <w:t>ees</w:t>
      </w:r>
      <w:r w:rsidRPr="003A4B2D">
        <w:t xml:space="preserve"> </w:t>
      </w:r>
      <w:r>
        <w:t>and</w:t>
      </w:r>
      <w:r w:rsidRPr="003A4B2D">
        <w:t xml:space="preserve"> G</w:t>
      </w:r>
      <w:r>
        <w:t>rid</w:t>
      </w:r>
      <w:r w:rsidRPr="003A4B2D">
        <w:t xml:space="preserve"> M</w:t>
      </w:r>
      <w:r>
        <w:t xml:space="preserve">odernization.  </w:t>
      </w:r>
    </w:p>
  </w:footnote>
  <w:footnote w:id="4">
    <w:p w14:paraId="70AB66CB" w14:textId="228D6FE4" w:rsidR="00347BF6" w:rsidRDefault="00347BF6" w:rsidP="00517D4C">
      <w:pPr>
        <w:pStyle w:val="FootnoteText"/>
        <w:jc w:val="both"/>
      </w:pPr>
      <w:r>
        <w:rPr>
          <w:rStyle w:val="FootnoteReference"/>
        </w:rPr>
        <w:footnoteRef/>
      </w:r>
      <w:r>
        <w:t xml:space="preserve"> </w:t>
      </w:r>
      <w:r>
        <w:tab/>
      </w:r>
      <w:r w:rsidRPr="00A230AD">
        <w:t xml:space="preserve">See, Decision dated December </w:t>
      </w:r>
      <w:r>
        <w:t>17, 2014 in Docket No. 14-05-06,</w:t>
      </w:r>
      <w:r w:rsidRPr="00A230AD">
        <w:t xml:space="preserve"> </w:t>
      </w:r>
      <w:r w:rsidRPr="00A230AD">
        <w:rPr>
          <w:u w:val="single"/>
        </w:rPr>
        <w:t xml:space="preserve">Application of The Connecticut Light and Power Company d/b/a Eversource Energy to Amend </w:t>
      </w:r>
      <w:r>
        <w:rPr>
          <w:u w:val="single"/>
        </w:rPr>
        <w:t>I</w:t>
      </w:r>
      <w:r w:rsidRPr="00A230AD">
        <w:rPr>
          <w:u w:val="single"/>
        </w:rPr>
        <w:t>ts Rate Schedules</w:t>
      </w:r>
      <w:r w:rsidRPr="00A230AD">
        <w:t xml:space="preserve">, Section II.J.5.d.i, page 187 (CL&amp;P proposed raising residential customer charges for Residential Rates 1 and 7 from $16.00 per month to $25.50. </w:t>
      </w:r>
      <w:r>
        <w:t xml:space="preserve"> </w:t>
      </w:r>
      <w:r w:rsidRPr="00A230AD">
        <w:t xml:space="preserve">The Authority approved $19.25 </w:t>
      </w:r>
      <w:r>
        <w:t xml:space="preserve">finding that </w:t>
      </w:r>
      <w:r w:rsidRPr="00A230AD">
        <w:t xml:space="preserve">a </w:t>
      </w:r>
      <w:r>
        <w:t>“</w:t>
      </w:r>
      <w:r w:rsidRPr="00A230AD">
        <w:t>more gradual approach is warranted</w:t>
      </w:r>
      <w:r>
        <w:t>” due to</w:t>
      </w:r>
      <w:r w:rsidRPr="00A230AD">
        <w:t xml:space="preserve"> “customer opposition to the fixed charge design, the current Customer Charge levels and the implementation of a decoupling mechanism in the instant case</w:t>
      </w:r>
      <w:r>
        <w:t>. . .”</w:t>
      </w:r>
      <w:r w:rsidRPr="00A230AD">
        <w:t xml:space="preserve">); Decision dated February 4, 2009 in Docket No. 08-07-04, </w:t>
      </w:r>
      <w:r w:rsidRPr="00A230AD">
        <w:rPr>
          <w:u w:val="single"/>
        </w:rPr>
        <w:t>Application of The United Illuminating Company to Increase Its Rates and Charges</w:t>
      </w:r>
      <w:r w:rsidRPr="00A230AD">
        <w:t>, p</w:t>
      </w:r>
      <w:r>
        <w:t>age</w:t>
      </w:r>
      <w:r w:rsidRPr="00A230AD">
        <w:t xml:space="preserve"> 110, Section III.K.2.  (UI proposed to raise its residential customer charge for Rate R from $15.37 to $16.25 in 2009 and $18.25 in 2010.  The Authority denied an increase for 2009 and allowed an increase to $15.85 in 2010, taking into account the impact of the proposed increase on lower usage customers and state of the economy at the time.); </w:t>
      </w:r>
      <w:r>
        <w:t>s</w:t>
      </w:r>
      <w:r w:rsidRPr="00A230AD">
        <w:t xml:space="preserve">ee also, Decision dated January 22, 2014 in Docket No. 13-06-08, </w:t>
      </w:r>
      <w:r w:rsidRPr="00A230AD">
        <w:rPr>
          <w:u w:val="single"/>
        </w:rPr>
        <w:t>Application of Connecticut Natural Gas Corporation to Increase Its Rates and Charges</w:t>
      </w:r>
      <w:r w:rsidRPr="00A230AD">
        <w:t xml:space="preserve">, pages 140-142, Section II.M.3 and 4 (CNG proposed to raise the monthly residential customer charge from $14.00 of $16.50 and set the Delivery Charge at $0.7950 per ccf to collect the remaining customer related charges not recovered through the monthly residential customer charge.  The Authority approved the increase finding, “Although most of the Company’s proposed customer and demand charges are below COSS levels, the Authority is reluctant to impose increases beyond those proposed” because of the </w:t>
      </w:r>
      <w:r>
        <w:t xml:space="preserve">additional </w:t>
      </w:r>
      <w:r w:rsidRPr="00A230AD">
        <w:t xml:space="preserve">potential </w:t>
      </w:r>
      <w:r>
        <w:t xml:space="preserve">rate </w:t>
      </w:r>
      <w:r w:rsidRPr="00A230AD">
        <w:t xml:space="preserve">impact of </w:t>
      </w:r>
      <w:r>
        <w:t xml:space="preserve">the </w:t>
      </w:r>
      <w:r w:rsidRPr="00A230AD">
        <w:t xml:space="preserve">System Expansion </w:t>
      </w:r>
      <w:r>
        <w:t>costs</w:t>
      </w:r>
      <w:r w:rsidRPr="00A230AD">
        <w:t xml:space="preserve"> “which will reflect either 10% or 30% larger customer and demand charges.”)  </w:t>
      </w:r>
    </w:p>
  </w:footnote>
  <w:footnote w:id="5">
    <w:p w14:paraId="4BF2B40F" w14:textId="77777777" w:rsidR="00347BF6" w:rsidRDefault="00347BF6" w:rsidP="00827D53">
      <w:pPr>
        <w:pStyle w:val="FootnoteText"/>
        <w:ind w:left="180" w:hanging="180"/>
      </w:pPr>
      <w:r>
        <w:rPr>
          <w:rStyle w:val="FootnoteReference"/>
        </w:rPr>
        <w:footnoteRef/>
      </w:r>
      <w:r>
        <w:t xml:space="preserve"> </w:t>
      </w:r>
      <w:r>
        <w:tab/>
        <w:t>Refers to the installation of the physical meters and not the FERC account for customer installations.</w:t>
      </w:r>
    </w:p>
  </w:footnote>
  <w:footnote w:id="6">
    <w:p w14:paraId="1CE450A9" w14:textId="6919A71A" w:rsidR="00347BF6" w:rsidRDefault="00347BF6" w:rsidP="002662C5">
      <w:pPr>
        <w:pStyle w:val="FootnoteText"/>
        <w:ind w:left="180" w:hanging="180"/>
        <w:jc w:val="both"/>
      </w:pPr>
      <w:r>
        <w:rPr>
          <w:rStyle w:val="FootnoteReference"/>
        </w:rPr>
        <w:footnoteRef/>
      </w:r>
      <w:r>
        <w:t xml:space="preserve"> </w:t>
      </w:r>
      <w:r>
        <w:tab/>
        <w:t xml:space="preserve">The Authority utilized the Electronic Code of Federal Regulations dated June 17, 2016, </w:t>
      </w:r>
      <w:r w:rsidRPr="000F69E2">
        <w:rPr>
          <w:u w:val="single"/>
        </w:rPr>
        <w:t>Title 18, Chapter 1, Subchapter C, Part 101</w:t>
      </w:r>
      <w:r>
        <w:t xml:space="preserve"> for the USOA account descriptions contained in Section III.C. </w:t>
      </w:r>
      <w:r w:rsidRPr="0099082F">
        <w:rPr>
          <w:u w:val="single"/>
        </w:rPr>
        <w:t>FERC Accounts</w:t>
      </w:r>
      <w:r>
        <w:t>.</w:t>
      </w:r>
    </w:p>
  </w:footnote>
  <w:footnote w:id="7">
    <w:p w14:paraId="7F3C3223" w14:textId="77777777" w:rsidR="00347BF6" w:rsidRDefault="00347BF6" w:rsidP="001F79E1">
      <w:pPr>
        <w:pStyle w:val="FootnoteText"/>
        <w:tabs>
          <w:tab w:val="left" w:pos="540"/>
          <w:tab w:val="left" w:pos="1080"/>
          <w:tab w:val="left" w:pos="1260"/>
        </w:tabs>
        <w:ind w:left="270" w:hanging="270"/>
      </w:pPr>
      <w:r>
        <w:rPr>
          <w:rStyle w:val="FootnoteReference"/>
        </w:rPr>
        <w:footnoteRef/>
      </w:r>
      <w:r>
        <w:t xml:space="preserve"> </w:t>
      </w:r>
      <w:r>
        <w:tab/>
        <w:t xml:space="preserve">Account 253, </w:t>
      </w:r>
      <w:r w:rsidRPr="00877D32">
        <w:rPr>
          <w:u w:val="single"/>
        </w:rPr>
        <w:t>Other Deferred Credits</w:t>
      </w:r>
      <w:r>
        <w:t xml:space="preserve">, is generally considered a Rate Base deduction.  CL&amp;P included Deferred Taxes on CIAC as a rate base addition in its response to Late Filed Exhibit No. 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120"/>
      <w:gridCol w:w="3712"/>
      <w:gridCol w:w="2851"/>
    </w:tblGrid>
    <w:tr w:rsidR="00347BF6" w14:paraId="7CE3A6F4" w14:textId="77777777">
      <w:trPr>
        <w:cantSplit/>
      </w:trPr>
      <w:tc>
        <w:tcPr>
          <w:tcW w:w="3120" w:type="dxa"/>
        </w:tcPr>
        <w:p w14:paraId="084BE8ED" w14:textId="6804073C" w:rsidR="00347BF6" w:rsidRDefault="00347BF6">
          <w:pPr>
            <w:pStyle w:val="Header"/>
            <w:rPr>
              <w:b w:val="0"/>
            </w:rPr>
          </w:pPr>
          <w:r>
            <w:rPr>
              <w:b w:val="0"/>
            </w:rPr>
            <w:t xml:space="preserve">Docket No. </w:t>
          </w:r>
          <w:r>
            <w:rPr>
              <w:b w:val="0"/>
            </w:rPr>
            <w:fldChar w:fldCharType="begin"/>
          </w:r>
          <w:r>
            <w:rPr>
              <w:b w:val="0"/>
            </w:rPr>
            <w:instrText>ref docknum</w:instrText>
          </w:r>
          <w:r>
            <w:rPr>
              <w:b w:val="0"/>
            </w:rPr>
            <w:fldChar w:fldCharType="separate"/>
          </w:r>
          <w:r w:rsidR="00B114E4">
            <w:rPr>
              <w:caps/>
            </w:rPr>
            <w:t>17-01-12</w:t>
          </w:r>
          <w:r>
            <w:rPr>
              <w:b w:val="0"/>
            </w:rPr>
            <w:fldChar w:fldCharType="end"/>
          </w:r>
        </w:p>
      </w:tc>
      <w:tc>
        <w:tcPr>
          <w:tcW w:w="3712" w:type="dxa"/>
        </w:tcPr>
        <w:p w14:paraId="6333924E" w14:textId="77777777" w:rsidR="00347BF6" w:rsidRDefault="00347BF6">
          <w:pPr>
            <w:pStyle w:val="Header"/>
            <w:jc w:val="right"/>
            <w:rPr>
              <w:b w:val="0"/>
            </w:rPr>
          </w:pPr>
        </w:p>
      </w:tc>
      <w:tc>
        <w:tcPr>
          <w:tcW w:w="2851" w:type="dxa"/>
        </w:tcPr>
        <w:p w14:paraId="4C809BBE" w14:textId="77777777" w:rsidR="00347BF6" w:rsidRDefault="00347BF6">
          <w:pPr>
            <w:pStyle w:val="Footer"/>
            <w:jc w:val="right"/>
            <w:rPr>
              <w:sz w:val="24"/>
            </w:rPr>
          </w:pPr>
          <w:r>
            <w:rPr>
              <w:sz w:val="24"/>
            </w:rPr>
            <w:t xml:space="preserve">Page  </w:t>
          </w:r>
          <w:r>
            <w:rPr>
              <w:sz w:val="24"/>
            </w:rPr>
            <w:fldChar w:fldCharType="begin"/>
          </w:r>
          <w:r>
            <w:rPr>
              <w:sz w:val="24"/>
            </w:rPr>
            <w:instrText>PAGE</w:instrText>
          </w:r>
          <w:r>
            <w:rPr>
              <w:sz w:val="24"/>
            </w:rPr>
            <w:fldChar w:fldCharType="separate"/>
          </w:r>
          <w:r>
            <w:rPr>
              <w:noProof/>
              <w:sz w:val="24"/>
            </w:rPr>
            <w:t>2</w:t>
          </w:r>
          <w:r>
            <w:rPr>
              <w:sz w:val="24"/>
            </w:rPr>
            <w:fldChar w:fldCharType="end"/>
          </w:r>
        </w:p>
      </w:tc>
    </w:tr>
  </w:tbl>
  <w:p w14:paraId="4488E42A" w14:textId="77777777" w:rsidR="00347BF6" w:rsidRDefault="00347B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0C774" w14:textId="77777777" w:rsidR="00347BF6" w:rsidRDefault="00347B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120"/>
      <w:gridCol w:w="3712"/>
      <w:gridCol w:w="2528"/>
    </w:tblGrid>
    <w:tr w:rsidR="00347BF6" w14:paraId="7B94D777" w14:textId="77777777" w:rsidTr="003C5FB3">
      <w:trPr>
        <w:cantSplit/>
      </w:trPr>
      <w:tc>
        <w:tcPr>
          <w:tcW w:w="3120" w:type="dxa"/>
        </w:tcPr>
        <w:p w14:paraId="3B823E29" w14:textId="02E8B845" w:rsidR="00347BF6" w:rsidRDefault="00347BF6">
          <w:pPr>
            <w:pStyle w:val="Header"/>
            <w:rPr>
              <w:b w:val="0"/>
            </w:rPr>
          </w:pPr>
          <w:r>
            <w:rPr>
              <w:b w:val="0"/>
            </w:rPr>
            <w:t xml:space="preserve">Docket No. </w:t>
          </w:r>
          <w:r w:rsidRPr="00001EAD">
            <w:rPr>
              <w:b w:val="0"/>
            </w:rPr>
            <w:fldChar w:fldCharType="begin"/>
          </w:r>
          <w:r w:rsidRPr="00001EAD">
            <w:rPr>
              <w:b w:val="0"/>
            </w:rPr>
            <w:instrText xml:space="preserve">ref docknum \* MERGEFORMAT </w:instrText>
          </w:r>
          <w:r w:rsidRPr="00001EAD">
            <w:rPr>
              <w:b w:val="0"/>
            </w:rPr>
            <w:fldChar w:fldCharType="separate"/>
          </w:r>
          <w:r w:rsidR="00B114E4" w:rsidRPr="00B114E4">
            <w:rPr>
              <w:b w:val="0"/>
              <w:caps/>
            </w:rPr>
            <w:t>17-01-12</w:t>
          </w:r>
          <w:r w:rsidRPr="00001EAD">
            <w:rPr>
              <w:b w:val="0"/>
            </w:rPr>
            <w:fldChar w:fldCharType="end"/>
          </w:r>
          <w:bookmarkStart w:id="117" w:name="cover"/>
        </w:p>
      </w:tc>
      <w:tc>
        <w:tcPr>
          <w:tcW w:w="3712" w:type="dxa"/>
        </w:tcPr>
        <w:p w14:paraId="0E978410" w14:textId="77777777" w:rsidR="00347BF6" w:rsidRDefault="00347BF6">
          <w:pPr>
            <w:pStyle w:val="Header"/>
            <w:jc w:val="right"/>
            <w:rPr>
              <w:b w:val="0"/>
            </w:rPr>
          </w:pPr>
        </w:p>
      </w:tc>
      <w:tc>
        <w:tcPr>
          <w:tcW w:w="2528" w:type="dxa"/>
        </w:tcPr>
        <w:p w14:paraId="65B21321" w14:textId="77777777" w:rsidR="00347BF6" w:rsidRDefault="00347BF6">
          <w:pPr>
            <w:pStyle w:val="Footer"/>
            <w:jc w:val="right"/>
            <w:rPr>
              <w:sz w:val="24"/>
            </w:rPr>
          </w:pPr>
          <w:r>
            <w:rPr>
              <w:sz w:val="24"/>
            </w:rPr>
            <w:t xml:space="preserve">Page </w:t>
          </w:r>
          <w:r>
            <w:rPr>
              <w:sz w:val="24"/>
            </w:rPr>
            <w:fldChar w:fldCharType="begin"/>
          </w:r>
          <w:r>
            <w:rPr>
              <w:sz w:val="24"/>
            </w:rPr>
            <w:instrText>PAGE</w:instrText>
          </w:r>
          <w:r>
            <w:rPr>
              <w:sz w:val="24"/>
            </w:rPr>
            <w:fldChar w:fldCharType="separate"/>
          </w:r>
          <w:r w:rsidR="00B114E4">
            <w:rPr>
              <w:noProof/>
              <w:sz w:val="24"/>
            </w:rPr>
            <w:t>4</w:t>
          </w:r>
          <w:r>
            <w:rPr>
              <w:sz w:val="24"/>
            </w:rPr>
            <w:fldChar w:fldCharType="end"/>
          </w:r>
        </w:p>
      </w:tc>
    </w:tr>
    <w:bookmarkEnd w:id="117"/>
  </w:tbl>
  <w:p w14:paraId="181AE173" w14:textId="77777777" w:rsidR="00347BF6" w:rsidRDefault="00347BF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ED659" w14:textId="77777777" w:rsidR="00347BF6" w:rsidRDefault="00347B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4490"/>
    <w:multiLevelType w:val="hybridMultilevel"/>
    <w:tmpl w:val="1C9E23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EF73B1F"/>
    <w:multiLevelType w:val="hybridMultilevel"/>
    <w:tmpl w:val="EAAC49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1F927EB"/>
    <w:multiLevelType w:val="hybridMultilevel"/>
    <w:tmpl w:val="5D5649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A72F46"/>
    <w:multiLevelType w:val="hybridMultilevel"/>
    <w:tmpl w:val="2D06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32C48"/>
    <w:multiLevelType w:val="hybridMultilevel"/>
    <w:tmpl w:val="1FEE38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2E1A592D"/>
    <w:multiLevelType w:val="multilevel"/>
    <w:tmpl w:val="F6F49A0A"/>
    <w:styleLink w:val="CurrentList1"/>
    <w:lvl w:ilvl="0">
      <w:start w:val="1"/>
      <w:numFmt w:val="upperRoman"/>
      <w:lvlText w:val="%1."/>
      <w:lvlJc w:val="right"/>
      <w:pPr>
        <w:tabs>
          <w:tab w:val="num" w:pos="720"/>
        </w:tabs>
        <w:ind w:left="720" w:hanging="180"/>
      </w:pPr>
    </w:lvl>
    <w:lvl w:ilvl="1">
      <w:start w:val="1"/>
      <w:numFmt w:val="upperLetter"/>
      <w:lvlText w:val="%2."/>
      <w:lvlJc w:val="left"/>
      <w:pPr>
        <w:tabs>
          <w:tab w:val="num" w:pos="1440"/>
        </w:tabs>
        <w:ind w:left="1440" w:hanging="360"/>
      </w:pPr>
      <w:rPr>
        <w:rFonts w:hint="default"/>
      </w:rPr>
    </w:lvl>
    <w:lvl w:ilvl="2">
      <w:start w:val="1"/>
      <w:numFmt w:val="decimal"/>
      <w:lvlText w:val="%3."/>
      <w:lvlJc w:val="left"/>
      <w:pPr>
        <w:tabs>
          <w:tab w:val="num" w:pos="0"/>
        </w:tabs>
        <w:ind w:left="720" w:hanging="72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3F82268F"/>
    <w:multiLevelType w:val="hybridMultilevel"/>
    <w:tmpl w:val="11C88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DE4430"/>
    <w:multiLevelType w:val="multilevel"/>
    <w:tmpl w:val="FB244FDC"/>
    <w:styleLink w:val="Decision"/>
    <w:lvl w:ilvl="0">
      <w:start w:val="1"/>
      <w:numFmt w:val="upperRoman"/>
      <w:pStyle w:val="Heading1"/>
      <w:lvlText w:val="%1."/>
      <w:lvlJc w:val="left"/>
      <w:pPr>
        <w:tabs>
          <w:tab w:val="num" w:pos="360"/>
        </w:tabs>
        <w:ind w:left="0" w:firstLine="0"/>
      </w:pPr>
      <w:rPr>
        <w:rFonts w:hint="default"/>
        <w:sz w:val="24"/>
      </w:rPr>
    </w:lvl>
    <w:lvl w:ilvl="1">
      <w:start w:val="1"/>
      <w:numFmt w:val="upperLetter"/>
      <w:pStyle w:val="Heading2"/>
      <w:lvlText w:val="%2."/>
      <w:lvlJc w:val="left"/>
      <w:pPr>
        <w:tabs>
          <w:tab w:val="num" w:pos="1080"/>
        </w:tabs>
        <w:ind w:left="720" w:hanging="72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lowerRoman"/>
      <w:pStyle w:val="Heading5"/>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8">
    <w:nsid w:val="5D6F2861"/>
    <w:multiLevelType w:val="hybridMultilevel"/>
    <w:tmpl w:val="11C88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6401C0"/>
    <w:multiLevelType w:val="hybridMultilevel"/>
    <w:tmpl w:val="9F609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4">
    <w:abstractNumId w:val="7"/>
    <w:lvlOverride w:ilvl="1">
      <w:lvl w:ilvl="1">
        <w:start w:val="1"/>
        <w:numFmt w:val="upperLetter"/>
        <w:pStyle w:val="Heading2"/>
        <w:lvlText w:val="%2."/>
        <w:lvlJc w:val="left"/>
        <w:pPr>
          <w:tabs>
            <w:tab w:val="num" w:pos="1170"/>
          </w:tabs>
          <w:ind w:left="810" w:hanging="720"/>
        </w:pPr>
        <w:rPr>
          <w:rFonts w:hint="default"/>
          <w:color w:val="auto"/>
        </w:rPr>
      </w:lvl>
    </w:lvlOverride>
  </w:num>
  <w:num w:numId="5">
    <w:abstractNumId w:val="2"/>
  </w:num>
  <w:num w:numId="6">
    <w:abstractNumId w:val="9"/>
  </w:num>
  <w:num w:numId="7">
    <w:abstractNumId w:val="3"/>
  </w:num>
  <w:num w:numId="8">
    <w:abstractNumId w:val="1"/>
  </w:num>
  <w:num w:numId="9">
    <w:abstractNumId w:val="4"/>
  </w:num>
  <w:num w:numId="10">
    <w:abstractNumId w:val="6"/>
  </w:num>
  <w:num w:numId="11">
    <w:abstractNumId w:val="0"/>
  </w:num>
  <w:num w:numId="12">
    <w:abstractNumId w:val="8"/>
  </w:num>
  <w:num w:numId="13">
    <w:abstractNumId w:val="7"/>
    <w:lvlOverride w:ilvl="0">
      <w:startOverride w:val="1"/>
      <w:lvl w:ilvl="0">
        <w:start w:val="1"/>
        <w:numFmt w:val="upperRoman"/>
        <w:pStyle w:val="Heading1"/>
        <w:lvlText w:val="%1."/>
        <w:lvlJc w:val="left"/>
        <w:pPr>
          <w:tabs>
            <w:tab w:val="num" w:pos="360"/>
          </w:tabs>
          <w:ind w:left="0" w:firstLine="0"/>
        </w:pPr>
        <w:rPr>
          <w:rFonts w:hint="default"/>
          <w:sz w:val="24"/>
        </w:rPr>
      </w:lvl>
    </w:lvlOverride>
    <w:lvlOverride w:ilvl="1">
      <w:startOverride w:val="1"/>
      <w:lvl w:ilvl="1">
        <w:start w:val="1"/>
        <w:numFmt w:val="upperLetter"/>
        <w:pStyle w:val="Heading2"/>
        <w:lvlText w:val="%2."/>
        <w:lvlJc w:val="left"/>
        <w:pPr>
          <w:tabs>
            <w:tab w:val="num" w:pos="1080"/>
          </w:tabs>
          <w:ind w:left="720" w:hanging="720"/>
        </w:pPr>
        <w:rPr>
          <w:rFonts w:hint="default"/>
        </w:rPr>
      </w:lvl>
    </w:lvlOverride>
    <w:lvlOverride w:ilvl="2">
      <w:startOverride w:val="1"/>
      <w:lvl w:ilvl="2">
        <w:start w:val="1"/>
        <w:numFmt w:val="decimal"/>
        <w:pStyle w:val="Heading3"/>
        <w:lvlText w:val="%3."/>
        <w:lvlJc w:val="left"/>
        <w:pPr>
          <w:tabs>
            <w:tab w:val="num" w:pos="1800"/>
          </w:tabs>
          <w:ind w:left="1440" w:firstLine="0"/>
        </w:pPr>
        <w:rPr>
          <w:rFonts w:hint="default"/>
        </w:rPr>
      </w:lvl>
    </w:lvlOverride>
    <w:lvlOverride w:ilvl="3">
      <w:startOverride w:val="1"/>
      <w:lvl w:ilvl="3">
        <w:start w:val="1"/>
        <w:numFmt w:val="lowerLetter"/>
        <w:pStyle w:val="Heading4"/>
        <w:lvlText w:val="%4."/>
        <w:lvlJc w:val="left"/>
        <w:pPr>
          <w:tabs>
            <w:tab w:val="num" w:pos="2520"/>
          </w:tabs>
          <w:ind w:left="2160" w:firstLine="0"/>
        </w:pPr>
        <w:rPr>
          <w:rFonts w:hint="default"/>
        </w:rPr>
      </w:lvl>
    </w:lvlOverride>
    <w:lvlOverride w:ilvl="4">
      <w:startOverride w:val="1"/>
      <w:lvl w:ilvl="4">
        <w:start w:val="1"/>
        <w:numFmt w:val="lowerRoman"/>
        <w:pStyle w:val="Heading5"/>
        <w:lvlText w:val="%5."/>
        <w:lvlJc w:val="left"/>
        <w:pPr>
          <w:tabs>
            <w:tab w:val="num" w:pos="3240"/>
          </w:tabs>
          <w:ind w:left="2880" w:firstLine="0"/>
        </w:pPr>
        <w:rPr>
          <w:rFonts w:hint="default"/>
        </w:rPr>
      </w:lvl>
    </w:lvlOverride>
    <w:lvlOverride w:ilvl="5">
      <w:startOverride w:val="1"/>
      <w:lvl w:ilvl="5">
        <w:start w:val="1"/>
        <w:numFmt w:val="lowerLetter"/>
        <w:lvlText w:val="(%6)"/>
        <w:lvlJc w:val="left"/>
        <w:pPr>
          <w:tabs>
            <w:tab w:val="num" w:pos="3960"/>
          </w:tabs>
          <w:ind w:left="3600" w:firstLine="0"/>
        </w:pPr>
        <w:rPr>
          <w:rFonts w:hint="default"/>
        </w:rPr>
      </w:lvl>
    </w:lvlOverride>
    <w:lvlOverride w:ilvl="6">
      <w:startOverride w:val="1"/>
      <w:lvl w:ilvl="6">
        <w:start w:val="1"/>
        <w:numFmt w:val="lowerRoman"/>
        <w:lvlText w:val="(%7)"/>
        <w:lvlJc w:val="left"/>
        <w:pPr>
          <w:tabs>
            <w:tab w:val="num" w:pos="4680"/>
          </w:tabs>
          <w:ind w:left="4320" w:firstLine="0"/>
        </w:pPr>
        <w:rPr>
          <w:rFonts w:hint="default"/>
        </w:rPr>
      </w:lvl>
    </w:lvlOverride>
    <w:lvlOverride w:ilvl="7">
      <w:startOverride w:val="1"/>
      <w:lvl w:ilvl="7">
        <w:start w:val="1"/>
        <w:numFmt w:val="lowerLetter"/>
        <w:lvlText w:val="(%8)"/>
        <w:lvlJc w:val="left"/>
        <w:pPr>
          <w:tabs>
            <w:tab w:val="num" w:pos="5400"/>
          </w:tabs>
          <w:ind w:left="5040" w:firstLine="0"/>
        </w:pPr>
        <w:rPr>
          <w:rFonts w:hint="default"/>
        </w:rPr>
      </w:lvl>
    </w:lvlOverride>
    <w:lvlOverride w:ilvl="8">
      <w:startOverride w:val="1"/>
      <w:lvl w:ilvl="8">
        <w:start w:val="1"/>
        <w:numFmt w:val="lowerRoman"/>
        <w:lvlText w:val="(%9)"/>
        <w:lvlJc w:val="left"/>
        <w:pPr>
          <w:tabs>
            <w:tab w:val="num" w:pos="6120"/>
          </w:tabs>
          <w:ind w:left="5760" w:firstLine="0"/>
        </w:pPr>
        <w:rPr>
          <w:rFonts w:hint="default"/>
        </w:rPr>
      </w:lvl>
    </w:lvlOverride>
  </w:num>
  <w:num w:numId="14">
    <w:abstractNumId w:val="7"/>
    <w:lvlOverride w:ilvl="0">
      <w:startOverride w:val="1"/>
      <w:lvl w:ilvl="0">
        <w:start w:val="1"/>
        <w:numFmt w:val="upperRoman"/>
        <w:pStyle w:val="Heading1"/>
        <w:lvlText w:val="%1."/>
        <w:lvlJc w:val="left"/>
        <w:pPr>
          <w:tabs>
            <w:tab w:val="num" w:pos="360"/>
          </w:tabs>
          <w:ind w:left="0" w:firstLine="0"/>
        </w:pPr>
        <w:rPr>
          <w:rFonts w:hint="default"/>
          <w:sz w:val="24"/>
        </w:rPr>
      </w:lvl>
    </w:lvlOverride>
    <w:lvlOverride w:ilvl="1">
      <w:startOverride w:val="1"/>
      <w:lvl w:ilvl="1">
        <w:start w:val="1"/>
        <w:numFmt w:val="upperLetter"/>
        <w:pStyle w:val="Heading2"/>
        <w:lvlText w:val="%2."/>
        <w:lvlJc w:val="left"/>
        <w:pPr>
          <w:tabs>
            <w:tab w:val="num" w:pos="1080"/>
          </w:tabs>
          <w:ind w:left="720" w:hanging="720"/>
        </w:pPr>
        <w:rPr>
          <w:rFonts w:hint="default"/>
        </w:rPr>
      </w:lvl>
    </w:lvlOverride>
    <w:lvlOverride w:ilvl="2">
      <w:startOverride w:val="1"/>
      <w:lvl w:ilvl="2">
        <w:start w:val="1"/>
        <w:numFmt w:val="decimal"/>
        <w:pStyle w:val="Heading3"/>
        <w:lvlText w:val="%3."/>
        <w:lvlJc w:val="left"/>
        <w:pPr>
          <w:tabs>
            <w:tab w:val="num" w:pos="1800"/>
          </w:tabs>
          <w:ind w:left="1440" w:firstLine="0"/>
        </w:pPr>
        <w:rPr>
          <w:rFonts w:hint="default"/>
        </w:rPr>
      </w:lvl>
    </w:lvlOverride>
    <w:lvlOverride w:ilvl="3">
      <w:startOverride w:val="1"/>
      <w:lvl w:ilvl="3">
        <w:start w:val="1"/>
        <w:numFmt w:val="lowerLetter"/>
        <w:pStyle w:val="Heading4"/>
        <w:lvlText w:val="%4."/>
        <w:lvlJc w:val="left"/>
        <w:pPr>
          <w:tabs>
            <w:tab w:val="num" w:pos="2520"/>
          </w:tabs>
          <w:ind w:left="2160" w:firstLine="0"/>
        </w:pPr>
        <w:rPr>
          <w:rFonts w:hint="default"/>
        </w:rPr>
      </w:lvl>
    </w:lvlOverride>
    <w:lvlOverride w:ilvl="4">
      <w:startOverride w:val="1"/>
      <w:lvl w:ilvl="4">
        <w:start w:val="1"/>
        <w:numFmt w:val="lowerRoman"/>
        <w:pStyle w:val="Heading5"/>
        <w:lvlText w:val="%5."/>
        <w:lvlJc w:val="left"/>
        <w:pPr>
          <w:tabs>
            <w:tab w:val="num" w:pos="3240"/>
          </w:tabs>
          <w:ind w:left="2880" w:firstLine="0"/>
        </w:pPr>
        <w:rPr>
          <w:rFonts w:hint="default"/>
        </w:rPr>
      </w:lvl>
    </w:lvlOverride>
    <w:lvlOverride w:ilvl="5">
      <w:startOverride w:val="1"/>
      <w:lvl w:ilvl="5">
        <w:start w:val="1"/>
        <w:numFmt w:val="lowerLetter"/>
        <w:lvlText w:val="(%6)"/>
        <w:lvlJc w:val="left"/>
        <w:pPr>
          <w:tabs>
            <w:tab w:val="num" w:pos="3960"/>
          </w:tabs>
          <w:ind w:left="3600" w:firstLine="0"/>
        </w:pPr>
        <w:rPr>
          <w:rFonts w:hint="default"/>
        </w:rPr>
      </w:lvl>
    </w:lvlOverride>
    <w:lvlOverride w:ilvl="6">
      <w:startOverride w:val="1"/>
      <w:lvl w:ilvl="6">
        <w:start w:val="1"/>
        <w:numFmt w:val="lowerRoman"/>
        <w:lvlText w:val="(%7)"/>
        <w:lvlJc w:val="left"/>
        <w:pPr>
          <w:tabs>
            <w:tab w:val="num" w:pos="4680"/>
          </w:tabs>
          <w:ind w:left="4320" w:firstLine="0"/>
        </w:pPr>
        <w:rPr>
          <w:rFonts w:hint="default"/>
        </w:rPr>
      </w:lvl>
    </w:lvlOverride>
    <w:lvlOverride w:ilvl="7">
      <w:startOverride w:val="1"/>
      <w:lvl w:ilvl="7">
        <w:start w:val="1"/>
        <w:numFmt w:val="lowerLetter"/>
        <w:lvlText w:val="(%8)"/>
        <w:lvlJc w:val="left"/>
        <w:pPr>
          <w:tabs>
            <w:tab w:val="num" w:pos="5400"/>
          </w:tabs>
          <w:ind w:left="5040" w:firstLine="0"/>
        </w:pPr>
        <w:rPr>
          <w:rFonts w:hint="default"/>
        </w:rPr>
      </w:lvl>
    </w:lvlOverride>
    <w:lvlOverride w:ilvl="8">
      <w:startOverride w:val="1"/>
      <w:lvl w:ilvl="8">
        <w:start w:val="1"/>
        <w:numFmt w:val="lowerRoman"/>
        <w:lvlText w:val="(%9)"/>
        <w:lvlJc w:val="left"/>
        <w:pPr>
          <w:tabs>
            <w:tab w:val="num" w:pos="6120"/>
          </w:tabs>
          <w:ind w:left="5760" w:firstLine="0"/>
        </w:pPr>
        <w:rPr>
          <w:rFonts w:hint="default"/>
        </w:rPr>
      </w:lvl>
    </w:lvlOverride>
  </w:num>
  <w:num w:numId="15">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16">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17">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18">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19">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0">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1">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2">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3">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4">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5">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6">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7">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8">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 w:numId="29">
    <w:abstractNumId w:val="7"/>
    <w:lvlOverride w:ilvl="0">
      <w:lvl w:ilvl="0">
        <w:start w:val="1"/>
        <w:numFmt w:val="upperRoman"/>
        <w:pStyle w:val="Heading1"/>
        <w:lvlText w:val="%1."/>
        <w:lvlJc w:val="left"/>
        <w:pPr>
          <w:tabs>
            <w:tab w:val="num" w:pos="360"/>
          </w:tabs>
          <w:ind w:left="0" w:firstLine="0"/>
        </w:pPr>
        <w:rPr>
          <w:rFonts w:hint="default"/>
          <w:sz w:val="24"/>
        </w:rPr>
      </w:lvl>
    </w:lvlOverride>
    <w:lvlOverride w:ilvl="1">
      <w:lvl w:ilvl="1">
        <w:start w:val="1"/>
        <w:numFmt w:val="upperLetter"/>
        <w:pStyle w:val="Heading2"/>
        <w:lvlText w:val="%2."/>
        <w:lvlJc w:val="left"/>
        <w:pPr>
          <w:tabs>
            <w:tab w:val="num" w:pos="1080"/>
          </w:tabs>
          <w:ind w:left="720" w:hanging="720"/>
        </w:pPr>
        <w:rPr>
          <w:rFonts w:hint="default"/>
        </w:rPr>
      </w:lvl>
    </w:lvlOverride>
    <w:lvlOverride w:ilvl="2">
      <w:lvl w:ilvl="2">
        <w:start w:val="1"/>
        <w:numFmt w:val="decimal"/>
        <w:pStyle w:val="Heading3"/>
        <w:lvlText w:val="%3."/>
        <w:lvlJc w:val="left"/>
        <w:pPr>
          <w:tabs>
            <w:tab w:val="num" w:pos="1800"/>
          </w:tabs>
          <w:ind w:left="1440" w:firstLine="0"/>
        </w:pPr>
        <w:rPr>
          <w:rFonts w:hint="default"/>
        </w:rPr>
      </w:lvl>
    </w:lvlOverride>
    <w:lvlOverride w:ilvl="3">
      <w:lvl w:ilvl="3">
        <w:start w:val="1"/>
        <w:numFmt w:val="lowerLetter"/>
        <w:pStyle w:val="Heading4"/>
        <w:lvlText w:val="%4."/>
        <w:lvlJc w:val="left"/>
        <w:pPr>
          <w:tabs>
            <w:tab w:val="num" w:pos="2520"/>
          </w:tabs>
          <w:ind w:left="2160" w:firstLine="0"/>
        </w:pPr>
        <w:rPr>
          <w:rFonts w:hint="default"/>
        </w:rPr>
      </w:lvl>
    </w:lvlOverride>
    <w:lvlOverride w:ilvl="4">
      <w:lvl w:ilvl="4">
        <w:start w:val="1"/>
        <w:numFmt w:val="lowerRoman"/>
        <w:pStyle w:val="Heading5"/>
        <w:lvlText w:val="%5."/>
        <w:lvlJc w:val="left"/>
        <w:pPr>
          <w:tabs>
            <w:tab w:val="num" w:pos="3240"/>
          </w:tabs>
          <w:ind w:left="2880" w:firstLine="0"/>
        </w:pPr>
        <w:rPr>
          <w:rFonts w:hint="default"/>
        </w:rPr>
      </w:lvl>
    </w:lvlOverride>
    <w:lvlOverride w:ilvl="5">
      <w:lvl w:ilvl="5">
        <w:start w:val="1"/>
        <w:numFmt w:val="lowerLetter"/>
        <w:lvlText w:val="(%6)"/>
        <w:lvlJc w:val="left"/>
        <w:pPr>
          <w:tabs>
            <w:tab w:val="num" w:pos="3960"/>
          </w:tabs>
          <w:ind w:left="3600" w:firstLine="0"/>
        </w:pPr>
        <w:rPr>
          <w:rFonts w:hint="default"/>
        </w:rPr>
      </w:lvl>
    </w:lvlOverride>
    <w:lvlOverride w:ilvl="6">
      <w:lvl w:ilvl="6">
        <w:start w:val="1"/>
        <w:numFmt w:val="lowerRoman"/>
        <w:lvlText w:val="(%7)"/>
        <w:lvlJc w:val="left"/>
        <w:pPr>
          <w:tabs>
            <w:tab w:val="num" w:pos="4680"/>
          </w:tabs>
          <w:ind w:left="4320" w:firstLine="0"/>
        </w:pPr>
        <w:rPr>
          <w:rFonts w:hint="default"/>
        </w:rPr>
      </w:lvl>
    </w:lvlOverride>
    <w:lvlOverride w:ilvl="7">
      <w:lvl w:ilvl="7">
        <w:start w:val="1"/>
        <w:numFmt w:val="lowerLetter"/>
        <w:lvlText w:val="(%8)"/>
        <w:lvlJc w:val="left"/>
        <w:pPr>
          <w:tabs>
            <w:tab w:val="num" w:pos="5400"/>
          </w:tabs>
          <w:ind w:left="5040" w:firstLine="0"/>
        </w:pPr>
        <w:rPr>
          <w:rFonts w:hint="default"/>
        </w:rPr>
      </w:lvl>
    </w:lvlOverride>
    <w:lvlOverride w:ilvl="8">
      <w:lvl w:ilvl="8">
        <w:start w:val="1"/>
        <w:numFmt w:val="lowerRoman"/>
        <w:lvlText w:val="(%9)"/>
        <w:lvlJc w:val="left"/>
        <w:pPr>
          <w:tabs>
            <w:tab w:val="num" w:pos="6120"/>
          </w:tabs>
          <w:ind w:left="5760" w:firstLine="0"/>
        </w:pPr>
        <w:rPr>
          <w:rFonts w:hint="default"/>
        </w:rPr>
      </w:lvl>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noPunctuationKerning/>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687"/>
    <w:rsid w:val="00000234"/>
    <w:rsid w:val="00001EAD"/>
    <w:rsid w:val="00002B65"/>
    <w:rsid w:val="00002C81"/>
    <w:rsid w:val="00003256"/>
    <w:rsid w:val="00007275"/>
    <w:rsid w:val="000103B5"/>
    <w:rsid w:val="0001312A"/>
    <w:rsid w:val="00015679"/>
    <w:rsid w:val="00016824"/>
    <w:rsid w:val="0002081F"/>
    <w:rsid w:val="000245FB"/>
    <w:rsid w:val="0002578E"/>
    <w:rsid w:val="00027B2E"/>
    <w:rsid w:val="00027C85"/>
    <w:rsid w:val="00030A28"/>
    <w:rsid w:val="000321F2"/>
    <w:rsid w:val="00032E67"/>
    <w:rsid w:val="000348B8"/>
    <w:rsid w:val="00035F64"/>
    <w:rsid w:val="00041599"/>
    <w:rsid w:val="00044FA5"/>
    <w:rsid w:val="0004511A"/>
    <w:rsid w:val="00047875"/>
    <w:rsid w:val="0005033F"/>
    <w:rsid w:val="00054C02"/>
    <w:rsid w:val="00056817"/>
    <w:rsid w:val="00061E2C"/>
    <w:rsid w:val="000621EE"/>
    <w:rsid w:val="00063CE5"/>
    <w:rsid w:val="00065964"/>
    <w:rsid w:val="000660B3"/>
    <w:rsid w:val="00067FC9"/>
    <w:rsid w:val="00070E6D"/>
    <w:rsid w:val="000722F3"/>
    <w:rsid w:val="0007330D"/>
    <w:rsid w:val="00073BA7"/>
    <w:rsid w:val="000801BE"/>
    <w:rsid w:val="000844FD"/>
    <w:rsid w:val="000861C7"/>
    <w:rsid w:val="0008789F"/>
    <w:rsid w:val="00090D62"/>
    <w:rsid w:val="00091003"/>
    <w:rsid w:val="00093FE8"/>
    <w:rsid w:val="00094D3F"/>
    <w:rsid w:val="000955AD"/>
    <w:rsid w:val="00096F58"/>
    <w:rsid w:val="000A0164"/>
    <w:rsid w:val="000A08F4"/>
    <w:rsid w:val="000A114B"/>
    <w:rsid w:val="000A4C02"/>
    <w:rsid w:val="000A5B33"/>
    <w:rsid w:val="000A705D"/>
    <w:rsid w:val="000B0593"/>
    <w:rsid w:val="000B2E35"/>
    <w:rsid w:val="000B3217"/>
    <w:rsid w:val="000B38E9"/>
    <w:rsid w:val="000B72F9"/>
    <w:rsid w:val="000B7630"/>
    <w:rsid w:val="000C026F"/>
    <w:rsid w:val="000C0E9D"/>
    <w:rsid w:val="000C1650"/>
    <w:rsid w:val="000C2912"/>
    <w:rsid w:val="000C3E02"/>
    <w:rsid w:val="000C4236"/>
    <w:rsid w:val="000C5DBB"/>
    <w:rsid w:val="000D0D8F"/>
    <w:rsid w:val="000D3BD6"/>
    <w:rsid w:val="000D412C"/>
    <w:rsid w:val="000D4F8A"/>
    <w:rsid w:val="000D5A9D"/>
    <w:rsid w:val="000D704A"/>
    <w:rsid w:val="000E0181"/>
    <w:rsid w:val="000E114C"/>
    <w:rsid w:val="000E13D5"/>
    <w:rsid w:val="000E239C"/>
    <w:rsid w:val="000E2733"/>
    <w:rsid w:val="000E30DD"/>
    <w:rsid w:val="000F0C20"/>
    <w:rsid w:val="000F27DB"/>
    <w:rsid w:val="000F2EE2"/>
    <w:rsid w:val="000F3B08"/>
    <w:rsid w:val="000F5108"/>
    <w:rsid w:val="000F60EC"/>
    <w:rsid w:val="000F69E2"/>
    <w:rsid w:val="00100615"/>
    <w:rsid w:val="00102CCE"/>
    <w:rsid w:val="0010320B"/>
    <w:rsid w:val="001047C0"/>
    <w:rsid w:val="00106605"/>
    <w:rsid w:val="00106B76"/>
    <w:rsid w:val="001118E0"/>
    <w:rsid w:val="0011222B"/>
    <w:rsid w:val="00113812"/>
    <w:rsid w:val="00114045"/>
    <w:rsid w:val="00122411"/>
    <w:rsid w:val="00123427"/>
    <w:rsid w:val="00123E50"/>
    <w:rsid w:val="001243CE"/>
    <w:rsid w:val="00126521"/>
    <w:rsid w:val="0013281D"/>
    <w:rsid w:val="00133C5B"/>
    <w:rsid w:val="00135299"/>
    <w:rsid w:val="0013548E"/>
    <w:rsid w:val="001362A2"/>
    <w:rsid w:val="00136848"/>
    <w:rsid w:val="00137595"/>
    <w:rsid w:val="00147E20"/>
    <w:rsid w:val="00150B0E"/>
    <w:rsid w:val="00150E7F"/>
    <w:rsid w:val="00150EA4"/>
    <w:rsid w:val="00154F42"/>
    <w:rsid w:val="0015529E"/>
    <w:rsid w:val="001633EF"/>
    <w:rsid w:val="001675FA"/>
    <w:rsid w:val="001717E6"/>
    <w:rsid w:val="00172D7C"/>
    <w:rsid w:val="00176EF1"/>
    <w:rsid w:val="00177141"/>
    <w:rsid w:val="00180A28"/>
    <w:rsid w:val="0018118C"/>
    <w:rsid w:val="00181A98"/>
    <w:rsid w:val="001829C5"/>
    <w:rsid w:val="00183840"/>
    <w:rsid w:val="0018678F"/>
    <w:rsid w:val="001867FE"/>
    <w:rsid w:val="00190799"/>
    <w:rsid w:val="0019092D"/>
    <w:rsid w:val="00193243"/>
    <w:rsid w:val="00193F6C"/>
    <w:rsid w:val="0019446E"/>
    <w:rsid w:val="00194B56"/>
    <w:rsid w:val="001A2286"/>
    <w:rsid w:val="001A4E0D"/>
    <w:rsid w:val="001A4EF1"/>
    <w:rsid w:val="001B0148"/>
    <w:rsid w:val="001B06D1"/>
    <w:rsid w:val="001B1178"/>
    <w:rsid w:val="001B7B98"/>
    <w:rsid w:val="001C0CEA"/>
    <w:rsid w:val="001C2396"/>
    <w:rsid w:val="001C28BF"/>
    <w:rsid w:val="001C2FC2"/>
    <w:rsid w:val="001C7217"/>
    <w:rsid w:val="001C7D94"/>
    <w:rsid w:val="001D0261"/>
    <w:rsid w:val="001D5BA8"/>
    <w:rsid w:val="001E0230"/>
    <w:rsid w:val="001E097E"/>
    <w:rsid w:val="001E2DA0"/>
    <w:rsid w:val="001E4F9F"/>
    <w:rsid w:val="001F097C"/>
    <w:rsid w:val="001F11FE"/>
    <w:rsid w:val="001F2AFE"/>
    <w:rsid w:val="001F587C"/>
    <w:rsid w:val="001F58A6"/>
    <w:rsid w:val="001F7164"/>
    <w:rsid w:val="001F79E1"/>
    <w:rsid w:val="0020191F"/>
    <w:rsid w:val="002029D3"/>
    <w:rsid w:val="00202D29"/>
    <w:rsid w:val="002047D0"/>
    <w:rsid w:val="00205391"/>
    <w:rsid w:val="002069A2"/>
    <w:rsid w:val="0020730B"/>
    <w:rsid w:val="00211E05"/>
    <w:rsid w:val="0021356A"/>
    <w:rsid w:val="00215DB1"/>
    <w:rsid w:val="0021733C"/>
    <w:rsid w:val="002219B5"/>
    <w:rsid w:val="00222231"/>
    <w:rsid w:val="002247B1"/>
    <w:rsid w:val="00224DD2"/>
    <w:rsid w:val="00225B0A"/>
    <w:rsid w:val="002270E9"/>
    <w:rsid w:val="0023045C"/>
    <w:rsid w:val="00230E57"/>
    <w:rsid w:val="00232125"/>
    <w:rsid w:val="00233A6A"/>
    <w:rsid w:val="00234308"/>
    <w:rsid w:val="0024094E"/>
    <w:rsid w:val="00241DFB"/>
    <w:rsid w:val="00242209"/>
    <w:rsid w:val="00246342"/>
    <w:rsid w:val="00250417"/>
    <w:rsid w:val="00251E6C"/>
    <w:rsid w:val="002545E9"/>
    <w:rsid w:val="00254DD8"/>
    <w:rsid w:val="00255484"/>
    <w:rsid w:val="00261CF1"/>
    <w:rsid w:val="0026283C"/>
    <w:rsid w:val="00264314"/>
    <w:rsid w:val="00264A84"/>
    <w:rsid w:val="002662C5"/>
    <w:rsid w:val="0026744A"/>
    <w:rsid w:val="002758EE"/>
    <w:rsid w:val="002762F6"/>
    <w:rsid w:val="002765C1"/>
    <w:rsid w:val="00277A5F"/>
    <w:rsid w:val="00277DCE"/>
    <w:rsid w:val="002807D7"/>
    <w:rsid w:val="00281E12"/>
    <w:rsid w:val="00283568"/>
    <w:rsid w:val="00287CEC"/>
    <w:rsid w:val="00291017"/>
    <w:rsid w:val="00292CE8"/>
    <w:rsid w:val="00294BBC"/>
    <w:rsid w:val="00295C43"/>
    <w:rsid w:val="002968E7"/>
    <w:rsid w:val="002A1EBC"/>
    <w:rsid w:val="002A352A"/>
    <w:rsid w:val="002A3544"/>
    <w:rsid w:val="002A6022"/>
    <w:rsid w:val="002A67E2"/>
    <w:rsid w:val="002A7256"/>
    <w:rsid w:val="002B06EB"/>
    <w:rsid w:val="002B295A"/>
    <w:rsid w:val="002B58CD"/>
    <w:rsid w:val="002B5DD1"/>
    <w:rsid w:val="002B7479"/>
    <w:rsid w:val="002C5651"/>
    <w:rsid w:val="002C65FD"/>
    <w:rsid w:val="002D07CC"/>
    <w:rsid w:val="002D0CB0"/>
    <w:rsid w:val="002D1A94"/>
    <w:rsid w:val="002D1CEF"/>
    <w:rsid w:val="002D2A67"/>
    <w:rsid w:val="002D2BFE"/>
    <w:rsid w:val="002D36DB"/>
    <w:rsid w:val="002D47A8"/>
    <w:rsid w:val="002D5101"/>
    <w:rsid w:val="002D54DD"/>
    <w:rsid w:val="002E24B8"/>
    <w:rsid w:val="002E659E"/>
    <w:rsid w:val="002E7E0A"/>
    <w:rsid w:val="002F5128"/>
    <w:rsid w:val="002F75CD"/>
    <w:rsid w:val="00300F93"/>
    <w:rsid w:val="003015E6"/>
    <w:rsid w:val="00303236"/>
    <w:rsid w:val="00311D67"/>
    <w:rsid w:val="0031238D"/>
    <w:rsid w:val="0031352C"/>
    <w:rsid w:val="0031692D"/>
    <w:rsid w:val="00316E20"/>
    <w:rsid w:val="003202AA"/>
    <w:rsid w:val="0032072D"/>
    <w:rsid w:val="00320ADA"/>
    <w:rsid w:val="0032691B"/>
    <w:rsid w:val="00330BAE"/>
    <w:rsid w:val="00332DD5"/>
    <w:rsid w:val="003351A0"/>
    <w:rsid w:val="00335D82"/>
    <w:rsid w:val="0033615A"/>
    <w:rsid w:val="00336A3C"/>
    <w:rsid w:val="00340230"/>
    <w:rsid w:val="003412FA"/>
    <w:rsid w:val="0034309B"/>
    <w:rsid w:val="003442A7"/>
    <w:rsid w:val="00347BF6"/>
    <w:rsid w:val="00353D7F"/>
    <w:rsid w:val="0035719C"/>
    <w:rsid w:val="00357F0E"/>
    <w:rsid w:val="00361842"/>
    <w:rsid w:val="00362CE6"/>
    <w:rsid w:val="00362DC6"/>
    <w:rsid w:val="003668EF"/>
    <w:rsid w:val="00367C56"/>
    <w:rsid w:val="0037146A"/>
    <w:rsid w:val="00371A2D"/>
    <w:rsid w:val="00372BE8"/>
    <w:rsid w:val="00374839"/>
    <w:rsid w:val="00375FAA"/>
    <w:rsid w:val="00376E9E"/>
    <w:rsid w:val="003774BA"/>
    <w:rsid w:val="0038106A"/>
    <w:rsid w:val="00383CF6"/>
    <w:rsid w:val="00383FB7"/>
    <w:rsid w:val="003923D2"/>
    <w:rsid w:val="0039241C"/>
    <w:rsid w:val="00392CD6"/>
    <w:rsid w:val="003A0D66"/>
    <w:rsid w:val="003A41BD"/>
    <w:rsid w:val="003A6CB5"/>
    <w:rsid w:val="003A7BE7"/>
    <w:rsid w:val="003B194E"/>
    <w:rsid w:val="003B477B"/>
    <w:rsid w:val="003B5A97"/>
    <w:rsid w:val="003B7FD6"/>
    <w:rsid w:val="003C40C8"/>
    <w:rsid w:val="003C57EF"/>
    <w:rsid w:val="003C5DCD"/>
    <w:rsid w:val="003C5FB3"/>
    <w:rsid w:val="003C78FA"/>
    <w:rsid w:val="003D40F1"/>
    <w:rsid w:val="003D7BEC"/>
    <w:rsid w:val="003E016E"/>
    <w:rsid w:val="003E1168"/>
    <w:rsid w:val="003E13C4"/>
    <w:rsid w:val="003E4E15"/>
    <w:rsid w:val="003E4F79"/>
    <w:rsid w:val="003E68A6"/>
    <w:rsid w:val="003E6FAF"/>
    <w:rsid w:val="003F013C"/>
    <w:rsid w:val="003F0CDE"/>
    <w:rsid w:val="003F5DA1"/>
    <w:rsid w:val="003F6BF8"/>
    <w:rsid w:val="00402C33"/>
    <w:rsid w:val="00407980"/>
    <w:rsid w:val="00420AB2"/>
    <w:rsid w:val="00423B93"/>
    <w:rsid w:val="00425B17"/>
    <w:rsid w:val="00430C33"/>
    <w:rsid w:val="004312AA"/>
    <w:rsid w:val="00431D2E"/>
    <w:rsid w:val="00445561"/>
    <w:rsid w:val="004456AF"/>
    <w:rsid w:val="00445D3D"/>
    <w:rsid w:val="0045798A"/>
    <w:rsid w:val="0046137F"/>
    <w:rsid w:val="0046147A"/>
    <w:rsid w:val="004629E7"/>
    <w:rsid w:val="00464BD7"/>
    <w:rsid w:val="004659C2"/>
    <w:rsid w:val="00465D01"/>
    <w:rsid w:val="00467BC7"/>
    <w:rsid w:val="00470FB3"/>
    <w:rsid w:val="00472196"/>
    <w:rsid w:val="0047305C"/>
    <w:rsid w:val="0047342F"/>
    <w:rsid w:val="00473DF1"/>
    <w:rsid w:val="0047459B"/>
    <w:rsid w:val="004748EA"/>
    <w:rsid w:val="00477E24"/>
    <w:rsid w:val="00481982"/>
    <w:rsid w:val="004826AA"/>
    <w:rsid w:val="004827CB"/>
    <w:rsid w:val="004850B3"/>
    <w:rsid w:val="00487F14"/>
    <w:rsid w:val="004907C8"/>
    <w:rsid w:val="004937EC"/>
    <w:rsid w:val="004A0869"/>
    <w:rsid w:val="004A693F"/>
    <w:rsid w:val="004A7048"/>
    <w:rsid w:val="004B097B"/>
    <w:rsid w:val="004B09A5"/>
    <w:rsid w:val="004B10F5"/>
    <w:rsid w:val="004B252E"/>
    <w:rsid w:val="004B31F3"/>
    <w:rsid w:val="004C05AE"/>
    <w:rsid w:val="004C06C4"/>
    <w:rsid w:val="004C513F"/>
    <w:rsid w:val="004D1386"/>
    <w:rsid w:val="004D23B8"/>
    <w:rsid w:val="004D2E68"/>
    <w:rsid w:val="004D3C7D"/>
    <w:rsid w:val="004D57AD"/>
    <w:rsid w:val="004D72B4"/>
    <w:rsid w:val="004E0465"/>
    <w:rsid w:val="004E0919"/>
    <w:rsid w:val="004E1D88"/>
    <w:rsid w:val="004E2171"/>
    <w:rsid w:val="004E60DC"/>
    <w:rsid w:val="004E6DCF"/>
    <w:rsid w:val="004F072F"/>
    <w:rsid w:val="004F1E34"/>
    <w:rsid w:val="004F6609"/>
    <w:rsid w:val="005000C7"/>
    <w:rsid w:val="00506487"/>
    <w:rsid w:val="00506809"/>
    <w:rsid w:val="00507FC4"/>
    <w:rsid w:val="00512877"/>
    <w:rsid w:val="00512BAC"/>
    <w:rsid w:val="005149EE"/>
    <w:rsid w:val="00514B72"/>
    <w:rsid w:val="00517D4C"/>
    <w:rsid w:val="00517F84"/>
    <w:rsid w:val="00520C3B"/>
    <w:rsid w:val="00521767"/>
    <w:rsid w:val="00522AA7"/>
    <w:rsid w:val="0052405F"/>
    <w:rsid w:val="00527925"/>
    <w:rsid w:val="00531E19"/>
    <w:rsid w:val="0053300A"/>
    <w:rsid w:val="00533819"/>
    <w:rsid w:val="00534431"/>
    <w:rsid w:val="00535575"/>
    <w:rsid w:val="00535D75"/>
    <w:rsid w:val="005418D7"/>
    <w:rsid w:val="00543B58"/>
    <w:rsid w:val="00545D7B"/>
    <w:rsid w:val="0055121B"/>
    <w:rsid w:val="00551BA7"/>
    <w:rsid w:val="00551C35"/>
    <w:rsid w:val="005529FE"/>
    <w:rsid w:val="00555646"/>
    <w:rsid w:val="005557A5"/>
    <w:rsid w:val="00555B92"/>
    <w:rsid w:val="00561BD6"/>
    <w:rsid w:val="00562204"/>
    <w:rsid w:val="00565EF2"/>
    <w:rsid w:val="00567DFA"/>
    <w:rsid w:val="00570904"/>
    <w:rsid w:val="00571916"/>
    <w:rsid w:val="0057277F"/>
    <w:rsid w:val="00572E81"/>
    <w:rsid w:val="005756F3"/>
    <w:rsid w:val="005779B3"/>
    <w:rsid w:val="00577E02"/>
    <w:rsid w:val="00581EDB"/>
    <w:rsid w:val="0058517A"/>
    <w:rsid w:val="005858C3"/>
    <w:rsid w:val="005876D3"/>
    <w:rsid w:val="005901D1"/>
    <w:rsid w:val="00590F5E"/>
    <w:rsid w:val="005961D0"/>
    <w:rsid w:val="00597248"/>
    <w:rsid w:val="005A0C68"/>
    <w:rsid w:val="005A4ADA"/>
    <w:rsid w:val="005A4B81"/>
    <w:rsid w:val="005A4CAF"/>
    <w:rsid w:val="005A507C"/>
    <w:rsid w:val="005A73A5"/>
    <w:rsid w:val="005B05D2"/>
    <w:rsid w:val="005B0A6E"/>
    <w:rsid w:val="005B15A6"/>
    <w:rsid w:val="005B1607"/>
    <w:rsid w:val="005B283A"/>
    <w:rsid w:val="005B40CD"/>
    <w:rsid w:val="005B48A2"/>
    <w:rsid w:val="005B4C46"/>
    <w:rsid w:val="005B78BB"/>
    <w:rsid w:val="005C0543"/>
    <w:rsid w:val="005C2104"/>
    <w:rsid w:val="005C2D46"/>
    <w:rsid w:val="005C6AE7"/>
    <w:rsid w:val="005D3D6B"/>
    <w:rsid w:val="005D6690"/>
    <w:rsid w:val="005D696C"/>
    <w:rsid w:val="005D7471"/>
    <w:rsid w:val="005E3592"/>
    <w:rsid w:val="005F09CB"/>
    <w:rsid w:val="005F181F"/>
    <w:rsid w:val="005F1F79"/>
    <w:rsid w:val="005F24D2"/>
    <w:rsid w:val="005F3420"/>
    <w:rsid w:val="005F4184"/>
    <w:rsid w:val="005F5E33"/>
    <w:rsid w:val="005F6DB4"/>
    <w:rsid w:val="005F76C7"/>
    <w:rsid w:val="005F7D89"/>
    <w:rsid w:val="00600D66"/>
    <w:rsid w:val="0060140D"/>
    <w:rsid w:val="00601882"/>
    <w:rsid w:val="0060236C"/>
    <w:rsid w:val="006029AA"/>
    <w:rsid w:val="00606696"/>
    <w:rsid w:val="0060717C"/>
    <w:rsid w:val="006074B2"/>
    <w:rsid w:val="00607647"/>
    <w:rsid w:val="00612F57"/>
    <w:rsid w:val="00613767"/>
    <w:rsid w:val="006150E1"/>
    <w:rsid w:val="00616DE3"/>
    <w:rsid w:val="00620BB7"/>
    <w:rsid w:val="00622EC6"/>
    <w:rsid w:val="0062370A"/>
    <w:rsid w:val="00626234"/>
    <w:rsid w:val="0062772A"/>
    <w:rsid w:val="006327A3"/>
    <w:rsid w:val="00636E36"/>
    <w:rsid w:val="00640ACE"/>
    <w:rsid w:val="006416B2"/>
    <w:rsid w:val="0064190C"/>
    <w:rsid w:val="00643D89"/>
    <w:rsid w:val="00644B9F"/>
    <w:rsid w:val="00645B94"/>
    <w:rsid w:val="00645EBC"/>
    <w:rsid w:val="00657761"/>
    <w:rsid w:val="00664B7E"/>
    <w:rsid w:val="00670324"/>
    <w:rsid w:val="00670E01"/>
    <w:rsid w:val="006745A6"/>
    <w:rsid w:val="00681617"/>
    <w:rsid w:val="006826A9"/>
    <w:rsid w:val="006846A4"/>
    <w:rsid w:val="00691844"/>
    <w:rsid w:val="0069209D"/>
    <w:rsid w:val="0069303E"/>
    <w:rsid w:val="006B2DB1"/>
    <w:rsid w:val="006B3E2D"/>
    <w:rsid w:val="006B473F"/>
    <w:rsid w:val="006B6353"/>
    <w:rsid w:val="006C1CEC"/>
    <w:rsid w:val="006C1D93"/>
    <w:rsid w:val="006D1B71"/>
    <w:rsid w:val="006D47D9"/>
    <w:rsid w:val="006D4FD2"/>
    <w:rsid w:val="006D5169"/>
    <w:rsid w:val="006D5500"/>
    <w:rsid w:val="006E3FE0"/>
    <w:rsid w:val="006E61DC"/>
    <w:rsid w:val="006E6E1F"/>
    <w:rsid w:val="006F2447"/>
    <w:rsid w:val="006F2855"/>
    <w:rsid w:val="006F4E1A"/>
    <w:rsid w:val="006F7044"/>
    <w:rsid w:val="006F7877"/>
    <w:rsid w:val="007022B1"/>
    <w:rsid w:val="00703385"/>
    <w:rsid w:val="00705F7D"/>
    <w:rsid w:val="007065B5"/>
    <w:rsid w:val="00707DDC"/>
    <w:rsid w:val="00710C10"/>
    <w:rsid w:val="00710CBB"/>
    <w:rsid w:val="0071275F"/>
    <w:rsid w:val="00712C7C"/>
    <w:rsid w:val="0072186D"/>
    <w:rsid w:val="007218B9"/>
    <w:rsid w:val="00721C0D"/>
    <w:rsid w:val="00731C71"/>
    <w:rsid w:val="0073322D"/>
    <w:rsid w:val="00733656"/>
    <w:rsid w:val="00735CB8"/>
    <w:rsid w:val="0073673E"/>
    <w:rsid w:val="00740F51"/>
    <w:rsid w:val="0074306A"/>
    <w:rsid w:val="00743430"/>
    <w:rsid w:val="007461E9"/>
    <w:rsid w:val="00746B9B"/>
    <w:rsid w:val="007500FF"/>
    <w:rsid w:val="007512A7"/>
    <w:rsid w:val="007531E6"/>
    <w:rsid w:val="00754887"/>
    <w:rsid w:val="00755F69"/>
    <w:rsid w:val="00761BEB"/>
    <w:rsid w:val="007626D8"/>
    <w:rsid w:val="00764AF4"/>
    <w:rsid w:val="00764BE4"/>
    <w:rsid w:val="0076512E"/>
    <w:rsid w:val="00765A45"/>
    <w:rsid w:val="007676D8"/>
    <w:rsid w:val="00773B9C"/>
    <w:rsid w:val="00774EF6"/>
    <w:rsid w:val="00774F57"/>
    <w:rsid w:val="00786B64"/>
    <w:rsid w:val="00786C23"/>
    <w:rsid w:val="00792EF0"/>
    <w:rsid w:val="00793938"/>
    <w:rsid w:val="0079762F"/>
    <w:rsid w:val="007A0456"/>
    <w:rsid w:val="007A5FD2"/>
    <w:rsid w:val="007A6734"/>
    <w:rsid w:val="007A673D"/>
    <w:rsid w:val="007A7969"/>
    <w:rsid w:val="007B01A2"/>
    <w:rsid w:val="007B1BBF"/>
    <w:rsid w:val="007B2B32"/>
    <w:rsid w:val="007C0A3D"/>
    <w:rsid w:val="007C1211"/>
    <w:rsid w:val="007C2167"/>
    <w:rsid w:val="007C2620"/>
    <w:rsid w:val="007C2DDD"/>
    <w:rsid w:val="007C48C3"/>
    <w:rsid w:val="007C5BAA"/>
    <w:rsid w:val="007D08DF"/>
    <w:rsid w:val="007D122C"/>
    <w:rsid w:val="007D1F09"/>
    <w:rsid w:val="007E0BB9"/>
    <w:rsid w:val="007E4DE4"/>
    <w:rsid w:val="007F72A8"/>
    <w:rsid w:val="00800770"/>
    <w:rsid w:val="008013F0"/>
    <w:rsid w:val="00801AF5"/>
    <w:rsid w:val="008023DA"/>
    <w:rsid w:val="00802BC5"/>
    <w:rsid w:val="008056B1"/>
    <w:rsid w:val="008058EF"/>
    <w:rsid w:val="00805945"/>
    <w:rsid w:val="0081217F"/>
    <w:rsid w:val="00812DCE"/>
    <w:rsid w:val="0081323C"/>
    <w:rsid w:val="008154C4"/>
    <w:rsid w:val="008207ED"/>
    <w:rsid w:val="008215BD"/>
    <w:rsid w:val="00821B05"/>
    <w:rsid w:val="0082419E"/>
    <w:rsid w:val="00826E58"/>
    <w:rsid w:val="00827D53"/>
    <w:rsid w:val="008303B0"/>
    <w:rsid w:val="00835666"/>
    <w:rsid w:val="00841136"/>
    <w:rsid w:val="00842069"/>
    <w:rsid w:val="008424EC"/>
    <w:rsid w:val="00842759"/>
    <w:rsid w:val="00842EC4"/>
    <w:rsid w:val="008431B2"/>
    <w:rsid w:val="00845A78"/>
    <w:rsid w:val="008465FD"/>
    <w:rsid w:val="00846765"/>
    <w:rsid w:val="00846861"/>
    <w:rsid w:val="00847CEC"/>
    <w:rsid w:val="00850245"/>
    <w:rsid w:val="00850518"/>
    <w:rsid w:val="0085222D"/>
    <w:rsid w:val="00852CD4"/>
    <w:rsid w:val="008531F9"/>
    <w:rsid w:val="00856945"/>
    <w:rsid w:val="008574DF"/>
    <w:rsid w:val="0086027F"/>
    <w:rsid w:val="0086089B"/>
    <w:rsid w:val="00860E3C"/>
    <w:rsid w:val="008637EF"/>
    <w:rsid w:val="00863BC7"/>
    <w:rsid w:val="00867840"/>
    <w:rsid w:val="0087361B"/>
    <w:rsid w:val="00875198"/>
    <w:rsid w:val="00876BEB"/>
    <w:rsid w:val="00877B02"/>
    <w:rsid w:val="00883FA3"/>
    <w:rsid w:val="00887DBE"/>
    <w:rsid w:val="008904C0"/>
    <w:rsid w:val="0089103B"/>
    <w:rsid w:val="00896B70"/>
    <w:rsid w:val="0089716E"/>
    <w:rsid w:val="00897BFE"/>
    <w:rsid w:val="008A22F6"/>
    <w:rsid w:val="008A2F02"/>
    <w:rsid w:val="008A33A4"/>
    <w:rsid w:val="008A3DC4"/>
    <w:rsid w:val="008A7A03"/>
    <w:rsid w:val="008B0228"/>
    <w:rsid w:val="008B1DCE"/>
    <w:rsid w:val="008B472E"/>
    <w:rsid w:val="008B5157"/>
    <w:rsid w:val="008B7204"/>
    <w:rsid w:val="008B77FF"/>
    <w:rsid w:val="008C19E9"/>
    <w:rsid w:val="008C2B93"/>
    <w:rsid w:val="008C3066"/>
    <w:rsid w:val="008C3534"/>
    <w:rsid w:val="008C49E7"/>
    <w:rsid w:val="008C69C7"/>
    <w:rsid w:val="008D7512"/>
    <w:rsid w:val="008E2AD3"/>
    <w:rsid w:val="008E2B5B"/>
    <w:rsid w:val="008E35FD"/>
    <w:rsid w:val="008E549D"/>
    <w:rsid w:val="008E73BE"/>
    <w:rsid w:val="008F0D2D"/>
    <w:rsid w:val="008F10C7"/>
    <w:rsid w:val="008F34E2"/>
    <w:rsid w:val="008F3C84"/>
    <w:rsid w:val="008F42B0"/>
    <w:rsid w:val="008F45E4"/>
    <w:rsid w:val="008F501E"/>
    <w:rsid w:val="008F6E91"/>
    <w:rsid w:val="008F7C81"/>
    <w:rsid w:val="0090412D"/>
    <w:rsid w:val="009045F1"/>
    <w:rsid w:val="009059E1"/>
    <w:rsid w:val="00910016"/>
    <w:rsid w:val="00911264"/>
    <w:rsid w:val="009150A4"/>
    <w:rsid w:val="00916AF5"/>
    <w:rsid w:val="009237E7"/>
    <w:rsid w:val="009332E1"/>
    <w:rsid w:val="009337BF"/>
    <w:rsid w:val="00935791"/>
    <w:rsid w:val="00936F9E"/>
    <w:rsid w:val="00937001"/>
    <w:rsid w:val="00937AB7"/>
    <w:rsid w:val="00941069"/>
    <w:rsid w:val="00941A8D"/>
    <w:rsid w:val="009427AD"/>
    <w:rsid w:val="00943850"/>
    <w:rsid w:val="00946955"/>
    <w:rsid w:val="00953D89"/>
    <w:rsid w:val="00956772"/>
    <w:rsid w:val="00960BDC"/>
    <w:rsid w:val="00963464"/>
    <w:rsid w:val="00963CD0"/>
    <w:rsid w:val="00966FDF"/>
    <w:rsid w:val="00967FF4"/>
    <w:rsid w:val="00971666"/>
    <w:rsid w:val="0097240C"/>
    <w:rsid w:val="009726BB"/>
    <w:rsid w:val="009732D4"/>
    <w:rsid w:val="00974211"/>
    <w:rsid w:val="0097536A"/>
    <w:rsid w:val="00975BF5"/>
    <w:rsid w:val="009874A4"/>
    <w:rsid w:val="009874B7"/>
    <w:rsid w:val="0099082F"/>
    <w:rsid w:val="00990F33"/>
    <w:rsid w:val="009911E3"/>
    <w:rsid w:val="00991D8E"/>
    <w:rsid w:val="00992B1E"/>
    <w:rsid w:val="0099457C"/>
    <w:rsid w:val="009956FF"/>
    <w:rsid w:val="00996BFE"/>
    <w:rsid w:val="009A49AE"/>
    <w:rsid w:val="009A5726"/>
    <w:rsid w:val="009A6B48"/>
    <w:rsid w:val="009B005F"/>
    <w:rsid w:val="009B33B8"/>
    <w:rsid w:val="009B4A40"/>
    <w:rsid w:val="009B5B6B"/>
    <w:rsid w:val="009C1C75"/>
    <w:rsid w:val="009C29F3"/>
    <w:rsid w:val="009C3E8D"/>
    <w:rsid w:val="009D070F"/>
    <w:rsid w:val="009D0A73"/>
    <w:rsid w:val="009D3183"/>
    <w:rsid w:val="009D724E"/>
    <w:rsid w:val="009E313D"/>
    <w:rsid w:val="009E423B"/>
    <w:rsid w:val="009E7C48"/>
    <w:rsid w:val="009F100B"/>
    <w:rsid w:val="009F676D"/>
    <w:rsid w:val="009F69C7"/>
    <w:rsid w:val="009F79C0"/>
    <w:rsid w:val="00A01563"/>
    <w:rsid w:val="00A02394"/>
    <w:rsid w:val="00A031F8"/>
    <w:rsid w:val="00A036C9"/>
    <w:rsid w:val="00A039BF"/>
    <w:rsid w:val="00A04C7A"/>
    <w:rsid w:val="00A112FB"/>
    <w:rsid w:val="00A13AC7"/>
    <w:rsid w:val="00A13DD3"/>
    <w:rsid w:val="00A147B3"/>
    <w:rsid w:val="00A161FF"/>
    <w:rsid w:val="00A167D5"/>
    <w:rsid w:val="00A202D2"/>
    <w:rsid w:val="00A21C8E"/>
    <w:rsid w:val="00A2320F"/>
    <w:rsid w:val="00A23B26"/>
    <w:rsid w:val="00A2683D"/>
    <w:rsid w:val="00A3190B"/>
    <w:rsid w:val="00A32E09"/>
    <w:rsid w:val="00A33234"/>
    <w:rsid w:val="00A33C81"/>
    <w:rsid w:val="00A34520"/>
    <w:rsid w:val="00A34A75"/>
    <w:rsid w:val="00A34E8E"/>
    <w:rsid w:val="00A3535A"/>
    <w:rsid w:val="00A35836"/>
    <w:rsid w:val="00A41B89"/>
    <w:rsid w:val="00A41FA8"/>
    <w:rsid w:val="00A50073"/>
    <w:rsid w:val="00A503DF"/>
    <w:rsid w:val="00A50C2B"/>
    <w:rsid w:val="00A51383"/>
    <w:rsid w:val="00A5340F"/>
    <w:rsid w:val="00A56B18"/>
    <w:rsid w:val="00A61604"/>
    <w:rsid w:val="00A62FDC"/>
    <w:rsid w:val="00A63677"/>
    <w:rsid w:val="00A70DC2"/>
    <w:rsid w:val="00A75D88"/>
    <w:rsid w:val="00A76A5A"/>
    <w:rsid w:val="00A83117"/>
    <w:rsid w:val="00A84758"/>
    <w:rsid w:val="00A9029C"/>
    <w:rsid w:val="00A91760"/>
    <w:rsid w:val="00A92104"/>
    <w:rsid w:val="00A93916"/>
    <w:rsid w:val="00A942AD"/>
    <w:rsid w:val="00A945DB"/>
    <w:rsid w:val="00A97409"/>
    <w:rsid w:val="00AA0461"/>
    <w:rsid w:val="00AA1D43"/>
    <w:rsid w:val="00AA42F9"/>
    <w:rsid w:val="00AA59ED"/>
    <w:rsid w:val="00AA73A9"/>
    <w:rsid w:val="00AB067E"/>
    <w:rsid w:val="00AB0C57"/>
    <w:rsid w:val="00AB2B4E"/>
    <w:rsid w:val="00AB4252"/>
    <w:rsid w:val="00AB5C7C"/>
    <w:rsid w:val="00AB5F2E"/>
    <w:rsid w:val="00AB699C"/>
    <w:rsid w:val="00AB75C2"/>
    <w:rsid w:val="00AC270E"/>
    <w:rsid w:val="00AC2E8E"/>
    <w:rsid w:val="00AC2E9B"/>
    <w:rsid w:val="00AC5609"/>
    <w:rsid w:val="00AC5B6B"/>
    <w:rsid w:val="00AC692A"/>
    <w:rsid w:val="00AC7BDB"/>
    <w:rsid w:val="00AC7D3D"/>
    <w:rsid w:val="00AC7F2B"/>
    <w:rsid w:val="00AD0595"/>
    <w:rsid w:val="00AD16D7"/>
    <w:rsid w:val="00AD24CD"/>
    <w:rsid w:val="00AD391A"/>
    <w:rsid w:val="00AD58FC"/>
    <w:rsid w:val="00AD6267"/>
    <w:rsid w:val="00AD6999"/>
    <w:rsid w:val="00AE264E"/>
    <w:rsid w:val="00AE7358"/>
    <w:rsid w:val="00AE7860"/>
    <w:rsid w:val="00AF1C55"/>
    <w:rsid w:val="00AF2734"/>
    <w:rsid w:val="00AF2983"/>
    <w:rsid w:val="00AF2EF3"/>
    <w:rsid w:val="00AF3867"/>
    <w:rsid w:val="00AF390A"/>
    <w:rsid w:val="00AF3921"/>
    <w:rsid w:val="00AF4752"/>
    <w:rsid w:val="00B001D8"/>
    <w:rsid w:val="00B00295"/>
    <w:rsid w:val="00B0676A"/>
    <w:rsid w:val="00B073CE"/>
    <w:rsid w:val="00B10286"/>
    <w:rsid w:val="00B10506"/>
    <w:rsid w:val="00B10D3A"/>
    <w:rsid w:val="00B114E4"/>
    <w:rsid w:val="00B1650A"/>
    <w:rsid w:val="00B16B61"/>
    <w:rsid w:val="00B17407"/>
    <w:rsid w:val="00B21ECD"/>
    <w:rsid w:val="00B23335"/>
    <w:rsid w:val="00B3053C"/>
    <w:rsid w:val="00B30A99"/>
    <w:rsid w:val="00B33FB9"/>
    <w:rsid w:val="00B40A03"/>
    <w:rsid w:val="00B41364"/>
    <w:rsid w:val="00B467D0"/>
    <w:rsid w:val="00B515B0"/>
    <w:rsid w:val="00B537A6"/>
    <w:rsid w:val="00B53B26"/>
    <w:rsid w:val="00B55898"/>
    <w:rsid w:val="00B5636E"/>
    <w:rsid w:val="00B638E4"/>
    <w:rsid w:val="00B677B3"/>
    <w:rsid w:val="00B710C3"/>
    <w:rsid w:val="00B717D1"/>
    <w:rsid w:val="00B73437"/>
    <w:rsid w:val="00B751F2"/>
    <w:rsid w:val="00B764D2"/>
    <w:rsid w:val="00B81302"/>
    <w:rsid w:val="00B82CE1"/>
    <w:rsid w:val="00B83309"/>
    <w:rsid w:val="00B83862"/>
    <w:rsid w:val="00B85D32"/>
    <w:rsid w:val="00B87A60"/>
    <w:rsid w:val="00B91328"/>
    <w:rsid w:val="00B96742"/>
    <w:rsid w:val="00BA389A"/>
    <w:rsid w:val="00BB3E04"/>
    <w:rsid w:val="00BC02D0"/>
    <w:rsid w:val="00BC1A16"/>
    <w:rsid w:val="00BC7744"/>
    <w:rsid w:val="00BC7FA9"/>
    <w:rsid w:val="00BD46A4"/>
    <w:rsid w:val="00BD5A5A"/>
    <w:rsid w:val="00BD5AAE"/>
    <w:rsid w:val="00BD647B"/>
    <w:rsid w:val="00BD6672"/>
    <w:rsid w:val="00BD7D9E"/>
    <w:rsid w:val="00BE598F"/>
    <w:rsid w:val="00BE5ED9"/>
    <w:rsid w:val="00BE699B"/>
    <w:rsid w:val="00BE7457"/>
    <w:rsid w:val="00BF0487"/>
    <w:rsid w:val="00BF1053"/>
    <w:rsid w:val="00BF3337"/>
    <w:rsid w:val="00BF5F0A"/>
    <w:rsid w:val="00C0221E"/>
    <w:rsid w:val="00C04D4D"/>
    <w:rsid w:val="00C06E24"/>
    <w:rsid w:val="00C07718"/>
    <w:rsid w:val="00C0780E"/>
    <w:rsid w:val="00C143C2"/>
    <w:rsid w:val="00C20C19"/>
    <w:rsid w:val="00C21375"/>
    <w:rsid w:val="00C219E6"/>
    <w:rsid w:val="00C23B2C"/>
    <w:rsid w:val="00C267DF"/>
    <w:rsid w:val="00C3113E"/>
    <w:rsid w:val="00C32728"/>
    <w:rsid w:val="00C32AB0"/>
    <w:rsid w:val="00C40328"/>
    <w:rsid w:val="00C403A7"/>
    <w:rsid w:val="00C43075"/>
    <w:rsid w:val="00C46748"/>
    <w:rsid w:val="00C46E53"/>
    <w:rsid w:val="00C558DC"/>
    <w:rsid w:val="00C56EDF"/>
    <w:rsid w:val="00C6445F"/>
    <w:rsid w:val="00C649FD"/>
    <w:rsid w:val="00C67B24"/>
    <w:rsid w:val="00C70B0A"/>
    <w:rsid w:val="00C75F27"/>
    <w:rsid w:val="00C773A5"/>
    <w:rsid w:val="00C8018A"/>
    <w:rsid w:val="00C80F97"/>
    <w:rsid w:val="00C85CDB"/>
    <w:rsid w:val="00C87956"/>
    <w:rsid w:val="00C90CA3"/>
    <w:rsid w:val="00C90F4C"/>
    <w:rsid w:val="00C92B43"/>
    <w:rsid w:val="00C95429"/>
    <w:rsid w:val="00CA2A3A"/>
    <w:rsid w:val="00CA705D"/>
    <w:rsid w:val="00CB0057"/>
    <w:rsid w:val="00CB04EA"/>
    <w:rsid w:val="00CB05C7"/>
    <w:rsid w:val="00CB36E8"/>
    <w:rsid w:val="00CB41BB"/>
    <w:rsid w:val="00CB4795"/>
    <w:rsid w:val="00CB5384"/>
    <w:rsid w:val="00CB5BEE"/>
    <w:rsid w:val="00CB5FA0"/>
    <w:rsid w:val="00CB6769"/>
    <w:rsid w:val="00CB6DE2"/>
    <w:rsid w:val="00CC43B5"/>
    <w:rsid w:val="00CC7540"/>
    <w:rsid w:val="00CD079E"/>
    <w:rsid w:val="00CD16AD"/>
    <w:rsid w:val="00CD28BD"/>
    <w:rsid w:val="00CD78A4"/>
    <w:rsid w:val="00CE1F21"/>
    <w:rsid w:val="00CE3511"/>
    <w:rsid w:val="00CE4735"/>
    <w:rsid w:val="00CF2AEE"/>
    <w:rsid w:val="00CF3B9D"/>
    <w:rsid w:val="00CF44B2"/>
    <w:rsid w:val="00CF7182"/>
    <w:rsid w:val="00D04404"/>
    <w:rsid w:val="00D04956"/>
    <w:rsid w:val="00D05089"/>
    <w:rsid w:val="00D05FFE"/>
    <w:rsid w:val="00D102DC"/>
    <w:rsid w:val="00D15783"/>
    <w:rsid w:val="00D22320"/>
    <w:rsid w:val="00D236C5"/>
    <w:rsid w:val="00D260E4"/>
    <w:rsid w:val="00D3045E"/>
    <w:rsid w:val="00D34D5F"/>
    <w:rsid w:val="00D37CE8"/>
    <w:rsid w:val="00D40292"/>
    <w:rsid w:val="00D413AB"/>
    <w:rsid w:val="00D41497"/>
    <w:rsid w:val="00D440CD"/>
    <w:rsid w:val="00D47802"/>
    <w:rsid w:val="00D50341"/>
    <w:rsid w:val="00D5166B"/>
    <w:rsid w:val="00D57281"/>
    <w:rsid w:val="00D574D0"/>
    <w:rsid w:val="00D620B3"/>
    <w:rsid w:val="00D662DB"/>
    <w:rsid w:val="00D67629"/>
    <w:rsid w:val="00D67F2E"/>
    <w:rsid w:val="00D7010F"/>
    <w:rsid w:val="00D723DE"/>
    <w:rsid w:val="00D7490E"/>
    <w:rsid w:val="00D76B7B"/>
    <w:rsid w:val="00D809DE"/>
    <w:rsid w:val="00D81590"/>
    <w:rsid w:val="00D822A7"/>
    <w:rsid w:val="00D8372E"/>
    <w:rsid w:val="00D84D3F"/>
    <w:rsid w:val="00D87478"/>
    <w:rsid w:val="00D91DE0"/>
    <w:rsid w:val="00D92381"/>
    <w:rsid w:val="00D96678"/>
    <w:rsid w:val="00D969C1"/>
    <w:rsid w:val="00D96DC0"/>
    <w:rsid w:val="00D97D97"/>
    <w:rsid w:val="00DA3D42"/>
    <w:rsid w:val="00DA3E25"/>
    <w:rsid w:val="00DA433D"/>
    <w:rsid w:val="00DA61C2"/>
    <w:rsid w:val="00DA7F7D"/>
    <w:rsid w:val="00DB1017"/>
    <w:rsid w:val="00DB1683"/>
    <w:rsid w:val="00DB17AB"/>
    <w:rsid w:val="00DB3786"/>
    <w:rsid w:val="00DB5304"/>
    <w:rsid w:val="00DB6E58"/>
    <w:rsid w:val="00DB75B9"/>
    <w:rsid w:val="00DC1477"/>
    <w:rsid w:val="00DC4A7E"/>
    <w:rsid w:val="00DC6215"/>
    <w:rsid w:val="00DC7118"/>
    <w:rsid w:val="00DC746C"/>
    <w:rsid w:val="00DD02D3"/>
    <w:rsid w:val="00DD39AE"/>
    <w:rsid w:val="00DD730D"/>
    <w:rsid w:val="00DD7518"/>
    <w:rsid w:val="00DE1101"/>
    <w:rsid w:val="00DE4489"/>
    <w:rsid w:val="00DE56BC"/>
    <w:rsid w:val="00DE5939"/>
    <w:rsid w:val="00DE5B33"/>
    <w:rsid w:val="00DE6B95"/>
    <w:rsid w:val="00DF3F50"/>
    <w:rsid w:val="00DF69AC"/>
    <w:rsid w:val="00DF7B17"/>
    <w:rsid w:val="00DF7F79"/>
    <w:rsid w:val="00E01C62"/>
    <w:rsid w:val="00E04D94"/>
    <w:rsid w:val="00E0502D"/>
    <w:rsid w:val="00E1092F"/>
    <w:rsid w:val="00E137DA"/>
    <w:rsid w:val="00E17FAA"/>
    <w:rsid w:val="00E25AA9"/>
    <w:rsid w:val="00E32099"/>
    <w:rsid w:val="00E3427B"/>
    <w:rsid w:val="00E34E9D"/>
    <w:rsid w:val="00E34F96"/>
    <w:rsid w:val="00E368D4"/>
    <w:rsid w:val="00E41AA4"/>
    <w:rsid w:val="00E45CA3"/>
    <w:rsid w:val="00E47354"/>
    <w:rsid w:val="00E47412"/>
    <w:rsid w:val="00E47B4B"/>
    <w:rsid w:val="00E56BAB"/>
    <w:rsid w:val="00E662D0"/>
    <w:rsid w:val="00E66AE2"/>
    <w:rsid w:val="00E675F8"/>
    <w:rsid w:val="00E74660"/>
    <w:rsid w:val="00E748A9"/>
    <w:rsid w:val="00E75A2B"/>
    <w:rsid w:val="00E80A2D"/>
    <w:rsid w:val="00E82252"/>
    <w:rsid w:val="00E84AF1"/>
    <w:rsid w:val="00E86EC5"/>
    <w:rsid w:val="00E875BB"/>
    <w:rsid w:val="00E87B8E"/>
    <w:rsid w:val="00E92038"/>
    <w:rsid w:val="00E932A2"/>
    <w:rsid w:val="00E954AF"/>
    <w:rsid w:val="00E963EB"/>
    <w:rsid w:val="00E97B03"/>
    <w:rsid w:val="00EA1CA2"/>
    <w:rsid w:val="00EA1D05"/>
    <w:rsid w:val="00EA2AEB"/>
    <w:rsid w:val="00EB00A3"/>
    <w:rsid w:val="00EB7B5E"/>
    <w:rsid w:val="00EC4C98"/>
    <w:rsid w:val="00EC79F2"/>
    <w:rsid w:val="00EC7E89"/>
    <w:rsid w:val="00ED445E"/>
    <w:rsid w:val="00ED6378"/>
    <w:rsid w:val="00ED672A"/>
    <w:rsid w:val="00ED6BE5"/>
    <w:rsid w:val="00ED6E32"/>
    <w:rsid w:val="00ED7EBF"/>
    <w:rsid w:val="00EE0096"/>
    <w:rsid w:val="00EE273D"/>
    <w:rsid w:val="00EE2AEA"/>
    <w:rsid w:val="00EE6DDD"/>
    <w:rsid w:val="00F0729B"/>
    <w:rsid w:val="00F0773D"/>
    <w:rsid w:val="00F1451A"/>
    <w:rsid w:val="00F15839"/>
    <w:rsid w:val="00F17AE3"/>
    <w:rsid w:val="00F230B2"/>
    <w:rsid w:val="00F24A45"/>
    <w:rsid w:val="00F42687"/>
    <w:rsid w:val="00F44ECA"/>
    <w:rsid w:val="00F455B8"/>
    <w:rsid w:val="00F468F5"/>
    <w:rsid w:val="00F475DC"/>
    <w:rsid w:val="00F47C5C"/>
    <w:rsid w:val="00F47E8F"/>
    <w:rsid w:val="00F521E6"/>
    <w:rsid w:val="00F54B08"/>
    <w:rsid w:val="00F60ED0"/>
    <w:rsid w:val="00F62EA5"/>
    <w:rsid w:val="00F64945"/>
    <w:rsid w:val="00F66053"/>
    <w:rsid w:val="00F6644C"/>
    <w:rsid w:val="00F66ED7"/>
    <w:rsid w:val="00F705B4"/>
    <w:rsid w:val="00F71FCC"/>
    <w:rsid w:val="00F72CE3"/>
    <w:rsid w:val="00F7652E"/>
    <w:rsid w:val="00F770A2"/>
    <w:rsid w:val="00F862E7"/>
    <w:rsid w:val="00F86708"/>
    <w:rsid w:val="00F86990"/>
    <w:rsid w:val="00F86D4E"/>
    <w:rsid w:val="00F95061"/>
    <w:rsid w:val="00F9680D"/>
    <w:rsid w:val="00F970A6"/>
    <w:rsid w:val="00F974C3"/>
    <w:rsid w:val="00F9798A"/>
    <w:rsid w:val="00FA15FF"/>
    <w:rsid w:val="00FA24BC"/>
    <w:rsid w:val="00FA4664"/>
    <w:rsid w:val="00FA530C"/>
    <w:rsid w:val="00FA6F4E"/>
    <w:rsid w:val="00FA707B"/>
    <w:rsid w:val="00FA742C"/>
    <w:rsid w:val="00FB14E8"/>
    <w:rsid w:val="00FB6713"/>
    <w:rsid w:val="00FC5E16"/>
    <w:rsid w:val="00FD0535"/>
    <w:rsid w:val="00FE1D5A"/>
    <w:rsid w:val="00FE74C0"/>
    <w:rsid w:val="00FF0052"/>
    <w:rsid w:val="00FF0F7C"/>
    <w:rsid w:val="00FF31F4"/>
    <w:rsid w:val="00FF6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4:docId w14:val="4D78B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17F"/>
    <w:rPr>
      <w:rFonts w:ascii="Arial" w:hAnsi="Arial"/>
      <w:sz w:val="24"/>
    </w:rPr>
  </w:style>
  <w:style w:type="paragraph" w:styleId="Heading1">
    <w:name w:val="heading 1"/>
    <w:basedOn w:val="Normal"/>
    <w:next w:val="Normal"/>
    <w:qFormat/>
    <w:rsid w:val="00392CD6"/>
    <w:pPr>
      <w:numPr>
        <w:numId w:val="3"/>
      </w:numPr>
      <w:tabs>
        <w:tab w:val="clear" w:pos="360"/>
        <w:tab w:val="left" w:pos="720"/>
      </w:tabs>
      <w:outlineLvl w:val="0"/>
    </w:pPr>
    <w:rPr>
      <w:b/>
      <w:caps/>
    </w:rPr>
  </w:style>
  <w:style w:type="paragraph" w:styleId="Heading2">
    <w:name w:val="heading 2"/>
    <w:basedOn w:val="Normal"/>
    <w:next w:val="Normal"/>
    <w:qFormat/>
    <w:rsid w:val="00392CD6"/>
    <w:pPr>
      <w:numPr>
        <w:ilvl w:val="1"/>
        <w:numId w:val="3"/>
      </w:numPr>
      <w:tabs>
        <w:tab w:val="left" w:pos="720"/>
      </w:tabs>
      <w:outlineLvl w:val="1"/>
    </w:pPr>
    <w:rPr>
      <w:b/>
      <w:smallCaps/>
    </w:rPr>
  </w:style>
  <w:style w:type="paragraph" w:styleId="Heading3">
    <w:name w:val="heading 3"/>
    <w:basedOn w:val="Normal"/>
    <w:next w:val="Normal"/>
    <w:qFormat/>
    <w:rsid w:val="00392CD6"/>
    <w:pPr>
      <w:numPr>
        <w:ilvl w:val="2"/>
        <w:numId w:val="3"/>
      </w:numPr>
      <w:tabs>
        <w:tab w:val="left" w:pos="720"/>
      </w:tabs>
      <w:outlineLvl w:val="2"/>
    </w:pPr>
    <w:rPr>
      <w:b/>
    </w:rPr>
  </w:style>
  <w:style w:type="paragraph" w:styleId="Heading4">
    <w:name w:val="heading 4"/>
    <w:basedOn w:val="Normal"/>
    <w:next w:val="Normal"/>
    <w:qFormat/>
    <w:rsid w:val="00392CD6"/>
    <w:pPr>
      <w:numPr>
        <w:ilvl w:val="3"/>
        <w:numId w:val="3"/>
      </w:numPr>
      <w:tabs>
        <w:tab w:val="left" w:pos="720"/>
      </w:tabs>
      <w:outlineLvl w:val="3"/>
    </w:pPr>
    <w:rPr>
      <w:b/>
    </w:rPr>
  </w:style>
  <w:style w:type="paragraph" w:styleId="Heading5">
    <w:name w:val="heading 5"/>
    <w:basedOn w:val="Normal"/>
    <w:next w:val="Normal"/>
    <w:qFormat/>
    <w:rsid w:val="00392CD6"/>
    <w:pPr>
      <w:numPr>
        <w:ilvl w:val="4"/>
        <w:numId w:val="3"/>
      </w:numPr>
      <w:tabs>
        <w:tab w:val="clear" w:pos="3240"/>
        <w:tab w:val="left" w:pos="720"/>
      </w:tabs>
      <w:ind w:left="2160"/>
      <w:outlineLvl w:val="4"/>
    </w:pPr>
    <w:rPr>
      <w:b/>
    </w:rPr>
  </w:style>
  <w:style w:type="paragraph" w:styleId="Heading6">
    <w:name w:val="heading 6"/>
    <w:basedOn w:val="Normal"/>
    <w:next w:val="Normal"/>
    <w:qFormat/>
    <w:rsid w:val="00EC4C98"/>
    <w:pPr>
      <w:ind w:left="1440"/>
      <w:outlineLvl w:val="5"/>
    </w:pPr>
    <w:rPr>
      <w:b/>
    </w:rPr>
  </w:style>
  <w:style w:type="paragraph" w:styleId="Heading7">
    <w:name w:val="heading 7"/>
    <w:basedOn w:val="Normal"/>
    <w:next w:val="Normal"/>
    <w:qFormat/>
    <w:rsid w:val="00EC4C98"/>
    <w:pPr>
      <w:ind w:left="1440"/>
      <w:outlineLvl w:val="6"/>
    </w:pPr>
    <w:rPr>
      <w:b/>
    </w:rPr>
  </w:style>
  <w:style w:type="paragraph" w:styleId="Heading8">
    <w:name w:val="heading 8"/>
    <w:basedOn w:val="Normal"/>
    <w:next w:val="Normal"/>
    <w:qFormat/>
    <w:rsid w:val="00EC4C98"/>
    <w:pPr>
      <w:ind w:left="1440"/>
      <w:outlineLvl w:val="7"/>
    </w:pPr>
    <w:rPr>
      <w:b/>
    </w:rPr>
  </w:style>
  <w:style w:type="paragraph" w:styleId="Heading9">
    <w:name w:val="heading 9"/>
    <w:basedOn w:val="Normal"/>
    <w:next w:val="NormalIndent"/>
    <w:qFormat/>
    <w:rsid w:val="00EC4C98"/>
    <w:pPr>
      <w:ind w:left="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EC4C98"/>
    <w:rPr>
      <w:sz w:val="16"/>
    </w:rPr>
  </w:style>
  <w:style w:type="paragraph" w:styleId="CommentText">
    <w:name w:val="annotation text"/>
    <w:basedOn w:val="Normal"/>
    <w:link w:val="CommentTextChar"/>
    <w:semiHidden/>
    <w:rsid w:val="00EC4C98"/>
    <w:rPr>
      <w:sz w:val="20"/>
    </w:rPr>
  </w:style>
  <w:style w:type="paragraph" w:styleId="TOC8">
    <w:name w:val="toc 8"/>
    <w:basedOn w:val="Normal"/>
    <w:next w:val="Normal"/>
    <w:semiHidden/>
    <w:rsid w:val="00EC4C98"/>
    <w:pPr>
      <w:tabs>
        <w:tab w:val="decimal" w:leader="dot" w:pos="9360"/>
      </w:tabs>
      <w:ind w:left="864"/>
    </w:pPr>
  </w:style>
  <w:style w:type="paragraph" w:styleId="TOC7">
    <w:name w:val="toc 7"/>
    <w:basedOn w:val="Normal"/>
    <w:next w:val="Normal"/>
    <w:semiHidden/>
    <w:rsid w:val="00EC4C98"/>
    <w:pPr>
      <w:tabs>
        <w:tab w:val="decimal" w:leader="dot" w:pos="9360"/>
      </w:tabs>
      <w:ind w:left="864"/>
    </w:pPr>
  </w:style>
  <w:style w:type="paragraph" w:styleId="TOC6">
    <w:name w:val="toc 6"/>
    <w:basedOn w:val="Normal"/>
    <w:next w:val="Normal"/>
    <w:semiHidden/>
    <w:rsid w:val="00EC4C98"/>
    <w:pPr>
      <w:tabs>
        <w:tab w:val="decimal" w:leader="dot" w:pos="9360"/>
      </w:tabs>
      <w:ind w:left="864"/>
    </w:pPr>
  </w:style>
  <w:style w:type="paragraph" w:styleId="TOC5">
    <w:name w:val="toc 5"/>
    <w:basedOn w:val="Normal"/>
    <w:next w:val="Normal"/>
    <w:uiPriority w:val="39"/>
    <w:rsid w:val="00EC4C98"/>
    <w:pPr>
      <w:tabs>
        <w:tab w:val="left" w:pos="2160"/>
        <w:tab w:val="decimal" w:leader="dot" w:pos="9360"/>
      </w:tabs>
      <w:ind w:left="1728"/>
    </w:pPr>
    <w:rPr>
      <w:b/>
    </w:rPr>
  </w:style>
  <w:style w:type="paragraph" w:styleId="TOC4">
    <w:name w:val="toc 4"/>
    <w:basedOn w:val="Normal"/>
    <w:next w:val="Normal"/>
    <w:uiPriority w:val="39"/>
    <w:rsid w:val="00EC4C98"/>
    <w:pPr>
      <w:tabs>
        <w:tab w:val="left" w:pos="1728"/>
        <w:tab w:val="decimal" w:leader="dot" w:pos="9360"/>
      </w:tabs>
      <w:ind w:left="1296"/>
    </w:pPr>
    <w:rPr>
      <w:b/>
    </w:rPr>
  </w:style>
  <w:style w:type="paragraph" w:styleId="TOC3">
    <w:name w:val="toc 3"/>
    <w:basedOn w:val="Normal"/>
    <w:next w:val="Normal"/>
    <w:uiPriority w:val="39"/>
    <w:rsid w:val="00EC4C98"/>
    <w:pPr>
      <w:tabs>
        <w:tab w:val="left" w:pos="1296"/>
        <w:tab w:val="decimal" w:leader="dot" w:pos="9360"/>
      </w:tabs>
      <w:ind w:left="864"/>
    </w:pPr>
    <w:rPr>
      <w:b/>
    </w:rPr>
  </w:style>
  <w:style w:type="paragraph" w:styleId="TOC2">
    <w:name w:val="toc 2"/>
    <w:basedOn w:val="Normal"/>
    <w:next w:val="Normal"/>
    <w:uiPriority w:val="39"/>
    <w:rsid w:val="00EC4C98"/>
    <w:pPr>
      <w:tabs>
        <w:tab w:val="left" w:pos="864"/>
        <w:tab w:val="decimal" w:leader="dot" w:pos="9360"/>
      </w:tabs>
      <w:ind w:left="432"/>
    </w:pPr>
    <w:rPr>
      <w:b/>
      <w:smallCaps/>
    </w:rPr>
  </w:style>
  <w:style w:type="paragraph" w:styleId="TOC1">
    <w:name w:val="toc 1"/>
    <w:basedOn w:val="Normal"/>
    <w:next w:val="Normal"/>
    <w:uiPriority w:val="39"/>
    <w:rsid w:val="00EC4C98"/>
    <w:pPr>
      <w:tabs>
        <w:tab w:val="left" w:pos="432"/>
        <w:tab w:val="decimal" w:leader="dot" w:pos="9360"/>
      </w:tabs>
      <w:spacing w:before="240"/>
    </w:pPr>
    <w:rPr>
      <w:b/>
      <w:caps/>
    </w:rPr>
  </w:style>
  <w:style w:type="paragraph" w:styleId="Index7">
    <w:name w:val="index 7"/>
    <w:basedOn w:val="Normal"/>
    <w:next w:val="Normal"/>
    <w:semiHidden/>
    <w:rsid w:val="00EC4C98"/>
    <w:pPr>
      <w:ind w:left="2160"/>
    </w:pPr>
  </w:style>
  <w:style w:type="paragraph" w:styleId="Index6">
    <w:name w:val="index 6"/>
    <w:basedOn w:val="Normal"/>
    <w:next w:val="Normal"/>
    <w:semiHidden/>
    <w:rsid w:val="00EC4C98"/>
    <w:pPr>
      <w:ind w:left="1800"/>
    </w:pPr>
  </w:style>
  <w:style w:type="paragraph" w:styleId="Index5">
    <w:name w:val="index 5"/>
    <w:basedOn w:val="Normal"/>
    <w:next w:val="Normal"/>
    <w:semiHidden/>
    <w:rsid w:val="00EC4C98"/>
    <w:pPr>
      <w:ind w:left="1440"/>
    </w:pPr>
  </w:style>
  <w:style w:type="paragraph" w:styleId="Index4">
    <w:name w:val="index 4"/>
    <w:basedOn w:val="Normal"/>
    <w:next w:val="Normal"/>
    <w:semiHidden/>
    <w:rsid w:val="00EC4C98"/>
    <w:pPr>
      <w:ind w:left="1080"/>
    </w:pPr>
  </w:style>
  <w:style w:type="paragraph" w:styleId="Index3">
    <w:name w:val="index 3"/>
    <w:basedOn w:val="Normal"/>
    <w:next w:val="Normal"/>
    <w:semiHidden/>
    <w:rsid w:val="00EC4C98"/>
    <w:pPr>
      <w:ind w:left="720"/>
    </w:pPr>
  </w:style>
  <w:style w:type="paragraph" w:styleId="Index2">
    <w:name w:val="index 2"/>
    <w:basedOn w:val="Normal"/>
    <w:next w:val="Normal"/>
    <w:semiHidden/>
    <w:rsid w:val="00EC4C98"/>
    <w:pPr>
      <w:ind w:left="360"/>
    </w:pPr>
  </w:style>
  <w:style w:type="paragraph" w:styleId="Index1">
    <w:name w:val="index 1"/>
    <w:basedOn w:val="Normal"/>
    <w:next w:val="Normal"/>
    <w:semiHidden/>
    <w:rsid w:val="00EC4C98"/>
  </w:style>
  <w:style w:type="character" w:styleId="LineNumber">
    <w:name w:val="line number"/>
    <w:basedOn w:val="DefaultParagraphFont"/>
    <w:rsid w:val="00EC4C98"/>
  </w:style>
  <w:style w:type="paragraph" w:styleId="IndexHeading">
    <w:name w:val="index heading"/>
    <w:basedOn w:val="Normal"/>
    <w:next w:val="Index1"/>
    <w:semiHidden/>
    <w:rsid w:val="00EC4C98"/>
  </w:style>
  <w:style w:type="paragraph" w:styleId="Footer">
    <w:name w:val="footer"/>
    <w:basedOn w:val="Normal"/>
    <w:link w:val="FooterChar"/>
    <w:uiPriority w:val="99"/>
    <w:rsid w:val="00EC4C98"/>
    <w:pPr>
      <w:tabs>
        <w:tab w:val="center" w:pos="4320"/>
        <w:tab w:val="right" w:pos="8640"/>
      </w:tabs>
    </w:pPr>
    <w:rPr>
      <w:sz w:val="20"/>
    </w:rPr>
  </w:style>
  <w:style w:type="paragraph" w:styleId="Header">
    <w:name w:val="header"/>
    <w:basedOn w:val="Normal"/>
    <w:rsid w:val="00EC4C98"/>
    <w:pPr>
      <w:tabs>
        <w:tab w:val="center" w:pos="4320"/>
        <w:tab w:val="right" w:pos="8640"/>
      </w:tabs>
    </w:pPr>
    <w:rPr>
      <w:b/>
    </w:rPr>
  </w:style>
  <w:style w:type="character" w:styleId="FootnoteReference">
    <w:name w:val="footnote reference"/>
    <w:uiPriority w:val="99"/>
    <w:semiHidden/>
    <w:rsid w:val="00EC4C98"/>
    <w:rPr>
      <w:rFonts w:ascii="Arial" w:hAnsi="Arial"/>
      <w:position w:val="6"/>
      <w:sz w:val="16"/>
    </w:rPr>
  </w:style>
  <w:style w:type="paragraph" w:styleId="FootnoteText">
    <w:name w:val="footnote text"/>
    <w:basedOn w:val="Normal"/>
    <w:link w:val="FootnoteTextChar"/>
    <w:uiPriority w:val="99"/>
    <w:semiHidden/>
    <w:rsid w:val="00EC4C98"/>
    <w:pPr>
      <w:ind w:left="288" w:hanging="288"/>
    </w:pPr>
    <w:rPr>
      <w:sz w:val="20"/>
    </w:rPr>
  </w:style>
  <w:style w:type="paragraph" w:styleId="NormalIndent">
    <w:name w:val="Normal Indent"/>
    <w:basedOn w:val="Normal"/>
    <w:rsid w:val="00EC4C98"/>
    <w:pPr>
      <w:ind w:left="720"/>
    </w:pPr>
  </w:style>
  <w:style w:type="paragraph" w:styleId="TableofFigures">
    <w:name w:val="table of figures"/>
    <w:basedOn w:val="Normal"/>
    <w:next w:val="Normal"/>
    <w:semiHidden/>
    <w:rsid w:val="00EC4C98"/>
    <w:pPr>
      <w:tabs>
        <w:tab w:val="right" w:leader="dot" w:pos="9360"/>
      </w:tabs>
      <w:ind w:left="480" w:hanging="480"/>
    </w:pPr>
  </w:style>
  <w:style w:type="paragraph" w:styleId="TOC9">
    <w:name w:val="toc 9"/>
    <w:basedOn w:val="Normal"/>
    <w:next w:val="Normal"/>
    <w:semiHidden/>
    <w:rsid w:val="00EC4C98"/>
    <w:pPr>
      <w:tabs>
        <w:tab w:val="right" w:leader="dot" w:pos="9360"/>
      </w:tabs>
      <w:ind w:left="864"/>
    </w:pPr>
  </w:style>
  <w:style w:type="character" w:customStyle="1" w:styleId="Keycaps">
    <w:name w:val="Keycaps"/>
    <w:rsid w:val="00EC4C98"/>
    <w:rPr>
      <w:rFonts w:ascii="RRKeyCaps" w:hAnsi="RRKeyCaps"/>
    </w:rPr>
  </w:style>
  <w:style w:type="character" w:customStyle="1" w:styleId="Keyletters">
    <w:name w:val="Keyletters"/>
    <w:rsid w:val="00EC4C98"/>
    <w:rPr>
      <w:rFonts w:ascii="RRKeyLetters" w:hAnsi="RRKeyLetters"/>
    </w:rPr>
  </w:style>
  <w:style w:type="paragraph" w:styleId="Quote">
    <w:name w:val="Quote"/>
    <w:basedOn w:val="Normal"/>
    <w:next w:val="Normal"/>
    <w:qFormat/>
    <w:rsid w:val="00EC4C98"/>
    <w:pPr>
      <w:keepLines/>
      <w:ind w:left="720" w:right="720"/>
    </w:pPr>
  </w:style>
  <w:style w:type="paragraph" w:customStyle="1" w:styleId="1BulletList">
    <w:name w:val="1Bullet List"/>
    <w:rsid w:val="00EC4C98"/>
    <w:pPr>
      <w:widowControl w:val="0"/>
      <w:tabs>
        <w:tab w:val="left" w:pos="720"/>
      </w:tabs>
      <w:ind w:left="720" w:hanging="720"/>
      <w:jc w:val="both"/>
    </w:pPr>
    <w:rPr>
      <w:snapToGrid w:val="0"/>
      <w:sz w:val="24"/>
    </w:rPr>
  </w:style>
  <w:style w:type="paragraph" w:customStyle="1" w:styleId="1Paragraph">
    <w:name w:val="1Paragraph"/>
    <w:rsid w:val="00EC4C98"/>
    <w:pPr>
      <w:widowControl w:val="0"/>
      <w:tabs>
        <w:tab w:val="left" w:pos="720"/>
      </w:tabs>
      <w:ind w:left="720" w:hanging="720"/>
    </w:pPr>
    <w:rPr>
      <w:snapToGrid w:val="0"/>
      <w:sz w:val="24"/>
    </w:rPr>
  </w:style>
  <w:style w:type="paragraph" w:styleId="BlockText">
    <w:name w:val="Block Text"/>
    <w:basedOn w:val="Normal"/>
    <w:rsid w:val="00EC4C98"/>
    <w:pPr>
      <w:tabs>
        <w:tab w:val="left" w:pos="1080"/>
      </w:tabs>
      <w:ind w:left="1080" w:right="720" w:hanging="360"/>
    </w:pPr>
    <w:rPr>
      <w:sz w:val="20"/>
    </w:rPr>
  </w:style>
  <w:style w:type="paragraph" w:styleId="BodyText">
    <w:name w:val="Body Text"/>
    <w:basedOn w:val="Normal"/>
    <w:rsid w:val="00EC4C98"/>
    <w:rPr>
      <w:b/>
    </w:rPr>
  </w:style>
  <w:style w:type="paragraph" w:styleId="BodyText2">
    <w:name w:val="Body Text 2"/>
    <w:basedOn w:val="Normal"/>
    <w:rsid w:val="00EC4C98"/>
    <w:pPr>
      <w:ind w:left="720"/>
    </w:pPr>
    <w:rPr>
      <w:color w:val="000000"/>
    </w:rPr>
  </w:style>
  <w:style w:type="paragraph" w:styleId="BodyText3">
    <w:name w:val="Body Text 3"/>
    <w:basedOn w:val="Normal"/>
    <w:rsid w:val="00EC4C98"/>
    <w:rPr>
      <w:color w:val="000000"/>
    </w:rPr>
  </w:style>
  <w:style w:type="paragraph" w:styleId="BodyTextIndent">
    <w:name w:val="Body Text Indent"/>
    <w:basedOn w:val="Normal"/>
    <w:link w:val="BodyTextIndentChar"/>
    <w:rsid w:val="00EC4C98"/>
    <w:pPr>
      <w:spacing w:line="240" w:lineRule="atLeast"/>
      <w:ind w:firstLine="720"/>
    </w:pPr>
  </w:style>
  <w:style w:type="paragraph" w:styleId="BodyTextIndent2">
    <w:name w:val="Body Text Indent 2"/>
    <w:basedOn w:val="Normal"/>
    <w:link w:val="BodyTextIndent2Char"/>
    <w:rsid w:val="00EC4C98"/>
    <w:pPr>
      <w:ind w:left="720"/>
    </w:pPr>
  </w:style>
  <w:style w:type="paragraph" w:styleId="BodyTextIndent3">
    <w:name w:val="Body Text Indent 3"/>
    <w:basedOn w:val="Normal"/>
    <w:rsid w:val="00EC4C98"/>
    <w:pPr>
      <w:spacing w:line="240" w:lineRule="atLeast"/>
      <w:ind w:firstLine="360"/>
    </w:pPr>
  </w:style>
  <w:style w:type="paragraph" w:styleId="DocumentMap">
    <w:name w:val="Document Map"/>
    <w:basedOn w:val="Normal"/>
    <w:semiHidden/>
    <w:rsid w:val="00EC4C98"/>
    <w:pPr>
      <w:shd w:val="clear" w:color="auto" w:fill="000080"/>
    </w:pPr>
    <w:rPr>
      <w:rFonts w:ascii="Tahoma" w:hAnsi="Tahoma"/>
    </w:rPr>
  </w:style>
  <w:style w:type="character" w:styleId="PageNumber">
    <w:name w:val="page number"/>
    <w:basedOn w:val="DefaultParagraphFont"/>
    <w:rsid w:val="00EC4C98"/>
  </w:style>
  <w:style w:type="character" w:customStyle="1" w:styleId="BodyTextIndentChar">
    <w:name w:val="Body Text Indent Char"/>
    <w:link w:val="BodyTextIndent"/>
    <w:rsid w:val="00EC4C98"/>
    <w:rPr>
      <w:rFonts w:ascii="Arial" w:hAnsi="Arial"/>
      <w:sz w:val="24"/>
      <w:lang w:val="en-US" w:eastAsia="en-US" w:bidi="ar-SA"/>
    </w:rPr>
  </w:style>
  <w:style w:type="character" w:styleId="Hyperlink">
    <w:name w:val="Hyperlink"/>
    <w:uiPriority w:val="99"/>
    <w:rsid w:val="00EC4C98"/>
    <w:rPr>
      <w:color w:val="0000FF"/>
      <w:u w:val="single"/>
    </w:rPr>
  </w:style>
  <w:style w:type="numbering" w:customStyle="1" w:styleId="CurrentList1">
    <w:name w:val="Current List1"/>
    <w:rsid w:val="00EC4C98"/>
    <w:pPr>
      <w:numPr>
        <w:numId w:val="1"/>
      </w:numPr>
    </w:pPr>
  </w:style>
  <w:style w:type="numbering" w:customStyle="1" w:styleId="Decision">
    <w:name w:val="Decision"/>
    <w:rsid w:val="00EC4C98"/>
    <w:pPr>
      <w:numPr>
        <w:numId w:val="2"/>
      </w:numPr>
    </w:pPr>
  </w:style>
  <w:style w:type="paragraph" w:styleId="BalloonText">
    <w:name w:val="Balloon Text"/>
    <w:basedOn w:val="Normal"/>
    <w:link w:val="BalloonTextChar"/>
    <w:rsid w:val="00ED6378"/>
    <w:rPr>
      <w:rFonts w:ascii="Tahoma" w:hAnsi="Tahoma" w:cs="Tahoma"/>
      <w:sz w:val="16"/>
      <w:szCs w:val="16"/>
    </w:rPr>
  </w:style>
  <w:style w:type="character" w:customStyle="1" w:styleId="BalloonTextChar">
    <w:name w:val="Balloon Text Char"/>
    <w:basedOn w:val="DefaultParagraphFont"/>
    <w:link w:val="BalloonText"/>
    <w:rsid w:val="00ED6378"/>
    <w:rPr>
      <w:rFonts w:ascii="Tahoma" w:hAnsi="Tahoma" w:cs="Tahoma"/>
      <w:sz w:val="16"/>
      <w:szCs w:val="16"/>
    </w:rPr>
  </w:style>
  <w:style w:type="paragraph" w:styleId="TOCHeading">
    <w:name w:val="TOC Heading"/>
    <w:basedOn w:val="Heading1"/>
    <w:next w:val="Normal"/>
    <w:uiPriority w:val="39"/>
    <w:semiHidden/>
    <w:unhideWhenUsed/>
    <w:qFormat/>
    <w:rsid w:val="002E24B8"/>
    <w:pPr>
      <w:keepNext/>
      <w:keepLines/>
      <w:numPr>
        <w:numId w:val="0"/>
      </w:numPr>
      <w:tabs>
        <w:tab w:val="clear" w:pos="720"/>
      </w:tabs>
      <w:spacing w:before="480"/>
      <w:outlineLvl w:val="9"/>
    </w:pPr>
    <w:rPr>
      <w:rFonts w:asciiTheme="majorHAnsi" w:eastAsiaTheme="majorEastAsia" w:hAnsiTheme="majorHAnsi" w:cstheme="majorBidi"/>
      <w:bCs/>
      <w:caps w:val="0"/>
      <w:color w:val="365F91" w:themeColor="accent1" w:themeShade="BF"/>
      <w:sz w:val="28"/>
      <w:szCs w:val="28"/>
    </w:rPr>
  </w:style>
  <w:style w:type="paragraph" w:styleId="ListParagraph">
    <w:name w:val="List Paragraph"/>
    <w:basedOn w:val="Normal"/>
    <w:uiPriority w:val="34"/>
    <w:qFormat/>
    <w:rsid w:val="002E24B8"/>
    <w:pPr>
      <w:ind w:left="720"/>
      <w:contextualSpacing/>
    </w:pPr>
  </w:style>
  <w:style w:type="paragraph" w:styleId="NoSpacing">
    <w:name w:val="No Spacing"/>
    <w:uiPriority w:val="1"/>
    <w:qFormat/>
    <w:rsid w:val="00B638E4"/>
    <w:rPr>
      <w:rFonts w:ascii="Calibri" w:eastAsia="Calibri" w:hAnsi="Calibri"/>
      <w:sz w:val="22"/>
      <w:szCs w:val="22"/>
    </w:rPr>
  </w:style>
  <w:style w:type="character" w:customStyle="1" w:styleId="BodyTextIndent2Char">
    <w:name w:val="Body Text Indent 2 Char"/>
    <w:basedOn w:val="DefaultParagraphFont"/>
    <w:link w:val="BodyTextIndent2"/>
    <w:rsid w:val="00D3045E"/>
    <w:rPr>
      <w:rFonts w:ascii="Arial" w:hAnsi="Arial"/>
      <w:sz w:val="24"/>
    </w:rPr>
  </w:style>
  <w:style w:type="paragraph" w:styleId="NormalWeb">
    <w:name w:val="Normal (Web)"/>
    <w:basedOn w:val="Normal"/>
    <w:uiPriority w:val="99"/>
    <w:unhideWhenUsed/>
    <w:rsid w:val="0086089B"/>
    <w:pPr>
      <w:spacing w:before="240"/>
      <w:ind w:firstLine="240"/>
    </w:pPr>
    <w:rPr>
      <w:rFonts w:ascii="Times New Roman" w:hAnsi="Times New Roman"/>
      <w:szCs w:val="24"/>
    </w:rPr>
  </w:style>
  <w:style w:type="character" w:customStyle="1" w:styleId="catchln">
    <w:name w:val="catchln"/>
    <w:basedOn w:val="DefaultParagraphFont"/>
    <w:rsid w:val="0086089B"/>
    <w:rPr>
      <w:b/>
      <w:bCs/>
      <w:color w:val="8B0000"/>
    </w:rPr>
  </w:style>
  <w:style w:type="paragraph" w:customStyle="1" w:styleId="Answer">
    <w:name w:val="Answer"/>
    <w:basedOn w:val="Normal"/>
    <w:next w:val="Normal"/>
    <w:link w:val="AnswerChar"/>
    <w:uiPriority w:val="99"/>
    <w:rsid w:val="00147E20"/>
    <w:pPr>
      <w:spacing w:after="240" w:line="480" w:lineRule="auto"/>
      <w:ind w:left="720" w:hanging="720"/>
      <w:contextualSpacing/>
    </w:pPr>
    <w:rPr>
      <w:rFonts w:ascii="Times New Roman" w:hAnsi="Times New Roman"/>
    </w:rPr>
  </w:style>
  <w:style w:type="character" w:customStyle="1" w:styleId="AnswerChar">
    <w:name w:val="Answer Char"/>
    <w:basedOn w:val="DefaultParagraphFont"/>
    <w:link w:val="Answer"/>
    <w:uiPriority w:val="99"/>
    <w:rsid w:val="00147E20"/>
    <w:rPr>
      <w:sz w:val="24"/>
    </w:rPr>
  </w:style>
  <w:style w:type="character" w:customStyle="1" w:styleId="FootnoteTextChar">
    <w:name w:val="Footnote Text Char"/>
    <w:basedOn w:val="DefaultParagraphFont"/>
    <w:link w:val="FootnoteText"/>
    <w:uiPriority w:val="99"/>
    <w:semiHidden/>
    <w:rsid w:val="0031692D"/>
    <w:rPr>
      <w:rFonts w:ascii="Arial" w:hAnsi="Arial"/>
    </w:rPr>
  </w:style>
  <w:style w:type="paragraph" w:styleId="Revision">
    <w:name w:val="Revision"/>
    <w:hidden/>
    <w:uiPriority w:val="99"/>
    <w:semiHidden/>
    <w:rsid w:val="00543B58"/>
    <w:rPr>
      <w:rFonts w:ascii="Arial" w:hAnsi="Arial"/>
      <w:sz w:val="24"/>
    </w:rPr>
  </w:style>
  <w:style w:type="table" w:styleId="TableGrid">
    <w:name w:val="Table Grid"/>
    <w:basedOn w:val="TableNormal"/>
    <w:rsid w:val="000910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unhideWhenUsed/>
    <w:rsid w:val="00C95429"/>
    <w:rPr>
      <w:b/>
      <w:bCs/>
    </w:rPr>
  </w:style>
  <w:style w:type="character" w:customStyle="1" w:styleId="CommentTextChar">
    <w:name w:val="Comment Text Char"/>
    <w:basedOn w:val="DefaultParagraphFont"/>
    <w:link w:val="CommentText"/>
    <w:semiHidden/>
    <w:rsid w:val="00C95429"/>
    <w:rPr>
      <w:rFonts w:ascii="Arial" w:hAnsi="Arial"/>
    </w:rPr>
  </w:style>
  <w:style w:type="character" w:customStyle="1" w:styleId="CommentSubjectChar">
    <w:name w:val="Comment Subject Char"/>
    <w:basedOn w:val="CommentTextChar"/>
    <w:link w:val="CommentSubject"/>
    <w:semiHidden/>
    <w:rsid w:val="00C95429"/>
    <w:rPr>
      <w:rFonts w:ascii="Arial" w:hAnsi="Arial"/>
      <w:b/>
      <w:bCs/>
    </w:rPr>
  </w:style>
  <w:style w:type="character" w:customStyle="1" w:styleId="FooterChar">
    <w:name w:val="Footer Char"/>
    <w:basedOn w:val="DefaultParagraphFont"/>
    <w:link w:val="Footer"/>
    <w:uiPriority w:val="99"/>
    <w:rsid w:val="003F6BF8"/>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17F"/>
    <w:rPr>
      <w:rFonts w:ascii="Arial" w:hAnsi="Arial"/>
      <w:sz w:val="24"/>
    </w:rPr>
  </w:style>
  <w:style w:type="paragraph" w:styleId="Heading1">
    <w:name w:val="heading 1"/>
    <w:basedOn w:val="Normal"/>
    <w:next w:val="Normal"/>
    <w:qFormat/>
    <w:rsid w:val="00392CD6"/>
    <w:pPr>
      <w:numPr>
        <w:numId w:val="3"/>
      </w:numPr>
      <w:tabs>
        <w:tab w:val="clear" w:pos="360"/>
        <w:tab w:val="left" w:pos="720"/>
      </w:tabs>
      <w:outlineLvl w:val="0"/>
    </w:pPr>
    <w:rPr>
      <w:b/>
      <w:caps/>
    </w:rPr>
  </w:style>
  <w:style w:type="paragraph" w:styleId="Heading2">
    <w:name w:val="heading 2"/>
    <w:basedOn w:val="Normal"/>
    <w:next w:val="Normal"/>
    <w:qFormat/>
    <w:rsid w:val="00392CD6"/>
    <w:pPr>
      <w:numPr>
        <w:ilvl w:val="1"/>
        <w:numId w:val="3"/>
      </w:numPr>
      <w:tabs>
        <w:tab w:val="left" w:pos="720"/>
      </w:tabs>
      <w:outlineLvl w:val="1"/>
    </w:pPr>
    <w:rPr>
      <w:b/>
      <w:smallCaps/>
    </w:rPr>
  </w:style>
  <w:style w:type="paragraph" w:styleId="Heading3">
    <w:name w:val="heading 3"/>
    <w:basedOn w:val="Normal"/>
    <w:next w:val="Normal"/>
    <w:qFormat/>
    <w:rsid w:val="00392CD6"/>
    <w:pPr>
      <w:numPr>
        <w:ilvl w:val="2"/>
        <w:numId w:val="3"/>
      </w:numPr>
      <w:tabs>
        <w:tab w:val="left" w:pos="720"/>
      </w:tabs>
      <w:outlineLvl w:val="2"/>
    </w:pPr>
    <w:rPr>
      <w:b/>
    </w:rPr>
  </w:style>
  <w:style w:type="paragraph" w:styleId="Heading4">
    <w:name w:val="heading 4"/>
    <w:basedOn w:val="Normal"/>
    <w:next w:val="Normal"/>
    <w:qFormat/>
    <w:rsid w:val="00392CD6"/>
    <w:pPr>
      <w:numPr>
        <w:ilvl w:val="3"/>
        <w:numId w:val="3"/>
      </w:numPr>
      <w:tabs>
        <w:tab w:val="left" w:pos="720"/>
      </w:tabs>
      <w:outlineLvl w:val="3"/>
    </w:pPr>
    <w:rPr>
      <w:b/>
    </w:rPr>
  </w:style>
  <w:style w:type="paragraph" w:styleId="Heading5">
    <w:name w:val="heading 5"/>
    <w:basedOn w:val="Normal"/>
    <w:next w:val="Normal"/>
    <w:qFormat/>
    <w:rsid w:val="00392CD6"/>
    <w:pPr>
      <w:numPr>
        <w:ilvl w:val="4"/>
        <w:numId w:val="3"/>
      </w:numPr>
      <w:tabs>
        <w:tab w:val="clear" w:pos="3240"/>
        <w:tab w:val="left" w:pos="720"/>
      </w:tabs>
      <w:ind w:left="2160"/>
      <w:outlineLvl w:val="4"/>
    </w:pPr>
    <w:rPr>
      <w:b/>
    </w:rPr>
  </w:style>
  <w:style w:type="paragraph" w:styleId="Heading6">
    <w:name w:val="heading 6"/>
    <w:basedOn w:val="Normal"/>
    <w:next w:val="Normal"/>
    <w:qFormat/>
    <w:rsid w:val="00EC4C98"/>
    <w:pPr>
      <w:ind w:left="1440"/>
      <w:outlineLvl w:val="5"/>
    </w:pPr>
    <w:rPr>
      <w:b/>
    </w:rPr>
  </w:style>
  <w:style w:type="paragraph" w:styleId="Heading7">
    <w:name w:val="heading 7"/>
    <w:basedOn w:val="Normal"/>
    <w:next w:val="Normal"/>
    <w:qFormat/>
    <w:rsid w:val="00EC4C98"/>
    <w:pPr>
      <w:ind w:left="1440"/>
      <w:outlineLvl w:val="6"/>
    </w:pPr>
    <w:rPr>
      <w:b/>
    </w:rPr>
  </w:style>
  <w:style w:type="paragraph" w:styleId="Heading8">
    <w:name w:val="heading 8"/>
    <w:basedOn w:val="Normal"/>
    <w:next w:val="Normal"/>
    <w:qFormat/>
    <w:rsid w:val="00EC4C98"/>
    <w:pPr>
      <w:ind w:left="1440"/>
      <w:outlineLvl w:val="7"/>
    </w:pPr>
    <w:rPr>
      <w:b/>
    </w:rPr>
  </w:style>
  <w:style w:type="paragraph" w:styleId="Heading9">
    <w:name w:val="heading 9"/>
    <w:basedOn w:val="Normal"/>
    <w:next w:val="NormalIndent"/>
    <w:qFormat/>
    <w:rsid w:val="00EC4C98"/>
    <w:pPr>
      <w:ind w:left="14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sid w:val="00EC4C98"/>
    <w:rPr>
      <w:sz w:val="16"/>
    </w:rPr>
  </w:style>
  <w:style w:type="paragraph" w:styleId="CommentText">
    <w:name w:val="annotation text"/>
    <w:basedOn w:val="Normal"/>
    <w:link w:val="CommentTextChar"/>
    <w:semiHidden/>
    <w:rsid w:val="00EC4C98"/>
    <w:rPr>
      <w:sz w:val="20"/>
    </w:rPr>
  </w:style>
  <w:style w:type="paragraph" w:styleId="TOC8">
    <w:name w:val="toc 8"/>
    <w:basedOn w:val="Normal"/>
    <w:next w:val="Normal"/>
    <w:semiHidden/>
    <w:rsid w:val="00EC4C98"/>
    <w:pPr>
      <w:tabs>
        <w:tab w:val="decimal" w:leader="dot" w:pos="9360"/>
      </w:tabs>
      <w:ind w:left="864"/>
    </w:pPr>
  </w:style>
  <w:style w:type="paragraph" w:styleId="TOC7">
    <w:name w:val="toc 7"/>
    <w:basedOn w:val="Normal"/>
    <w:next w:val="Normal"/>
    <w:semiHidden/>
    <w:rsid w:val="00EC4C98"/>
    <w:pPr>
      <w:tabs>
        <w:tab w:val="decimal" w:leader="dot" w:pos="9360"/>
      </w:tabs>
      <w:ind w:left="864"/>
    </w:pPr>
  </w:style>
  <w:style w:type="paragraph" w:styleId="TOC6">
    <w:name w:val="toc 6"/>
    <w:basedOn w:val="Normal"/>
    <w:next w:val="Normal"/>
    <w:semiHidden/>
    <w:rsid w:val="00EC4C98"/>
    <w:pPr>
      <w:tabs>
        <w:tab w:val="decimal" w:leader="dot" w:pos="9360"/>
      </w:tabs>
      <w:ind w:left="864"/>
    </w:pPr>
  </w:style>
  <w:style w:type="paragraph" w:styleId="TOC5">
    <w:name w:val="toc 5"/>
    <w:basedOn w:val="Normal"/>
    <w:next w:val="Normal"/>
    <w:uiPriority w:val="39"/>
    <w:rsid w:val="00EC4C98"/>
    <w:pPr>
      <w:tabs>
        <w:tab w:val="left" w:pos="2160"/>
        <w:tab w:val="decimal" w:leader="dot" w:pos="9360"/>
      </w:tabs>
      <w:ind w:left="1728"/>
    </w:pPr>
    <w:rPr>
      <w:b/>
    </w:rPr>
  </w:style>
  <w:style w:type="paragraph" w:styleId="TOC4">
    <w:name w:val="toc 4"/>
    <w:basedOn w:val="Normal"/>
    <w:next w:val="Normal"/>
    <w:uiPriority w:val="39"/>
    <w:rsid w:val="00EC4C98"/>
    <w:pPr>
      <w:tabs>
        <w:tab w:val="left" w:pos="1728"/>
        <w:tab w:val="decimal" w:leader="dot" w:pos="9360"/>
      </w:tabs>
      <w:ind w:left="1296"/>
    </w:pPr>
    <w:rPr>
      <w:b/>
    </w:rPr>
  </w:style>
  <w:style w:type="paragraph" w:styleId="TOC3">
    <w:name w:val="toc 3"/>
    <w:basedOn w:val="Normal"/>
    <w:next w:val="Normal"/>
    <w:uiPriority w:val="39"/>
    <w:rsid w:val="00EC4C98"/>
    <w:pPr>
      <w:tabs>
        <w:tab w:val="left" w:pos="1296"/>
        <w:tab w:val="decimal" w:leader="dot" w:pos="9360"/>
      </w:tabs>
      <w:ind w:left="864"/>
    </w:pPr>
    <w:rPr>
      <w:b/>
    </w:rPr>
  </w:style>
  <w:style w:type="paragraph" w:styleId="TOC2">
    <w:name w:val="toc 2"/>
    <w:basedOn w:val="Normal"/>
    <w:next w:val="Normal"/>
    <w:uiPriority w:val="39"/>
    <w:rsid w:val="00EC4C98"/>
    <w:pPr>
      <w:tabs>
        <w:tab w:val="left" w:pos="864"/>
        <w:tab w:val="decimal" w:leader="dot" w:pos="9360"/>
      </w:tabs>
      <w:ind w:left="432"/>
    </w:pPr>
    <w:rPr>
      <w:b/>
      <w:smallCaps/>
    </w:rPr>
  </w:style>
  <w:style w:type="paragraph" w:styleId="TOC1">
    <w:name w:val="toc 1"/>
    <w:basedOn w:val="Normal"/>
    <w:next w:val="Normal"/>
    <w:uiPriority w:val="39"/>
    <w:rsid w:val="00EC4C98"/>
    <w:pPr>
      <w:tabs>
        <w:tab w:val="left" w:pos="432"/>
        <w:tab w:val="decimal" w:leader="dot" w:pos="9360"/>
      </w:tabs>
      <w:spacing w:before="240"/>
    </w:pPr>
    <w:rPr>
      <w:b/>
      <w:caps/>
    </w:rPr>
  </w:style>
  <w:style w:type="paragraph" w:styleId="Index7">
    <w:name w:val="index 7"/>
    <w:basedOn w:val="Normal"/>
    <w:next w:val="Normal"/>
    <w:semiHidden/>
    <w:rsid w:val="00EC4C98"/>
    <w:pPr>
      <w:ind w:left="2160"/>
    </w:pPr>
  </w:style>
  <w:style w:type="paragraph" w:styleId="Index6">
    <w:name w:val="index 6"/>
    <w:basedOn w:val="Normal"/>
    <w:next w:val="Normal"/>
    <w:semiHidden/>
    <w:rsid w:val="00EC4C98"/>
    <w:pPr>
      <w:ind w:left="1800"/>
    </w:pPr>
  </w:style>
  <w:style w:type="paragraph" w:styleId="Index5">
    <w:name w:val="index 5"/>
    <w:basedOn w:val="Normal"/>
    <w:next w:val="Normal"/>
    <w:semiHidden/>
    <w:rsid w:val="00EC4C98"/>
    <w:pPr>
      <w:ind w:left="1440"/>
    </w:pPr>
  </w:style>
  <w:style w:type="paragraph" w:styleId="Index4">
    <w:name w:val="index 4"/>
    <w:basedOn w:val="Normal"/>
    <w:next w:val="Normal"/>
    <w:semiHidden/>
    <w:rsid w:val="00EC4C98"/>
    <w:pPr>
      <w:ind w:left="1080"/>
    </w:pPr>
  </w:style>
  <w:style w:type="paragraph" w:styleId="Index3">
    <w:name w:val="index 3"/>
    <w:basedOn w:val="Normal"/>
    <w:next w:val="Normal"/>
    <w:semiHidden/>
    <w:rsid w:val="00EC4C98"/>
    <w:pPr>
      <w:ind w:left="720"/>
    </w:pPr>
  </w:style>
  <w:style w:type="paragraph" w:styleId="Index2">
    <w:name w:val="index 2"/>
    <w:basedOn w:val="Normal"/>
    <w:next w:val="Normal"/>
    <w:semiHidden/>
    <w:rsid w:val="00EC4C98"/>
    <w:pPr>
      <w:ind w:left="360"/>
    </w:pPr>
  </w:style>
  <w:style w:type="paragraph" w:styleId="Index1">
    <w:name w:val="index 1"/>
    <w:basedOn w:val="Normal"/>
    <w:next w:val="Normal"/>
    <w:semiHidden/>
    <w:rsid w:val="00EC4C98"/>
  </w:style>
  <w:style w:type="character" w:styleId="LineNumber">
    <w:name w:val="line number"/>
    <w:basedOn w:val="DefaultParagraphFont"/>
    <w:rsid w:val="00EC4C98"/>
  </w:style>
  <w:style w:type="paragraph" w:styleId="IndexHeading">
    <w:name w:val="index heading"/>
    <w:basedOn w:val="Normal"/>
    <w:next w:val="Index1"/>
    <w:semiHidden/>
    <w:rsid w:val="00EC4C98"/>
  </w:style>
  <w:style w:type="paragraph" w:styleId="Footer">
    <w:name w:val="footer"/>
    <w:basedOn w:val="Normal"/>
    <w:link w:val="FooterChar"/>
    <w:uiPriority w:val="99"/>
    <w:rsid w:val="00EC4C98"/>
    <w:pPr>
      <w:tabs>
        <w:tab w:val="center" w:pos="4320"/>
        <w:tab w:val="right" w:pos="8640"/>
      </w:tabs>
    </w:pPr>
    <w:rPr>
      <w:sz w:val="20"/>
    </w:rPr>
  </w:style>
  <w:style w:type="paragraph" w:styleId="Header">
    <w:name w:val="header"/>
    <w:basedOn w:val="Normal"/>
    <w:rsid w:val="00EC4C98"/>
    <w:pPr>
      <w:tabs>
        <w:tab w:val="center" w:pos="4320"/>
        <w:tab w:val="right" w:pos="8640"/>
      </w:tabs>
    </w:pPr>
    <w:rPr>
      <w:b/>
    </w:rPr>
  </w:style>
  <w:style w:type="character" w:styleId="FootnoteReference">
    <w:name w:val="footnote reference"/>
    <w:uiPriority w:val="99"/>
    <w:semiHidden/>
    <w:rsid w:val="00EC4C98"/>
    <w:rPr>
      <w:rFonts w:ascii="Arial" w:hAnsi="Arial"/>
      <w:position w:val="6"/>
      <w:sz w:val="16"/>
    </w:rPr>
  </w:style>
  <w:style w:type="paragraph" w:styleId="FootnoteText">
    <w:name w:val="footnote text"/>
    <w:basedOn w:val="Normal"/>
    <w:link w:val="FootnoteTextChar"/>
    <w:uiPriority w:val="99"/>
    <w:semiHidden/>
    <w:rsid w:val="00EC4C98"/>
    <w:pPr>
      <w:ind w:left="288" w:hanging="288"/>
    </w:pPr>
    <w:rPr>
      <w:sz w:val="20"/>
    </w:rPr>
  </w:style>
  <w:style w:type="paragraph" w:styleId="NormalIndent">
    <w:name w:val="Normal Indent"/>
    <w:basedOn w:val="Normal"/>
    <w:rsid w:val="00EC4C98"/>
    <w:pPr>
      <w:ind w:left="720"/>
    </w:pPr>
  </w:style>
  <w:style w:type="paragraph" w:styleId="TableofFigures">
    <w:name w:val="table of figures"/>
    <w:basedOn w:val="Normal"/>
    <w:next w:val="Normal"/>
    <w:semiHidden/>
    <w:rsid w:val="00EC4C98"/>
    <w:pPr>
      <w:tabs>
        <w:tab w:val="right" w:leader="dot" w:pos="9360"/>
      </w:tabs>
      <w:ind w:left="480" w:hanging="480"/>
    </w:pPr>
  </w:style>
  <w:style w:type="paragraph" w:styleId="TOC9">
    <w:name w:val="toc 9"/>
    <w:basedOn w:val="Normal"/>
    <w:next w:val="Normal"/>
    <w:semiHidden/>
    <w:rsid w:val="00EC4C98"/>
    <w:pPr>
      <w:tabs>
        <w:tab w:val="right" w:leader="dot" w:pos="9360"/>
      </w:tabs>
      <w:ind w:left="864"/>
    </w:pPr>
  </w:style>
  <w:style w:type="character" w:customStyle="1" w:styleId="Keycaps">
    <w:name w:val="Keycaps"/>
    <w:rsid w:val="00EC4C98"/>
    <w:rPr>
      <w:rFonts w:ascii="RRKeyCaps" w:hAnsi="RRKeyCaps"/>
    </w:rPr>
  </w:style>
  <w:style w:type="character" w:customStyle="1" w:styleId="Keyletters">
    <w:name w:val="Keyletters"/>
    <w:rsid w:val="00EC4C98"/>
    <w:rPr>
      <w:rFonts w:ascii="RRKeyLetters" w:hAnsi="RRKeyLetters"/>
    </w:rPr>
  </w:style>
  <w:style w:type="paragraph" w:styleId="Quote">
    <w:name w:val="Quote"/>
    <w:basedOn w:val="Normal"/>
    <w:next w:val="Normal"/>
    <w:qFormat/>
    <w:rsid w:val="00EC4C98"/>
    <w:pPr>
      <w:keepLines/>
      <w:ind w:left="720" w:right="720"/>
    </w:pPr>
  </w:style>
  <w:style w:type="paragraph" w:customStyle="1" w:styleId="1BulletList">
    <w:name w:val="1Bullet List"/>
    <w:rsid w:val="00EC4C98"/>
    <w:pPr>
      <w:widowControl w:val="0"/>
      <w:tabs>
        <w:tab w:val="left" w:pos="720"/>
      </w:tabs>
      <w:ind w:left="720" w:hanging="720"/>
      <w:jc w:val="both"/>
    </w:pPr>
    <w:rPr>
      <w:snapToGrid w:val="0"/>
      <w:sz w:val="24"/>
    </w:rPr>
  </w:style>
  <w:style w:type="paragraph" w:customStyle="1" w:styleId="1Paragraph">
    <w:name w:val="1Paragraph"/>
    <w:rsid w:val="00EC4C98"/>
    <w:pPr>
      <w:widowControl w:val="0"/>
      <w:tabs>
        <w:tab w:val="left" w:pos="720"/>
      </w:tabs>
      <w:ind w:left="720" w:hanging="720"/>
    </w:pPr>
    <w:rPr>
      <w:snapToGrid w:val="0"/>
      <w:sz w:val="24"/>
    </w:rPr>
  </w:style>
  <w:style w:type="paragraph" w:styleId="BlockText">
    <w:name w:val="Block Text"/>
    <w:basedOn w:val="Normal"/>
    <w:rsid w:val="00EC4C98"/>
    <w:pPr>
      <w:tabs>
        <w:tab w:val="left" w:pos="1080"/>
      </w:tabs>
      <w:ind w:left="1080" w:right="720" w:hanging="360"/>
    </w:pPr>
    <w:rPr>
      <w:sz w:val="20"/>
    </w:rPr>
  </w:style>
  <w:style w:type="paragraph" w:styleId="BodyText">
    <w:name w:val="Body Text"/>
    <w:basedOn w:val="Normal"/>
    <w:rsid w:val="00EC4C98"/>
    <w:rPr>
      <w:b/>
    </w:rPr>
  </w:style>
  <w:style w:type="paragraph" w:styleId="BodyText2">
    <w:name w:val="Body Text 2"/>
    <w:basedOn w:val="Normal"/>
    <w:rsid w:val="00EC4C98"/>
    <w:pPr>
      <w:ind w:left="720"/>
    </w:pPr>
    <w:rPr>
      <w:color w:val="000000"/>
    </w:rPr>
  </w:style>
  <w:style w:type="paragraph" w:styleId="BodyText3">
    <w:name w:val="Body Text 3"/>
    <w:basedOn w:val="Normal"/>
    <w:rsid w:val="00EC4C98"/>
    <w:rPr>
      <w:color w:val="000000"/>
    </w:rPr>
  </w:style>
  <w:style w:type="paragraph" w:styleId="BodyTextIndent">
    <w:name w:val="Body Text Indent"/>
    <w:basedOn w:val="Normal"/>
    <w:link w:val="BodyTextIndentChar"/>
    <w:rsid w:val="00EC4C98"/>
    <w:pPr>
      <w:spacing w:line="240" w:lineRule="atLeast"/>
      <w:ind w:firstLine="720"/>
    </w:pPr>
  </w:style>
  <w:style w:type="paragraph" w:styleId="BodyTextIndent2">
    <w:name w:val="Body Text Indent 2"/>
    <w:basedOn w:val="Normal"/>
    <w:link w:val="BodyTextIndent2Char"/>
    <w:rsid w:val="00EC4C98"/>
    <w:pPr>
      <w:ind w:left="720"/>
    </w:pPr>
  </w:style>
  <w:style w:type="paragraph" w:styleId="BodyTextIndent3">
    <w:name w:val="Body Text Indent 3"/>
    <w:basedOn w:val="Normal"/>
    <w:rsid w:val="00EC4C98"/>
    <w:pPr>
      <w:spacing w:line="240" w:lineRule="atLeast"/>
      <w:ind w:firstLine="360"/>
    </w:pPr>
  </w:style>
  <w:style w:type="paragraph" w:styleId="DocumentMap">
    <w:name w:val="Document Map"/>
    <w:basedOn w:val="Normal"/>
    <w:semiHidden/>
    <w:rsid w:val="00EC4C98"/>
    <w:pPr>
      <w:shd w:val="clear" w:color="auto" w:fill="000080"/>
    </w:pPr>
    <w:rPr>
      <w:rFonts w:ascii="Tahoma" w:hAnsi="Tahoma"/>
    </w:rPr>
  </w:style>
  <w:style w:type="character" w:styleId="PageNumber">
    <w:name w:val="page number"/>
    <w:basedOn w:val="DefaultParagraphFont"/>
    <w:rsid w:val="00EC4C98"/>
  </w:style>
  <w:style w:type="character" w:customStyle="1" w:styleId="BodyTextIndentChar">
    <w:name w:val="Body Text Indent Char"/>
    <w:link w:val="BodyTextIndent"/>
    <w:rsid w:val="00EC4C98"/>
    <w:rPr>
      <w:rFonts w:ascii="Arial" w:hAnsi="Arial"/>
      <w:sz w:val="24"/>
      <w:lang w:val="en-US" w:eastAsia="en-US" w:bidi="ar-SA"/>
    </w:rPr>
  </w:style>
  <w:style w:type="character" w:styleId="Hyperlink">
    <w:name w:val="Hyperlink"/>
    <w:uiPriority w:val="99"/>
    <w:rsid w:val="00EC4C98"/>
    <w:rPr>
      <w:color w:val="0000FF"/>
      <w:u w:val="single"/>
    </w:rPr>
  </w:style>
  <w:style w:type="numbering" w:customStyle="1" w:styleId="CurrentList1">
    <w:name w:val="Current List1"/>
    <w:rsid w:val="00EC4C98"/>
    <w:pPr>
      <w:numPr>
        <w:numId w:val="1"/>
      </w:numPr>
    </w:pPr>
  </w:style>
  <w:style w:type="numbering" w:customStyle="1" w:styleId="Decision">
    <w:name w:val="Decision"/>
    <w:rsid w:val="00EC4C98"/>
    <w:pPr>
      <w:numPr>
        <w:numId w:val="2"/>
      </w:numPr>
    </w:pPr>
  </w:style>
  <w:style w:type="paragraph" w:styleId="BalloonText">
    <w:name w:val="Balloon Text"/>
    <w:basedOn w:val="Normal"/>
    <w:link w:val="BalloonTextChar"/>
    <w:rsid w:val="00ED6378"/>
    <w:rPr>
      <w:rFonts w:ascii="Tahoma" w:hAnsi="Tahoma" w:cs="Tahoma"/>
      <w:sz w:val="16"/>
      <w:szCs w:val="16"/>
    </w:rPr>
  </w:style>
  <w:style w:type="character" w:customStyle="1" w:styleId="BalloonTextChar">
    <w:name w:val="Balloon Text Char"/>
    <w:basedOn w:val="DefaultParagraphFont"/>
    <w:link w:val="BalloonText"/>
    <w:rsid w:val="00ED6378"/>
    <w:rPr>
      <w:rFonts w:ascii="Tahoma" w:hAnsi="Tahoma" w:cs="Tahoma"/>
      <w:sz w:val="16"/>
      <w:szCs w:val="16"/>
    </w:rPr>
  </w:style>
  <w:style w:type="paragraph" w:styleId="TOCHeading">
    <w:name w:val="TOC Heading"/>
    <w:basedOn w:val="Heading1"/>
    <w:next w:val="Normal"/>
    <w:uiPriority w:val="39"/>
    <w:semiHidden/>
    <w:unhideWhenUsed/>
    <w:qFormat/>
    <w:rsid w:val="002E24B8"/>
    <w:pPr>
      <w:keepNext/>
      <w:keepLines/>
      <w:numPr>
        <w:numId w:val="0"/>
      </w:numPr>
      <w:tabs>
        <w:tab w:val="clear" w:pos="720"/>
      </w:tabs>
      <w:spacing w:before="480"/>
      <w:outlineLvl w:val="9"/>
    </w:pPr>
    <w:rPr>
      <w:rFonts w:asciiTheme="majorHAnsi" w:eastAsiaTheme="majorEastAsia" w:hAnsiTheme="majorHAnsi" w:cstheme="majorBidi"/>
      <w:bCs/>
      <w:caps w:val="0"/>
      <w:color w:val="365F91" w:themeColor="accent1" w:themeShade="BF"/>
      <w:sz w:val="28"/>
      <w:szCs w:val="28"/>
    </w:rPr>
  </w:style>
  <w:style w:type="paragraph" w:styleId="ListParagraph">
    <w:name w:val="List Paragraph"/>
    <w:basedOn w:val="Normal"/>
    <w:uiPriority w:val="34"/>
    <w:qFormat/>
    <w:rsid w:val="002E24B8"/>
    <w:pPr>
      <w:ind w:left="720"/>
      <w:contextualSpacing/>
    </w:pPr>
  </w:style>
  <w:style w:type="paragraph" w:styleId="NoSpacing">
    <w:name w:val="No Spacing"/>
    <w:uiPriority w:val="1"/>
    <w:qFormat/>
    <w:rsid w:val="00B638E4"/>
    <w:rPr>
      <w:rFonts w:ascii="Calibri" w:eastAsia="Calibri" w:hAnsi="Calibri"/>
      <w:sz w:val="22"/>
      <w:szCs w:val="22"/>
    </w:rPr>
  </w:style>
  <w:style w:type="character" w:customStyle="1" w:styleId="BodyTextIndent2Char">
    <w:name w:val="Body Text Indent 2 Char"/>
    <w:basedOn w:val="DefaultParagraphFont"/>
    <w:link w:val="BodyTextIndent2"/>
    <w:rsid w:val="00D3045E"/>
    <w:rPr>
      <w:rFonts w:ascii="Arial" w:hAnsi="Arial"/>
      <w:sz w:val="24"/>
    </w:rPr>
  </w:style>
  <w:style w:type="paragraph" w:styleId="NormalWeb">
    <w:name w:val="Normal (Web)"/>
    <w:basedOn w:val="Normal"/>
    <w:uiPriority w:val="99"/>
    <w:unhideWhenUsed/>
    <w:rsid w:val="0086089B"/>
    <w:pPr>
      <w:spacing w:before="240"/>
      <w:ind w:firstLine="240"/>
    </w:pPr>
    <w:rPr>
      <w:rFonts w:ascii="Times New Roman" w:hAnsi="Times New Roman"/>
      <w:szCs w:val="24"/>
    </w:rPr>
  </w:style>
  <w:style w:type="character" w:customStyle="1" w:styleId="catchln">
    <w:name w:val="catchln"/>
    <w:basedOn w:val="DefaultParagraphFont"/>
    <w:rsid w:val="0086089B"/>
    <w:rPr>
      <w:b/>
      <w:bCs/>
      <w:color w:val="8B0000"/>
    </w:rPr>
  </w:style>
  <w:style w:type="paragraph" w:customStyle="1" w:styleId="Answer">
    <w:name w:val="Answer"/>
    <w:basedOn w:val="Normal"/>
    <w:next w:val="Normal"/>
    <w:link w:val="AnswerChar"/>
    <w:uiPriority w:val="99"/>
    <w:rsid w:val="00147E20"/>
    <w:pPr>
      <w:spacing w:after="240" w:line="480" w:lineRule="auto"/>
      <w:ind w:left="720" w:hanging="720"/>
      <w:contextualSpacing/>
    </w:pPr>
    <w:rPr>
      <w:rFonts w:ascii="Times New Roman" w:hAnsi="Times New Roman"/>
    </w:rPr>
  </w:style>
  <w:style w:type="character" w:customStyle="1" w:styleId="AnswerChar">
    <w:name w:val="Answer Char"/>
    <w:basedOn w:val="DefaultParagraphFont"/>
    <w:link w:val="Answer"/>
    <w:uiPriority w:val="99"/>
    <w:rsid w:val="00147E20"/>
    <w:rPr>
      <w:sz w:val="24"/>
    </w:rPr>
  </w:style>
  <w:style w:type="character" w:customStyle="1" w:styleId="FootnoteTextChar">
    <w:name w:val="Footnote Text Char"/>
    <w:basedOn w:val="DefaultParagraphFont"/>
    <w:link w:val="FootnoteText"/>
    <w:uiPriority w:val="99"/>
    <w:semiHidden/>
    <w:rsid w:val="0031692D"/>
    <w:rPr>
      <w:rFonts w:ascii="Arial" w:hAnsi="Arial"/>
    </w:rPr>
  </w:style>
  <w:style w:type="paragraph" w:styleId="Revision">
    <w:name w:val="Revision"/>
    <w:hidden/>
    <w:uiPriority w:val="99"/>
    <w:semiHidden/>
    <w:rsid w:val="00543B58"/>
    <w:rPr>
      <w:rFonts w:ascii="Arial" w:hAnsi="Arial"/>
      <w:sz w:val="24"/>
    </w:rPr>
  </w:style>
  <w:style w:type="table" w:styleId="TableGrid">
    <w:name w:val="Table Grid"/>
    <w:basedOn w:val="TableNormal"/>
    <w:rsid w:val="000910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semiHidden/>
    <w:unhideWhenUsed/>
    <w:rsid w:val="00C95429"/>
    <w:rPr>
      <w:b/>
      <w:bCs/>
    </w:rPr>
  </w:style>
  <w:style w:type="character" w:customStyle="1" w:styleId="CommentTextChar">
    <w:name w:val="Comment Text Char"/>
    <w:basedOn w:val="DefaultParagraphFont"/>
    <w:link w:val="CommentText"/>
    <w:semiHidden/>
    <w:rsid w:val="00C95429"/>
    <w:rPr>
      <w:rFonts w:ascii="Arial" w:hAnsi="Arial"/>
    </w:rPr>
  </w:style>
  <w:style w:type="character" w:customStyle="1" w:styleId="CommentSubjectChar">
    <w:name w:val="Comment Subject Char"/>
    <w:basedOn w:val="CommentTextChar"/>
    <w:link w:val="CommentSubject"/>
    <w:semiHidden/>
    <w:rsid w:val="00C95429"/>
    <w:rPr>
      <w:rFonts w:ascii="Arial" w:hAnsi="Arial"/>
      <w:b/>
      <w:bCs/>
    </w:rPr>
  </w:style>
  <w:style w:type="character" w:customStyle="1" w:styleId="FooterChar">
    <w:name w:val="Footer Char"/>
    <w:basedOn w:val="DefaultParagraphFont"/>
    <w:link w:val="Footer"/>
    <w:uiPriority w:val="99"/>
    <w:rsid w:val="003F6BF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5986">
      <w:bodyDiv w:val="1"/>
      <w:marLeft w:val="0"/>
      <w:marRight w:val="0"/>
      <w:marTop w:val="0"/>
      <w:marBottom w:val="0"/>
      <w:divBdr>
        <w:top w:val="none" w:sz="0" w:space="0" w:color="auto"/>
        <w:left w:val="none" w:sz="0" w:space="0" w:color="auto"/>
        <w:bottom w:val="none" w:sz="0" w:space="0" w:color="auto"/>
        <w:right w:val="none" w:sz="0" w:space="0" w:color="auto"/>
      </w:divBdr>
    </w:div>
    <w:div w:id="44261452">
      <w:bodyDiv w:val="1"/>
      <w:marLeft w:val="0"/>
      <w:marRight w:val="0"/>
      <w:marTop w:val="0"/>
      <w:marBottom w:val="0"/>
      <w:divBdr>
        <w:top w:val="none" w:sz="0" w:space="0" w:color="auto"/>
        <w:left w:val="none" w:sz="0" w:space="0" w:color="auto"/>
        <w:bottom w:val="none" w:sz="0" w:space="0" w:color="auto"/>
        <w:right w:val="none" w:sz="0" w:space="0" w:color="auto"/>
      </w:divBdr>
    </w:div>
    <w:div w:id="88427858">
      <w:bodyDiv w:val="1"/>
      <w:marLeft w:val="0"/>
      <w:marRight w:val="0"/>
      <w:marTop w:val="0"/>
      <w:marBottom w:val="0"/>
      <w:divBdr>
        <w:top w:val="none" w:sz="0" w:space="0" w:color="auto"/>
        <w:left w:val="none" w:sz="0" w:space="0" w:color="auto"/>
        <w:bottom w:val="none" w:sz="0" w:space="0" w:color="auto"/>
        <w:right w:val="none" w:sz="0" w:space="0" w:color="auto"/>
      </w:divBdr>
    </w:div>
    <w:div w:id="155876110">
      <w:bodyDiv w:val="1"/>
      <w:marLeft w:val="0"/>
      <w:marRight w:val="0"/>
      <w:marTop w:val="0"/>
      <w:marBottom w:val="0"/>
      <w:divBdr>
        <w:top w:val="none" w:sz="0" w:space="0" w:color="auto"/>
        <w:left w:val="none" w:sz="0" w:space="0" w:color="auto"/>
        <w:bottom w:val="none" w:sz="0" w:space="0" w:color="auto"/>
        <w:right w:val="none" w:sz="0" w:space="0" w:color="auto"/>
      </w:divBdr>
    </w:div>
    <w:div w:id="244076893">
      <w:bodyDiv w:val="1"/>
      <w:marLeft w:val="0"/>
      <w:marRight w:val="0"/>
      <w:marTop w:val="0"/>
      <w:marBottom w:val="0"/>
      <w:divBdr>
        <w:top w:val="none" w:sz="0" w:space="0" w:color="auto"/>
        <w:left w:val="none" w:sz="0" w:space="0" w:color="auto"/>
        <w:bottom w:val="none" w:sz="0" w:space="0" w:color="auto"/>
        <w:right w:val="none" w:sz="0" w:space="0" w:color="auto"/>
      </w:divBdr>
      <w:divsChild>
        <w:div w:id="2130589353">
          <w:marLeft w:val="0"/>
          <w:marRight w:val="0"/>
          <w:marTop w:val="0"/>
          <w:marBottom w:val="0"/>
          <w:divBdr>
            <w:top w:val="none" w:sz="0" w:space="0" w:color="auto"/>
            <w:left w:val="none" w:sz="0" w:space="0" w:color="auto"/>
            <w:bottom w:val="none" w:sz="0" w:space="0" w:color="auto"/>
            <w:right w:val="none" w:sz="0" w:space="0" w:color="auto"/>
          </w:divBdr>
        </w:div>
      </w:divsChild>
    </w:div>
    <w:div w:id="277421419">
      <w:bodyDiv w:val="1"/>
      <w:marLeft w:val="0"/>
      <w:marRight w:val="0"/>
      <w:marTop w:val="0"/>
      <w:marBottom w:val="0"/>
      <w:divBdr>
        <w:top w:val="none" w:sz="0" w:space="0" w:color="auto"/>
        <w:left w:val="none" w:sz="0" w:space="0" w:color="auto"/>
        <w:bottom w:val="none" w:sz="0" w:space="0" w:color="auto"/>
        <w:right w:val="none" w:sz="0" w:space="0" w:color="auto"/>
      </w:divBdr>
    </w:div>
    <w:div w:id="308441671">
      <w:bodyDiv w:val="1"/>
      <w:marLeft w:val="0"/>
      <w:marRight w:val="0"/>
      <w:marTop w:val="0"/>
      <w:marBottom w:val="0"/>
      <w:divBdr>
        <w:top w:val="none" w:sz="0" w:space="0" w:color="auto"/>
        <w:left w:val="none" w:sz="0" w:space="0" w:color="auto"/>
        <w:bottom w:val="none" w:sz="0" w:space="0" w:color="auto"/>
        <w:right w:val="none" w:sz="0" w:space="0" w:color="auto"/>
      </w:divBdr>
    </w:div>
    <w:div w:id="452947133">
      <w:bodyDiv w:val="1"/>
      <w:marLeft w:val="0"/>
      <w:marRight w:val="0"/>
      <w:marTop w:val="0"/>
      <w:marBottom w:val="0"/>
      <w:divBdr>
        <w:top w:val="none" w:sz="0" w:space="0" w:color="auto"/>
        <w:left w:val="none" w:sz="0" w:space="0" w:color="auto"/>
        <w:bottom w:val="none" w:sz="0" w:space="0" w:color="auto"/>
        <w:right w:val="none" w:sz="0" w:space="0" w:color="auto"/>
      </w:divBdr>
    </w:div>
    <w:div w:id="494298975">
      <w:bodyDiv w:val="1"/>
      <w:marLeft w:val="0"/>
      <w:marRight w:val="0"/>
      <w:marTop w:val="0"/>
      <w:marBottom w:val="0"/>
      <w:divBdr>
        <w:top w:val="none" w:sz="0" w:space="0" w:color="auto"/>
        <w:left w:val="none" w:sz="0" w:space="0" w:color="auto"/>
        <w:bottom w:val="none" w:sz="0" w:space="0" w:color="auto"/>
        <w:right w:val="none" w:sz="0" w:space="0" w:color="auto"/>
      </w:divBdr>
    </w:div>
    <w:div w:id="547189174">
      <w:bodyDiv w:val="1"/>
      <w:marLeft w:val="0"/>
      <w:marRight w:val="0"/>
      <w:marTop w:val="0"/>
      <w:marBottom w:val="0"/>
      <w:divBdr>
        <w:top w:val="none" w:sz="0" w:space="0" w:color="auto"/>
        <w:left w:val="none" w:sz="0" w:space="0" w:color="auto"/>
        <w:bottom w:val="none" w:sz="0" w:space="0" w:color="auto"/>
        <w:right w:val="none" w:sz="0" w:space="0" w:color="auto"/>
      </w:divBdr>
    </w:div>
    <w:div w:id="756751640">
      <w:bodyDiv w:val="1"/>
      <w:marLeft w:val="0"/>
      <w:marRight w:val="0"/>
      <w:marTop w:val="0"/>
      <w:marBottom w:val="0"/>
      <w:divBdr>
        <w:top w:val="none" w:sz="0" w:space="0" w:color="auto"/>
        <w:left w:val="none" w:sz="0" w:space="0" w:color="auto"/>
        <w:bottom w:val="none" w:sz="0" w:space="0" w:color="auto"/>
        <w:right w:val="none" w:sz="0" w:space="0" w:color="auto"/>
      </w:divBdr>
    </w:div>
    <w:div w:id="817919859">
      <w:bodyDiv w:val="1"/>
      <w:marLeft w:val="0"/>
      <w:marRight w:val="0"/>
      <w:marTop w:val="0"/>
      <w:marBottom w:val="0"/>
      <w:divBdr>
        <w:top w:val="none" w:sz="0" w:space="0" w:color="auto"/>
        <w:left w:val="none" w:sz="0" w:space="0" w:color="auto"/>
        <w:bottom w:val="none" w:sz="0" w:space="0" w:color="auto"/>
        <w:right w:val="none" w:sz="0" w:space="0" w:color="auto"/>
      </w:divBdr>
    </w:div>
    <w:div w:id="954945036">
      <w:bodyDiv w:val="1"/>
      <w:marLeft w:val="0"/>
      <w:marRight w:val="0"/>
      <w:marTop w:val="0"/>
      <w:marBottom w:val="0"/>
      <w:divBdr>
        <w:top w:val="none" w:sz="0" w:space="0" w:color="auto"/>
        <w:left w:val="none" w:sz="0" w:space="0" w:color="auto"/>
        <w:bottom w:val="none" w:sz="0" w:space="0" w:color="auto"/>
        <w:right w:val="none" w:sz="0" w:space="0" w:color="auto"/>
      </w:divBdr>
    </w:div>
    <w:div w:id="1260216296">
      <w:bodyDiv w:val="1"/>
      <w:marLeft w:val="0"/>
      <w:marRight w:val="0"/>
      <w:marTop w:val="0"/>
      <w:marBottom w:val="0"/>
      <w:divBdr>
        <w:top w:val="none" w:sz="0" w:space="0" w:color="auto"/>
        <w:left w:val="none" w:sz="0" w:space="0" w:color="auto"/>
        <w:bottom w:val="none" w:sz="0" w:space="0" w:color="auto"/>
        <w:right w:val="none" w:sz="0" w:space="0" w:color="auto"/>
      </w:divBdr>
    </w:div>
    <w:div w:id="1332903416">
      <w:bodyDiv w:val="1"/>
      <w:marLeft w:val="0"/>
      <w:marRight w:val="0"/>
      <w:marTop w:val="0"/>
      <w:marBottom w:val="0"/>
      <w:divBdr>
        <w:top w:val="none" w:sz="0" w:space="0" w:color="auto"/>
        <w:left w:val="none" w:sz="0" w:space="0" w:color="auto"/>
        <w:bottom w:val="none" w:sz="0" w:space="0" w:color="auto"/>
        <w:right w:val="none" w:sz="0" w:space="0" w:color="auto"/>
      </w:divBdr>
    </w:div>
    <w:div w:id="1622103196">
      <w:bodyDiv w:val="1"/>
      <w:marLeft w:val="0"/>
      <w:marRight w:val="0"/>
      <w:marTop w:val="0"/>
      <w:marBottom w:val="0"/>
      <w:divBdr>
        <w:top w:val="none" w:sz="0" w:space="0" w:color="auto"/>
        <w:left w:val="none" w:sz="0" w:space="0" w:color="auto"/>
        <w:bottom w:val="none" w:sz="0" w:space="0" w:color="auto"/>
        <w:right w:val="none" w:sz="0" w:space="0" w:color="auto"/>
      </w:divBdr>
    </w:div>
    <w:div w:id="1628781314">
      <w:bodyDiv w:val="1"/>
      <w:marLeft w:val="0"/>
      <w:marRight w:val="0"/>
      <w:marTop w:val="0"/>
      <w:marBottom w:val="0"/>
      <w:divBdr>
        <w:top w:val="none" w:sz="0" w:space="0" w:color="auto"/>
        <w:left w:val="none" w:sz="0" w:space="0" w:color="auto"/>
        <w:bottom w:val="none" w:sz="0" w:space="0" w:color="auto"/>
        <w:right w:val="none" w:sz="0" w:space="0" w:color="auto"/>
      </w:divBdr>
    </w:div>
    <w:div w:id="1887715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536A5-4DE6-49B7-91DF-F6329B76A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20010</Words>
  <Characters>117505</Characters>
  <Application>Microsoft Office Word</Application>
  <DocSecurity>0</DocSecurity>
  <Lines>979</Lines>
  <Paragraphs>274</Paragraphs>
  <ScaleCrop>false</ScaleCrop>
  <HeadingPairs>
    <vt:vector size="2" baseType="variant">
      <vt:variant>
        <vt:lpstr>Title</vt:lpstr>
      </vt:variant>
      <vt:variant>
        <vt:i4>1</vt:i4>
      </vt:variant>
    </vt:vector>
  </HeadingPairs>
  <TitlesOfParts>
    <vt:vector size="1" baseType="lpstr">
      <vt:lpstr>Long Decision template with disclaimer</vt:lpstr>
    </vt:vector>
  </TitlesOfParts>
  <Company>DPUC</Company>
  <LinksUpToDate>false</LinksUpToDate>
  <CharactersWithSpaces>137241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Decision template with disclaimer</dc:title>
  <dc:creator>Richard Skarzynski</dc:creator>
  <cp:lastModifiedBy>Ermelinda R. Flynn</cp:lastModifiedBy>
  <cp:revision>2</cp:revision>
  <cp:lastPrinted>2017-12-20T17:05:00Z</cp:lastPrinted>
  <dcterms:created xsi:type="dcterms:W3CDTF">2017-12-20T17:06:00Z</dcterms:created>
  <dcterms:modified xsi:type="dcterms:W3CDTF">2017-12-20T17:06:00Z</dcterms:modified>
</cp:coreProperties>
</file>