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ED7" w:rsidRPr="00C71E25" w:rsidRDefault="00182ED7" w:rsidP="00C71E25">
      <w:pPr>
        <w:pStyle w:val="Title"/>
        <w:pBdr>
          <w:bottom w:val="none" w:sz="0" w:space="0" w:color="auto"/>
        </w:pBdr>
        <w:jc w:val="center"/>
        <w:rPr>
          <w:rFonts w:ascii="Times New Roman" w:hAnsi="Times New Roman" w:cs="Times New Roman"/>
          <w:b/>
          <w:color w:val="auto"/>
          <w:sz w:val="28"/>
          <w:szCs w:val="28"/>
        </w:rPr>
      </w:pPr>
      <w:bookmarkStart w:id="0" w:name="_GoBack"/>
      <w:bookmarkEnd w:id="0"/>
      <w:r w:rsidRPr="00C71E25">
        <w:rPr>
          <w:rFonts w:ascii="Times New Roman" w:hAnsi="Times New Roman" w:cs="Times New Roman"/>
          <w:b/>
          <w:color w:val="auto"/>
          <w:sz w:val="28"/>
          <w:szCs w:val="28"/>
        </w:rPr>
        <w:t>Technology and U.S. Emissions Reductions Goals:</w:t>
      </w:r>
      <w:r w:rsidR="00274500" w:rsidRPr="00C71E25">
        <w:rPr>
          <w:rFonts w:ascii="Times New Roman" w:hAnsi="Times New Roman" w:cs="Times New Roman"/>
          <w:b/>
          <w:color w:val="auto"/>
          <w:sz w:val="28"/>
          <w:szCs w:val="28"/>
        </w:rPr>
        <w:t xml:space="preserve"> </w:t>
      </w:r>
      <w:r w:rsidRPr="00C71E25">
        <w:rPr>
          <w:rFonts w:ascii="Times New Roman" w:hAnsi="Times New Roman" w:cs="Times New Roman"/>
          <w:b/>
          <w:color w:val="auto"/>
          <w:sz w:val="28"/>
          <w:szCs w:val="28"/>
        </w:rPr>
        <w:t>Results of the EMF 24 Modeling Exercise</w:t>
      </w:r>
    </w:p>
    <w:p w:rsidR="00182ED7" w:rsidRDefault="00182ED7" w:rsidP="00274500">
      <w:pPr>
        <w:jc w:val="center"/>
      </w:pPr>
      <w:r>
        <w:t>Leon Clarke</w:t>
      </w:r>
      <w:r w:rsidR="00F34C60">
        <w:t>*</w:t>
      </w:r>
      <w:r>
        <w:t>, Allen Fawcett</w:t>
      </w:r>
      <w:r w:rsidR="00F34C60">
        <w:t>**</w:t>
      </w:r>
      <w:r>
        <w:t>, John Weyant</w:t>
      </w:r>
      <w:r w:rsidR="00F34C60">
        <w:t>***</w:t>
      </w:r>
      <w:r w:rsidR="00AE1E59">
        <w:t xml:space="preserve">, </w:t>
      </w:r>
      <w:r w:rsidR="00274500">
        <w:t>James McFarland</w:t>
      </w:r>
      <w:r w:rsidR="00F34C60">
        <w:t>**</w:t>
      </w:r>
      <w:r w:rsidR="00274500">
        <w:t xml:space="preserve">, </w:t>
      </w:r>
      <w:r w:rsidR="00B52E97">
        <w:t xml:space="preserve">Vaibhav Chaturvedi*, </w:t>
      </w:r>
      <w:r w:rsidR="00AE1E59">
        <w:t>Yuyu Zhou</w:t>
      </w:r>
      <w:r w:rsidR="00F34C60">
        <w:t>*</w:t>
      </w:r>
      <w:r w:rsidR="00095ED1">
        <w:t xml:space="preserve">, </w:t>
      </w:r>
    </w:p>
    <w:p w:rsidR="00274500" w:rsidRDefault="00274500" w:rsidP="00182ED7"/>
    <w:p w:rsidR="00304062" w:rsidRDefault="00304062" w:rsidP="000F1BF1">
      <w:pPr>
        <w:rPr>
          <w:b/>
          <w:sz w:val="28"/>
        </w:rPr>
      </w:pPr>
    </w:p>
    <w:p w:rsidR="000071FF" w:rsidRDefault="000071FF" w:rsidP="000F1BF1">
      <w:pPr>
        <w:rPr>
          <w:rFonts w:cs="Times New Roman"/>
          <w:i/>
        </w:rPr>
      </w:pPr>
      <w:r w:rsidRPr="00274500">
        <w:rPr>
          <w:rFonts w:cs="Times New Roman"/>
          <w:i/>
        </w:rPr>
        <w:t>This paper presents an overview of the study design and the results of the EMF 24 U.S. Technology Scenarios. The EMF 24 U.S</w:t>
      </w:r>
      <w:r w:rsidR="008C6637" w:rsidRPr="00274500">
        <w:rPr>
          <w:rFonts w:cs="Times New Roman"/>
          <w:i/>
        </w:rPr>
        <w:t xml:space="preserve">. Technology Scenarios engaged </w:t>
      </w:r>
      <w:r w:rsidR="00036982" w:rsidRPr="00274500">
        <w:rPr>
          <w:rFonts w:cs="Times New Roman"/>
          <w:i/>
        </w:rPr>
        <w:t>nine</w:t>
      </w:r>
      <w:r w:rsidR="00D80D59" w:rsidRPr="00274500">
        <w:rPr>
          <w:rFonts w:cs="Times New Roman"/>
          <w:i/>
        </w:rPr>
        <w:t xml:space="preserve"> </w:t>
      </w:r>
      <w:r w:rsidRPr="00274500">
        <w:rPr>
          <w:rFonts w:cs="Times New Roman"/>
          <w:i/>
        </w:rPr>
        <w:t xml:space="preserve">top energy-environment-economy models to examine the implications of technological improvement and </w:t>
      </w:r>
      <w:r w:rsidR="00BB2339" w:rsidRPr="00274500">
        <w:rPr>
          <w:rFonts w:cs="Times New Roman"/>
          <w:i/>
        </w:rPr>
        <w:t xml:space="preserve">technological </w:t>
      </w:r>
      <w:r w:rsidRPr="00274500">
        <w:rPr>
          <w:rFonts w:cs="Times New Roman"/>
          <w:i/>
        </w:rPr>
        <w:t>availability on reducing U.S. greenhouse gas emissions by 50</w:t>
      </w:r>
      <w:r w:rsidR="00E92A1C" w:rsidRPr="00274500">
        <w:rPr>
          <w:rFonts w:cs="Times New Roman"/>
          <w:i/>
        </w:rPr>
        <w:t>%</w:t>
      </w:r>
      <w:r w:rsidR="00064BE5" w:rsidRPr="00274500">
        <w:rPr>
          <w:rFonts w:cs="Times New Roman"/>
          <w:i/>
        </w:rPr>
        <w:t xml:space="preserve"> </w:t>
      </w:r>
      <w:r w:rsidR="00F81312">
        <w:rPr>
          <w:rFonts w:cs="Times New Roman"/>
          <w:i/>
        </w:rPr>
        <w:t>and</w:t>
      </w:r>
      <w:r w:rsidR="00F81312" w:rsidRPr="00274500">
        <w:rPr>
          <w:rFonts w:cs="Times New Roman"/>
          <w:i/>
        </w:rPr>
        <w:t xml:space="preserve"> </w:t>
      </w:r>
      <w:r w:rsidR="00064BE5" w:rsidRPr="00274500">
        <w:rPr>
          <w:rFonts w:cs="Times New Roman"/>
          <w:i/>
        </w:rPr>
        <w:t>80</w:t>
      </w:r>
      <w:r w:rsidR="00E92A1C" w:rsidRPr="00274500">
        <w:rPr>
          <w:rFonts w:cs="Times New Roman"/>
          <w:i/>
        </w:rPr>
        <w:t>%</w:t>
      </w:r>
      <w:r w:rsidR="00D80D59" w:rsidRPr="00274500">
        <w:rPr>
          <w:rFonts w:cs="Times New Roman"/>
          <w:i/>
        </w:rPr>
        <w:t xml:space="preserve"> </w:t>
      </w:r>
      <w:r w:rsidR="00BB2339" w:rsidRPr="00274500">
        <w:rPr>
          <w:rFonts w:cs="Times New Roman"/>
          <w:i/>
        </w:rPr>
        <w:t xml:space="preserve">by 2050 </w:t>
      </w:r>
      <w:r w:rsidR="001351C5" w:rsidRPr="00274500">
        <w:rPr>
          <w:rFonts w:cs="Times New Roman"/>
          <w:i/>
        </w:rPr>
        <w:t xml:space="preserve">on the </w:t>
      </w:r>
      <w:r w:rsidR="00E92A1C" w:rsidRPr="00274500">
        <w:rPr>
          <w:rFonts w:cs="Times New Roman"/>
          <w:i/>
        </w:rPr>
        <w:t xml:space="preserve">U.S. </w:t>
      </w:r>
      <w:r w:rsidR="001351C5" w:rsidRPr="00274500">
        <w:rPr>
          <w:rFonts w:cs="Times New Roman"/>
          <w:i/>
        </w:rPr>
        <w:t>energy s</w:t>
      </w:r>
      <w:r w:rsidR="008C6637" w:rsidRPr="00274500">
        <w:rPr>
          <w:rFonts w:cs="Times New Roman"/>
          <w:i/>
        </w:rPr>
        <w:t>ystem and economy</w:t>
      </w:r>
      <w:r w:rsidR="001351C5" w:rsidRPr="00274500">
        <w:rPr>
          <w:rFonts w:cs="Times New Roman"/>
          <w:i/>
        </w:rPr>
        <w:t>.</w:t>
      </w:r>
      <w:r w:rsidR="00D80D59" w:rsidRPr="00274500">
        <w:rPr>
          <w:rFonts w:cs="Times New Roman"/>
          <w:i/>
        </w:rPr>
        <w:t xml:space="preserve"> </w:t>
      </w:r>
      <w:r w:rsidR="00880918" w:rsidRPr="00274500">
        <w:rPr>
          <w:rFonts w:cs="Times New Roman"/>
          <w:i/>
        </w:rPr>
        <w:t>The study confirm</w:t>
      </w:r>
      <w:r w:rsidR="00D80D59" w:rsidRPr="00274500">
        <w:rPr>
          <w:rFonts w:cs="Times New Roman"/>
          <w:i/>
        </w:rPr>
        <w:t xml:space="preserve">s </w:t>
      </w:r>
      <w:r w:rsidR="00880918" w:rsidRPr="00274500">
        <w:rPr>
          <w:rFonts w:cs="Times New Roman"/>
          <w:i/>
        </w:rPr>
        <w:t xml:space="preserve">that mitigation at the 50% or 80% level will require a dramatic transformation </w:t>
      </w:r>
      <w:r w:rsidR="00E1476B" w:rsidRPr="00274500">
        <w:rPr>
          <w:rFonts w:cs="Times New Roman"/>
          <w:i/>
        </w:rPr>
        <w:t>of the energy system</w:t>
      </w:r>
      <w:r w:rsidR="00D80D59" w:rsidRPr="00274500">
        <w:rPr>
          <w:rFonts w:cs="Times New Roman"/>
          <w:i/>
        </w:rPr>
        <w:t xml:space="preserve"> over the next 40 years</w:t>
      </w:r>
      <w:r w:rsidR="00880918" w:rsidRPr="00274500">
        <w:rPr>
          <w:rFonts w:cs="Times New Roman"/>
          <w:i/>
        </w:rPr>
        <w:t xml:space="preserve">. </w:t>
      </w:r>
      <w:r w:rsidR="00E1476B" w:rsidRPr="00274500">
        <w:rPr>
          <w:rFonts w:cs="Times New Roman"/>
          <w:i/>
        </w:rPr>
        <w:t>T</w:t>
      </w:r>
      <w:r w:rsidR="00880918" w:rsidRPr="00274500">
        <w:rPr>
          <w:rFonts w:cs="Times New Roman"/>
          <w:i/>
        </w:rPr>
        <w:t xml:space="preserve">he study also </w:t>
      </w:r>
      <w:r w:rsidR="00B12C88" w:rsidRPr="00274500">
        <w:rPr>
          <w:rFonts w:cs="Times New Roman"/>
          <w:i/>
        </w:rPr>
        <w:t>corroborates</w:t>
      </w:r>
      <w:r w:rsidR="00880918" w:rsidRPr="00274500">
        <w:rPr>
          <w:rFonts w:cs="Times New Roman"/>
          <w:i/>
        </w:rPr>
        <w:t xml:space="preserve"> the result of previous studies that there is</w:t>
      </w:r>
      <w:r w:rsidR="00304062" w:rsidRPr="00274500">
        <w:rPr>
          <w:rFonts w:cs="Times New Roman"/>
          <w:i/>
        </w:rPr>
        <w:t xml:space="preserve"> a</w:t>
      </w:r>
      <w:r w:rsidR="00880918" w:rsidRPr="00274500">
        <w:rPr>
          <w:rFonts w:cs="Times New Roman"/>
          <w:i/>
        </w:rPr>
        <w:t xml:space="preserve"> large variation among models in what energy strategy is considered most cost-effective</w:t>
      </w:r>
      <w:r w:rsidR="00D80D59" w:rsidRPr="00274500">
        <w:rPr>
          <w:rFonts w:cs="Times New Roman"/>
          <w:i/>
        </w:rPr>
        <w:t>.</w:t>
      </w:r>
      <w:r w:rsidR="00C71E25">
        <w:rPr>
          <w:rFonts w:cs="Times New Roman"/>
          <w:i/>
        </w:rPr>
        <w:t xml:space="preserve"> </w:t>
      </w:r>
      <w:r w:rsidR="008F23BE" w:rsidRPr="00274500">
        <w:rPr>
          <w:rFonts w:cs="Times New Roman"/>
          <w:i/>
        </w:rPr>
        <w:t xml:space="preserve">Technology assumptions are found to have a large influence on </w:t>
      </w:r>
      <w:r w:rsidR="00D80D59" w:rsidRPr="00274500">
        <w:rPr>
          <w:rFonts w:cs="Times New Roman"/>
          <w:i/>
        </w:rPr>
        <w:t xml:space="preserve">carbon prices and economic costs of </w:t>
      </w:r>
      <w:r w:rsidR="00334627">
        <w:rPr>
          <w:rFonts w:cs="Times New Roman"/>
          <w:i/>
        </w:rPr>
        <w:t>mitigation.</w:t>
      </w:r>
    </w:p>
    <w:p w:rsidR="00334627" w:rsidRDefault="00334627" w:rsidP="00334627">
      <w:pPr>
        <w:ind w:firstLine="0"/>
      </w:pPr>
    </w:p>
    <w:p w:rsidR="00334627" w:rsidRDefault="00334627" w:rsidP="00334627">
      <w:pPr>
        <w:ind w:firstLine="0"/>
        <w:rPr>
          <w:sz w:val="16"/>
        </w:rPr>
      </w:pPr>
      <w:r w:rsidRPr="00474BD5">
        <w:rPr>
          <w:sz w:val="16"/>
        </w:rPr>
        <w:t>*</w:t>
      </w:r>
      <w:r>
        <w:t xml:space="preserve"> </w:t>
      </w:r>
      <w:r w:rsidRPr="00F34C60">
        <w:rPr>
          <w:sz w:val="16"/>
        </w:rPr>
        <w:t>Joint Global Change Research Institute, Pacific Northwest National Laboratory. Contributions to this paper by Clarke, Chaturvedi, and Zhou were supported by the Global Technology Strategy Project at the Joint Global Change Research institute/Pacific Northwest National Laboratory.</w:t>
      </w:r>
    </w:p>
    <w:p w:rsidR="00334627" w:rsidRDefault="00334627" w:rsidP="00334627">
      <w:pPr>
        <w:ind w:firstLine="0"/>
        <w:rPr>
          <w:sz w:val="16"/>
        </w:rPr>
      </w:pPr>
      <w:r>
        <w:rPr>
          <w:sz w:val="16"/>
        </w:rPr>
        <w:t>** U.S. Environmental Protection Agency.</w:t>
      </w:r>
    </w:p>
    <w:p w:rsidR="00334627" w:rsidRPr="00334627" w:rsidRDefault="00334627" w:rsidP="00334627">
      <w:pPr>
        <w:ind w:firstLine="0"/>
      </w:pPr>
      <w:proofErr w:type="gramStart"/>
      <w:r>
        <w:rPr>
          <w:sz w:val="16"/>
        </w:rPr>
        <w:t>*** Stanford University.</w:t>
      </w:r>
      <w:proofErr w:type="gramEnd"/>
    </w:p>
    <w:p w:rsidR="005327D8" w:rsidRPr="00C71E25" w:rsidRDefault="005327D8" w:rsidP="00C71E25">
      <w:pPr>
        <w:pStyle w:val="Heading1"/>
      </w:pPr>
      <w:r w:rsidRPr="00C71E25">
        <w:t>Introduction and Background</w:t>
      </w:r>
    </w:p>
    <w:p w:rsidR="00C65E64" w:rsidRDefault="00C65E64" w:rsidP="00FF7157">
      <w:pPr>
        <w:rPr>
          <w:rFonts w:eastAsia="Times New Roman"/>
        </w:rPr>
      </w:pPr>
      <w:r>
        <w:rPr>
          <w:rFonts w:eastAsia="Times New Roman"/>
        </w:rPr>
        <w:t>It is now well understood</w:t>
      </w:r>
      <w:r w:rsidR="00304062">
        <w:rPr>
          <w:rFonts w:eastAsia="Times New Roman"/>
        </w:rPr>
        <w:t xml:space="preserve"> </w:t>
      </w:r>
      <w:r>
        <w:rPr>
          <w:rFonts w:eastAsia="Times New Roman"/>
        </w:rPr>
        <w:t>that the technology cost</w:t>
      </w:r>
      <w:r w:rsidR="00DF5039">
        <w:rPr>
          <w:rFonts w:eastAsia="Times New Roman"/>
        </w:rPr>
        <w:t xml:space="preserve">, </w:t>
      </w:r>
      <w:r>
        <w:rPr>
          <w:rFonts w:eastAsia="Times New Roman"/>
        </w:rPr>
        <w:t>performance</w:t>
      </w:r>
      <w:r w:rsidR="00DF5039">
        <w:rPr>
          <w:rFonts w:eastAsia="Times New Roman"/>
        </w:rPr>
        <w:t>, and availability</w:t>
      </w:r>
      <w:r>
        <w:rPr>
          <w:rFonts w:eastAsia="Times New Roman"/>
        </w:rPr>
        <w:t xml:space="preserve"> can have a substantial impact on the </w:t>
      </w:r>
      <w:r w:rsidR="00C2593A">
        <w:rPr>
          <w:rFonts w:eastAsia="Times New Roman"/>
        </w:rPr>
        <w:t xml:space="preserve">macroeconomic </w:t>
      </w:r>
      <w:r>
        <w:rPr>
          <w:rFonts w:eastAsia="Times New Roman"/>
        </w:rPr>
        <w:t>costs</w:t>
      </w:r>
      <w:r w:rsidR="00C2593A">
        <w:rPr>
          <w:rFonts w:eastAsia="Times New Roman"/>
        </w:rPr>
        <w:t xml:space="preserve">, and </w:t>
      </w:r>
      <w:r w:rsidR="00B12C88">
        <w:rPr>
          <w:rFonts w:eastAsia="Times New Roman"/>
        </w:rPr>
        <w:t xml:space="preserve">the </w:t>
      </w:r>
      <w:r w:rsidR="00C2593A">
        <w:rPr>
          <w:rFonts w:eastAsia="Times New Roman"/>
        </w:rPr>
        <w:t xml:space="preserve">challenge more generally, </w:t>
      </w:r>
      <w:r>
        <w:rPr>
          <w:rFonts w:eastAsia="Times New Roman"/>
        </w:rPr>
        <w:t xml:space="preserve">of meeting long-term </w:t>
      </w:r>
      <w:r w:rsidR="004525CE">
        <w:rPr>
          <w:rFonts w:eastAsia="Times New Roman"/>
        </w:rPr>
        <w:t xml:space="preserve">global </w:t>
      </w:r>
      <w:r>
        <w:rPr>
          <w:rFonts w:eastAsia="Times New Roman"/>
        </w:rPr>
        <w:t xml:space="preserve">climate goals or national mitigation </w:t>
      </w:r>
      <w:r w:rsidR="00B41206">
        <w:rPr>
          <w:rFonts w:eastAsia="Times New Roman"/>
        </w:rPr>
        <w:t xml:space="preserve">goals </w:t>
      </w:r>
      <w:r>
        <w:rPr>
          <w:rFonts w:eastAsia="Times New Roman"/>
        </w:rPr>
        <w:t>such as those that have been considered in the United States.</w:t>
      </w:r>
      <w:r w:rsidR="00304062">
        <w:rPr>
          <w:rFonts w:eastAsia="Times New Roman"/>
        </w:rPr>
        <w:t xml:space="preserve"> </w:t>
      </w:r>
      <w:r>
        <w:rPr>
          <w:rFonts w:eastAsia="Times New Roman"/>
        </w:rPr>
        <w:t xml:space="preserve">Although a number of </w:t>
      </w:r>
      <w:r w:rsidR="00F81312">
        <w:rPr>
          <w:rFonts w:eastAsia="Times New Roman"/>
        </w:rPr>
        <w:t xml:space="preserve">individual </w:t>
      </w:r>
      <w:r>
        <w:rPr>
          <w:rFonts w:eastAsia="Times New Roman"/>
        </w:rPr>
        <w:t xml:space="preserve">studies have </w:t>
      </w:r>
      <w:r w:rsidR="00C243F0">
        <w:rPr>
          <w:rFonts w:eastAsia="Times New Roman"/>
        </w:rPr>
        <w:t xml:space="preserve">specifically </w:t>
      </w:r>
      <w:r>
        <w:rPr>
          <w:rFonts w:eastAsia="Times New Roman"/>
        </w:rPr>
        <w:t>explored the role of technology in meeting climate goals in the U.S.</w:t>
      </w:r>
      <w:r w:rsidR="00036982">
        <w:rPr>
          <w:rFonts w:eastAsia="Times New Roman"/>
        </w:rPr>
        <w:t xml:space="preserve"> (</w:t>
      </w:r>
      <w:r w:rsidR="00C243F0">
        <w:rPr>
          <w:rFonts w:eastAsia="Times New Roman"/>
        </w:rPr>
        <w:t>see, for example, Kyle 2009 and Kyle 2011 among others</w:t>
      </w:r>
      <w:r w:rsidR="00036982">
        <w:rPr>
          <w:rFonts w:eastAsia="Times New Roman"/>
        </w:rPr>
        <w:t>)</w:t>
      </w:r>
      <w:r>
        <w:rPr>
          <w:rFonts w:eastAsia="Times New Roman"/>
        </w:rPr>
        <w:t xml:space="preserve">, there exists no coordinated study that explores this space across multiple models and using a coordinated set of model assumptions. The EMF 24 scenarios fill that gap. </w:t>
      </w:r>
      <w:r w:rsidR="00036982">
        <w:rPr>
          <w:rFonts w:eastAsia="Times New Roman"/>
        </w:rPr>
        <w:t xml:space="preserve">Nine </w:t>
      </w:r>
      <w:r>
        <w:rPr>
          <w:rFonts w:eastAsia="Times New Roman"/>
        </w:rPr>
        <w:t>models produced scenarios for this study</w:t>
      </w:r>
      <w:r w:rsidR="00F4648C">
        <w:rPr>
          <w:rFonts w:eastAsia="Times New Roman"/>
        </w:rPr>
        <w:t xml:space="preserve">, based on three mitigation goals for the United States: </w:t>
      </w:r>
      <w:r w:rsidR="00FD3FBE">
        <w:rPr>
          <w:rFonts w:eastAsia="Times New Roman"/>
        </w:rPr>
        <w:t>no emissions reductions (reference scenario</w:t>
      </w:r>
      <w:r w:rsidR="004525CE">
        <w:rPr>
          <w:rFonts w:eastAsia="Times New Roman"/>
        </w:rPr>
        <w:t>s</w:t>
      </w:r>
      <w:r w:rsidR="00FD3FBE">
        <w:rPr>
          <w:rFonts w:eastAsia="Times New Roman"/>
        </w:rPr>
        <w:t>)</w:t>
      </w:r>
      <w:r>
        <w:rPr>
          <w:rFonts w:eastAsia="Times New Roman"/>
        </w:rPr>
        <w:t>, a 50% reduction in emissions</w:t>
      </w:r>
      <w:r w:rsidR="00F81312">
        <w:rPr>
          <w:rFonts w:eastAsia="Times New Roman"/>
        </w:rPr>
        <w:t xml:space="preserve"> relative to 2005 levels</w:t>
      </w:r>
      <w:r>
        <w:rPr>
          <w:rFonts w:eastAsia="Times New Roman"/>
        </w:rPr>
        <w:t xml:space="preserve">, and an 80% reduction </w:t>
      </w:r>
      <w:r w:rsidR="00036982">
        <w:rPr>
          <w:rFonts w:eastAsia="Times New Roman"/>
        </w:rPr>
        <w:t>relative to 2005 levels</w:t>
      </w:r>
      <w:r>
        <w:rPr>
          <w:rFonts w:eastAsia="Times New Roman"/>
        </w:rPr>
        <w:t xml:space="preserve">. </w:t>
      </w:r>
      <w:r w:rsidR="00F4648C">
        <w:rPr>
          <w:rFonts w:eastAsia="Times New Roman"/>
        </w:rPr>
        <w:t xml:space="preserve">These emissions pathways correspond to those explored in the EMF 22 </w:t>
      </w:r>
      <w:r w:rsidR="00036982">
        <w:rPr>
          <w:rFonts w:eastAsia="Times New Roman"/>
        </w:rPr>
        <w:t xml:space="preserve">multi-model study </w:t>
      </w:r>
      <w:r w:rsidR="00F4648C">
        <w:rPr>
          <w:rFonts w:eastAsia="Times New Roman"/>
        </w:rPr>
        <w:t>(Clarke et al.</w:t>
      </w:r>
      <w:r w:rsidR="00FD6513">
        <w:rPr>
          <w:rFonts w:eastAsia="Times New Roman"/>
        </w:rPr>
        <w:t>, 2009</w:t>
      </w:r>
      <w:r w:rsidR="00F4648C">
        <w:rPr>
          <w:rFonts w:eastAsia="Times New Roman"/>
        </w:rPr>
        <w:t>) and its predecessor (</w:t>
      </w:r>
      <w:proofErr w:type="spellStart"/>
      <w:r w:rsidR="001B666D">
        <w:rPr>
          <w:rFonts w:eastAsia="Times New Roman"/>
        </w:rPr>
        <w:t>Paltsev</w:t>
      </w:r>
      <w:proofErr w:type="spellEnd"/>
      <w:r w:rsidR="001B666D">
        <w:rPr>
          <w:rFonts w:eastAsia="Times New Roman"/>
        </w:rPr>
        <w:t xml:space="preserve"> et al., 2008</w:t>
      </w:r>
      <w:r w:rsidR="00F4648C">
        <w:rPr>
          <w:rFonts w:eastAsia="Times New Roman"/>
        </w:rPr>
        <w:t>). T</w:t>
      </w:r>
      <w:r>
        <w:rPr>
          <w:rFonts w:eastAsia="Times New Roman"/>
        </w:rPr>
        <w:t xml:space="preserve">he EMF 24 scenarios </w:t>
      </w:r>
      <w:r w:rsidR="00F4648C">
        <w:rPr>
          <w:rFonts w:eastAsia="Times New Roman"/>
        </w:rPr>
        <w:t xml:space="preserve">then combine these mitigation goals with various </w:t>
      </w:r>
      <w:r>
        <w:rPr>
          <w:rFonts w:eastAsia="Times New Roman"/>
        </w:rPr>
        <w:t xml:space="preserve">assumptions about </w:t>
      </w:r>
      <w:r w:rsidR="00F4648C">
        <w:rPr>
          <w:rFonts w:eastAsia="Times New Roman"/>
        </w:rPr>
        <w:t xml:space="preserve">the </w:t>
      </w:r>
      <w:r>
        <w:rPr>
          <w:rFonts w:eastAsia="Times New Roman"/>
        </w:rPr>
        <w:t>availability</w:t>
      </w:r>
      <w:r w:rsidR="00F4648C">
        <w:rPr>
          <w:rFonts w:eastAsia="Times New Roman"/>
        </w:rPr>
        <w:t xml:space="preserve">, cost, </w:t>
      </w:r>
      <w:r>
        <w:rPr>
          <w:rFonts w:eastAsia="Times New Roman"/>
        </w:rPr>
        <w:t xml:space="preserve">and performance of </w:t>
      </w:r>
      <w:r w:rsidR="00BA2558">
        <w:t>CO</w:t>
      </w:r>
      <w:r w:rsidR="00BA2558" w:rsidRPr="00C97C6E">
        <w:rPr>
          <w:vertAlign w:val="subscript"/>
        </w:rPr>
        <w:t>2</w:t>
      </w:r>
      <w:r w:rsidR="00BA2558">
        <w:t xml:space="preserve"> capture and storage</w:t>
      </w:r>
      <w:r w:rsidR="00B12C88">
        <w:rPr>
          <w:rFonts w:eastAsia="Times New Roman"/>
        </w:rPr>
        <w:t xml:space="preserve"> (</w:t>
      </w:r>
      <w:r>
        <w:rPr>
          <w:rFonts w:eastAsia="Times New Roman"/>
        </w:rPr>
        <w:t>CCS</w:t>
      </w:r>
      <w:r w:rsidR="00B12C88">
        <w:rPr>
          <w:rFonts w:eastAsia="Times New Roman"/>
        </w:rPr>
        <w:t>)</w:t>
      </w:r>
      <w:r>
        <w:rPr>
          <w:rFonts w:eastAsia="Times New Roman"/>
        </w:rPr>
        <w:t xml:space="preserve">, nuclear power, wind and solar power, bioenergy, and energy </w:t>
      </w:r>
      <w:r w:rsidR="004525CE">
        <w:rPr>
          <w:rFonts w:eastAsia="Times New Roman"/>
        </w:rPr>
        <w:t>end use</w:t>
      </w:r>
      <w:r>
        <w:rPr>
          <w:rFonts w:eastAsia="Times New Roman"/>
        </w:rPr>
        <w:t>.</w:t>
      </w:r>
    </w:p>
    <w:p w:rsidR="00C65E64" w:rsidRDefault="00F4648C" w:rsidP="00FF7157">
      <w:pPr>
        <w:rPr>
          <w:rFonts w:eastAsia="Times New Roman"/>
        </w:rPr>
      </w:pPr>
      <w:r>
        <w:t>T</w:t>
      </w:r>
      <w:r w:rsidR="00C65E64">
        <w:t xml:space="preserve">his study </w:t>
      </w:r>
      <w:r>
        <w:t xml:space="preserve">is motivated by </w:t>
      </w:r>
      <w:r w:rsidR="00C65E64">
        <w:t>three primary questions. First, h</w:t>
      </w:r>
      <w:r w:rsidR="00C65E64" w:rsidRPr="00224BC2">
        <w:t xml:space="preserve">ow might technological improvements and technological availability influence the </w:t>
      </w:r>
      <w:r w:rsidR="00C65E64">
        <w:t xml:space="preserve">character of the </w:t>
      </w:r>
      <w:r w:rsidR="00C65E64" w:rsidRPr="00224BC2">
        <w:t xml:space="preserve">U.S. energy system transition </w:t>
      </w:r>
      <w:r w:rsidR="00C65E64">
        <w:t>associated with 2050 climate mitigation goals</w:t>
      </w:r>
      <w:r w:rsidR="00C65E64" w:rsidRPr="00224BC2">
        <w:t>?</w:t>
      </w:r>
      <w:r w:rsidR="00C65E64">
        <w:t xml:space="preserve"> Second, w</w:t>
      </w:r>
      <w:r w:rsidR="00C65E64" w:rsidRPr="00F3524A">
        <w:rPr>
          <w:rFonts w:eastAsia="Times New Roman"/>
        </w:rPr>
        <w:t xml:space="preserve">hat are the </w:t>
      </w:r>
      <w:r>
        <w:rPr>
          <w:rFonts w:eastAsia="Times New Roman"/>
        </w:rPr>
        <w:t>macro</w:t>
      </w:r>
      <w:r w:rsidR="00C65E64" w:rsidRPr="00F3524A">
        <w:rPr>
          <w:rFonts w:eastAsia="Times New Roman"/>
        </w:rPr>
        <w:t xml:space="preserve">economic </w:t>
      </w:r>
      <w:r>
        <w:rPr>
          <w:rFonts w:eastAsia="Times New Roman"/>
        </w:rPr>
        <w:t xml:space="preserve">mitigation cost </w:t>
      </w:r>
      <w:r w:rsidR="00036982">
        <w:rPr>
          <w:rFonts w:eastAsia="Times New Roman"/>
        </w:rPr>
        <w:t xml:space="preserve">and carbon price </w:t>
      </w:r>
      <w:r w:rsidR="00C65E64" w:rsidRPr="00F3524A">
        <w:rPr>
          <w:rFonts w:eastAsia="Times New Roman"/>
        </w:rPr>
        <w:t xml:space="preserve">implications </w:t>
      </w:r>
      <w:r>
        <w:rPr>
          <w:rFonts w:eastAsia="Times New Roman"/>
        </w:rPr>
        <w:t xml:space="preserve">of </w:t>
      </w:r>
      <w:r w:rsidR="00036982">
        <w:rPr>
          <w:rFonts w:eastAsia="Times New Roman"/>
        </w:rPr>
        <w:t>meeting 2050 climate mitigation goals</w:t>
      </w:r>
      <w:r w:rsidR="00F81312">
        <w:rPr>
          <w:rFonts w:eastAsia="Times New Roman"/>
        </w:rPr>
        <w:t>,</w:t>
      </w:r>
      <w:r w:rsidR="00036982">
        <w:rPr>
          <w:rFonts w:eastAsia="Times New Roman"/>
        </w:rPr>
        <w:t xml:space="preserve"> and how are </w:t>
      </w:r>
      <w:r w:rsidR="00036982">
        <w:rPr>
          <w:rFonts w:eastAsia="Times New Roman"/>
        </w:rPr>
        <w:lastRenderedPageBreak/>
        <w:t xml:space="preserve">these influenced by </w:t>
      </w:r>
      <w:r>
        <w:rPr>
          <w:rFonts w:eastAsia="Times New Roman"/>
        </w:rPr>
        <w:t>different futures of technology availability, cost, and performance</w:t>
      </w:r>
      <w:r w:rsidR="00C65E64" w:rsidRPr="00F3524A">
        <w:rPr>
          <w:rFonts w:eastAsia="Times New Roman"/>
        </w:rPr>
        <w:t>?</w:t>
      </w:r>
      <w:r w:rsidR="00C65E64">
        <w:rPr>
          <w:rFonts w:eastAsia="Times New Roman"/>
        </w:rPr>
        <w:t xml:space="preserve"> Finally, can 50% and 80% </w:t>
      </w:r>
      <w:r w:rsidR="00C65E64" w:rsidRPr="00F3524A">
        <w:rPr>
          <w:rFonts w:eastAsia="Times New Roman"/>
        </w:rPr>
        <w:t>reduction goal</w:t>
      </w:r>
      <w:r w:rsidR="00C65E64">
        <w:rPr>
          <w:rFonts w:eastAsia="Times New Roman"/>
        </w:rPr>
        <w:t>s</w:t>
      </w:r>
      <w:r w:rsidR="004C3BED">
        <w:rPr>
          <w:rFonts w:eastAsia="Times New Roman"/>
        </w:rPr>
        <w:t xml:space="preserve"> </w:t>
      </w:r>
      <w:r>
        <w:rPr>
          <w:rFonts w:eastAsia="Times New Roman"/>
        </w:rPr>
        <w:t xml:space="preserve">for the United States </w:t>
      </w:r>
      <w:r w:rsidR="00C65E64" w:rsidRPr="00F3524A">
        <w:rPr>
          <w:rFonts w:eastAsia="Times New Roman"/>
        </w:rPr>
        <w:t xml:space="preserve">be met largely through the implementation of </w:t>
      </w:r>
      <w:r>
        <w:rPr>
          <w:rFonts w:eastAsia="Times New Roman"/>
        </w:rPr>
        <w:t xml:space="preserve">limited technology portfolios? In particular, can these goals be met based exclusively through </w:t>
      </w:r>
      <w:r w:rsidR="00437CD2">
        <w:rPr>
          <w:rFonts w:eastAsia="Times New Roman"/>
        </w:rPr>
        <w:t>end-use</w:t>
      </w:r>
      <w:r w:rsidR="00C65E64" w:rsidRPr="00F3524A">
        <w:rPr>
          <w:rFonts w:eastAsia="Times New Roman"/>
        </w:rPr>
        <w:t xml:space="preserve"> measures and renewable energy</w:t>
      </w:r>
      <w:r w:rsidR="00F81312">
        <w:rPr>
          <w:rFonts w:eastAsia="Times New Roman"/>
        </w:rPr>
        <w:t xml:space="preserve"> –</w:t>
      </w:r>
      <w:r w:rsidR="00C65E64">
        <w:rPr>
          <w:rFonts w:eastAsia="Times New Roman"/>
        </w:rPr>
        <w:t xml:space="preserve"> that is</w:t>
      </w:r>
      <w:r w:rsidR="00F81312">
        <w:rPr>
          <w:rFonts w:eastAsia="Times New Roman"/>
        </w:rPr>
        <w:t>,</w:t>
      </w:r>
      <w:r w:rsidR="00C65E64">
        <w:rPr>
          <w:rFonts w:eastAsia="Times New Roman"/>
        </w:rPr>
        <w:t xml:space="preserve"> without the use of nuclear power and CCS</w:t>
      </w:r>
      <w:r w:rsidR="00F81312">
        <w:rPr>
          <w:rFonts w:eastAsia="Times New Roman"/>
        </w:rPr>
        <w:t xml:space="preserve"> – </w:t>
      </w:r>
      <w:r w:rsidR="00BB263E">
        <w:rPr>
          <w:rFonts w:eastAsia="Times New Roman"/>
        </w:rPr>
        <w:t>and vice versa</w:t>
      </w:r>
      <w:r w:rsidR="00C65E64" w:rsidRPr="00F3524A">
        <w:rPr>
          <w:rFonts w:eastAsia="Times New Roman"/>
        </w:rPr>
        <w:t>?</w:t>
      </w:r>
    </w:p>
    <w:p w:rsidR="00C65E64" w:rsidRDefault="00C65E64" w:rsidP="00FF7157">
      <w:pPr>
        <w:rPr>
          <w:rFonts w:eastAsia="Times New Roman"/>
        </w:rPr>
      </w:pPr>
      <w:r>
        <w:rPr>
          <w:rFonts w:eastAsia="Times New Roman"/>
        </w:rPr>
        <w:t xml:space="preserve">The remainder of this paper proceeds as follows. Section 2 introduces the study design for </w:t>
      </w:r>
      <w:r w:rsidR="004525CE">
        <w:rPr>
          <w:rFonts w:eastAsia="Times New Roman"/>
        </w:rPr>
        <w:t xml:space="preserve">the </w:t>
      </w:r>
      <w:r>
        <w:rPr>
          <w:rFonts w:eastAsia="Times New Roman"/>
        </w:rPr>
        <w:t>EMF 24</w:t>
      </w:r>
      <w:r w:rsidR="00807F22">
        <w:rPr>
          <w:rFonts w:eastAsia="Times New Roman"/>
        </w:rPr>
        <w:t xml:space="preserve"> Technology S</w:t>
      </w:r>
      <w:r w:rsidR="004525CE">
        <w:rPr>
          <w:rFonts w:eastAsia="Times New Roman"/>
        </w:rPr>
        <w:t>cenarios</w:t>
      </w:r>
      <w:r>
        <w:rPr>
          <w:rFonts w:eastAsia="Times New Roman"/>
        </w:rPr>
        <w:t>. Section 3 then discusses the nature of emissions and energy system transitions in the reference scenario</w:t>
      </w:r>
      <w:r w:rsidR="008D325F">
        <w:rPr>
          <w:rFonts w:eastAsia="Times New Roman"/>
        </w:rPr>
        <w:t>s</w:t>
      </w:r>
      <w:r>
        <w:rPr>
          <w:rFonts w:eastAsia="Times New Roman"/>
        </w:rPr>
        <w:t>. Section 4 then discusses the economic, emissions, and technological characteristics of the mitigation scenarios.</w:t>
      </w:r>
      <w:r w:rsidR="008D325F">
        <w:rPr>
          <w:rFonts w:eastAsia="Times New Roman"/>
        </w:rPr>
        <w:t xml:space="preserve"> Section 5 sums up</w:t>
      </w:r>
      <w:r w:rsidR="0037212F">
        <w:rPr>
          <w:rFonts w:eastAsia="Times New Roman"/>
        </w:rPr>
        <w:t xml:space="preserve"> and discusse</w:t>
      </w:r>
      <w:r w:rsidR="004C3BED">
        <w:rPr>
          <w:rFonts w:eastAsia="Times New Roman"/>
        </w:rPr>
        <w:t>s</w:t>
      </w:r>
      <w:r w:rsidR="0037212F">
        <w:rPr>
          <w:rFonts w:eastAsia="Times New Roman"/>
        </w:rPr>
        <w:t xml:space="preserve"> directions for future research suggested </w:t>
      </w:r>
      <w:r w:rsidR="004525CE">
        <w:rPr>
          <w:rFonts w:eastAsia="Times New Roman"/>
        </w:rPr>
        <w:t xml:space="preserve">by </w:t>
      </w:r>
      <w:r w:rsidR="0037212F">
        <w:rPr>
          <w:rFonts w:eastAsia="Times New Roman"/>
        </w:rPr>
        <w:t>the results of this study.</w:t>
      </w:r>
    </w:p>
    <w:p w:rsidR="00C2265F" w:rsidRDefault="00C2265F" w:rsidP="00C71E25">
      <w:pPr>
        <w:pStyle w:val="Heading1"/>
      </w:pPr>
      <w:r>
        <w:t>Study design</w:t>
      </w:r>
    </w:p>
    <w:p w:rsidR="00C2265F" w:rsidRPr="00E31E4B" w:rsidRDefault="00C2265F" w:rsidP="00C71E25">
      <w:pPr>
        <w:pStyle w:val="Heading2"/>
      </w:pPr>
      <w:bookmarkStart w:id="1" w:name="_Ref342908663"/>
      <w:bookmarkStart w:id="2" w:name="_Ref365823767"/>
      <w:r w:rsidRPr="00E31E4B">
        <w:t>Overview of the study design</w:t>
      </w:r>
      <w:bookmarkEnd w:id="1"/>
      <w:bookmarkEnd w:id="2"/>
    </w:p>
    <w:p w:rsidR="004B705F" w:rsidRDefault="004269A4" w:rsidP="00EC548B">
      <w:r>
        <w:t xml:space="preserve">The </w:t>
      </w:r>
      <w:r w:rsidR="008B5888">
        <w:t>EMF24</w:t>
      </w:r>
      <w:r w:rsidR="00F81312">
        <w:t xml:space="preserve"> </w:t>
      </w:r>
      <w:r w:rsidR="0037212F">
        <w:t>T</w:t>
      </w:r>
      <w:r>
        <w:t xml:space="preserve">echnology </w:t>
      </w:r>
      <w:r w:rsidR="0037212F">
        <w:t>S</w:t>
      </w:r>
      <w:r>
        <w:t xml:space="preserve">cenarios </w:t>
      </w:r>
      <w:r w:rsidR="004525CE">
        <w:t xml:space="preserve">were </w:t>
      </w:r>
      <w:r>
        <w:t xml:space="preserve">designed </w:t>
      </w:r>
      <w:r w:rsidR="008B5888">
        <w:t>to assess</w:t>
      </w:r>
      <w:r>
        <w:t xml:space="preserve"> how the cost and availability of low</w:t>
      </w:r>
      <w:r w:rsidR="00ED6BBF">
        <w:t>-</w:t>
      </w:r>
      <w:r>
        <w:t xml:space="preserve">carbon technologies </w:t>
      </w:r>
      <w:r w:rsidR="00ED6BBF">
        <w:t xml:space="preserve">and energy </w:t>
      </w:r>
      <w:r w:rsidR="00437CD2">
        <w:t>end-use</w:t>
      </w:r>
      <w:r w:rsidR="00ED6BBF">
        <w:t xml:space="preserve"> measures </w:t>
      </w:r>
      <w:r w:rsidR="00C2593A">
        <w:t xml:space="preserve">might </w:t>
      </w:r>
      <w:r>
        <w:t xml:space="preserve">affect the </w:t>
      </w:r>
      <w:r w:rsidR="00831DA1">
        <w:t xml:space="preserve">U.S economy </w:t>
      </w:r>
      <w:r>
        <w:t xml:space="preserve">and energy system </w:t>
      </w:r>
      <w:r w:rsidR="00831DA1">
        <w:t>under policies that reduce GHG emissions.</w:t>
      </w:r>
      <w:r w:rsidR="004C3BED">
        <w:t xml:space="preserve"> </w:t>
      </w:r>
      <w:r w:rsidR="004B705F">
        <w:t>The matrix of scenarios in the study consists of a technology dimension and a policy dimension (</w:t>
      </w:r>
      <w:r w:rsidR="0018725F">
        <w:fldChar w:fldCharType="begin"/>
      </w:r>
      <w:r w:rsidR="00F4648C">
        <w:instrText xml:space="preserve"> REF _Ref345003201 \h </w:instrText>
      </w:r>
      <w:r w:rsidR="0018725F">
        <w:fldChar w:fldCharType="separate"/>
      </w:r>
      <w:r w:rsidR="00353B23" w:rsidRPr="00DD3015">
        <w:t xml:space="preserve">Table </w:t>
      </w:r>
      <w:r w:rsidR="00353B23">
        <w:rPr>
          <w:noProof/>
        </w:rPr>
        <w:t>1</w:t>
      </w:r>
      <w:r w:rsidR="0018725F">
        <w:fldChar w:fldCharType="end"/>
      </w:r>
      <w:r w:rsidR="004B705F">
        <w:t>).</w:t>
      </w:r>
      <w:r w:rsidR="0037212F">
        <w:t xml:space="preserve"> The technology dimension captures variations in technology</w:t>
      </w:r>
      <w:r w:rsidR="004C3BED">
        <w:t xml:space="preserve"> </w:t>
      </w:r>
      <w:r w:rsidR="0037212F">
        <w:t>cost, performance, and availability. The policy dimension captures the two 2050 mitigation goals for the study.</w:t>
      </w:r>
    </w:p>
    <w:p w:rsidR="00437CD2" w:rsidRDefault="00437CD2" w:rsidP="00EC548B"/>
    <w:p w:rsidR="004B705F" w:rsidRDefault="004B705F" w:rsidP="00A44CD9">
      <w:pPr>
        <w:pStyle w:val="Caption"/>
      </w:pPr>
      <w:bookmarkStart w:id="3" w:name="_Ref345003201"/>
      <w:bookmarkStart w:id="4" w:name="_Ref345003196"/>
      <w:proofErr w:type="gramStart"/>
      <w:r w:rsidRPr="00DD3015">
        <w:t xml:space="preserve">Table </w:t>
      </w:r>
      <w:r w:rsidR="0018725F">
        <w:fldChar w:fldCharType="begin"/>
      </w:r>
      <w:r w:rsidR="0033110E">
        <w:instrText xml:space="preserve"> SEQ Table \* ARABIC </w:instrText>
      </w:r>
      <w:r w:rsidR="0018725F">
        <w:fldChar w:fldCharType="separate"/>
      </w:r>
      <w:r w:rsidR="00271E47">
        <w:rPr>
          <w:noProof/>
        </w:rPr>
        <w:t>1</w:t>
      </w:r>
      <w:r w:rsidR="0018725F">
        <w:rPr>
          <w:noProof/>
        </w:rPr>
        <w:fldChar w:fldCharType="end"/>
      </w:r>
      <w:bookmarkEnd w:id="3"/>
      <w:r w:rsidRPr="00DD3015">
        <w:t>.</w:t>
      </w:r>
      <w:proofErr w:type="gramEnd"/>
      <w:r>
        <w:t xml:space="preserve"> Summary description of </w:t>
      </w:r>
      <w:r w:rsidR="00807F22">
        <w:t>EMF 24 T</w:t>
      </w:r>
      <w:r>
        <w:t xml:space="preserve">echnology </w:t>
      </w:r>
      <w:r w:rsidR="00807F22">
        <w:t>S</w:t>
      </w:r>
      <w:r>
        <w:t>cenarios</w:t>
      </w:r>
      <w:bookmarkEnd w:id="4"/>
      <w:r w:rsidR="00665876">
        <w:t xml:space="preserve"> </w:t>
      </w:r>
      <w:r w:rsidR="00665876" w:rsidRPr="004525CE">
        <w:rPr>
          <w:b w:val="0"/>
        </w:rPr>
        <w:t>[Note: “Opt” refers to “Optimistic” and “</w:t>
      </w:r>
      <w:proofErr w:type="spellStart"/>
      <w:r w:rsidR="00665876" w:rsidRPr="004525CE">
        <w:rPr>
          <w:b w:val="0"/>
        </w:rPr>
        <w:t>Pess</w:t>
      </w:r>
      <w:proofErr w:type="spellEnd"/>
      <w:r w:rsidR="00665876" w:rsidRPr="004525CE">
        <w:rPr>
          <w:b w:val="0"/>
        </w:rPr>
        <w:t>” refers to “Pessimistic</w:t>
      </w:r>
      <w:r w:rsidR="004541B1" w:rsidRPr="004525CE">
        <w:rPr>
          <w:b w:val="0"/>
        </w:rPr>
        <w:t>. In the companion, policy paper (Fawcett et al., this volume), “</w:t>
      </w:r>
      <w:proofErr w:type="spellStart"/>
      <w:r w:rsidR="004541B1" w:rsidRPr="004525CE">
        <w:rPr>
          <w:b w:val="0"/>
        </w:rPr>
        <w:t>Pess</w:t>
      </w:r>
      <w:proofErr w:type="spellEnd"/>
      <w:r w:rsidR="004541B1" w:rsidRPr="004525CE">
        <w:rPr>
          <w:b w:val="0"/>
        </w:rPr>
        <w:t xml:space="preserve"> Renew” is referred to as “Opt </w:t>
      </w:r>
      <w:r w:rsidR="00306870">
        <w:rPr>
          <w:b w:val="0"/>
        </w:rPr>
        <w:t>CCS/</w:t>
      </w:r>
      <w:proofErr w:type="spellStart"/>
      <w:r w:rsidR="00306870">
        <w:rPr>
          <w:b w:val="0"/>
        </w:rPr>
        <w:t>Nuc</w:t>
      </w:r>
      <w:proofErr w:type="spellEnd"/>
      <w:r w:rsidR="004541B1" w:rsidRPr="004525CE">
        <w:rPr>
          <w:b w:val="0"/>
        </w:rPr>
        <w:t>”, and “</w:t>
      </w:r>
      <w:proofErr w:type="spellStart"/>
      <w:r w:rsidR="004541B1" w:rsidRPr="004525CE">
        <w:rPr>
          <w:b w:val="0"/>
        </w:rPr>
        <w:t>Pess</w:t>
      </w:r>
      <w:proofErr w:type="spellEnd"/>
      <w:r w:rsidR="004541B1" w:rsidRPr="004525CE">
        <w:rPr>
          <w:b w:val="0"/>
        </w:rPr>
        <w:t xml:space="preserve"> </w:t>
      </w:r>
      <w:r w:rsidR="00306870">
        <w:rPr>
          <w:b w:val="0"/>
        </w:rPr>
        <w:t>CCS/</w:t>
      </w:r>
      <w:proofErr w:type="spellStart"/>
      <w:r w:rsidR="00306870">
        <w:rPr>
          <w:b w:val="0"/>
        </w:rPr>
        <w:t>Nuc</w:t>
      </w:r>
      <w:proofErr w:type="spellEnd"/>
      <w:r w:rsidR="004541B1" w:rsidRPr="004525CE">
        <w:rPr>
          <w:b w:val="0"/>
        </w:rPr>
        <w:t>” is referred to as “Opt Renew”.]</w:t>
      </w:r>
    </w:p>
    <w:tbl>
      <w:tblPr>
        <w:tblStyle w:val="TableGrid"/>
        <w:tblW w:w="6404" w:type="dxa"/>
        <w:jc w:val="center"/>
        <w:tblLayout w:type="fixed"/>
        <w:tblCellMar>
          <w:left w:w="29" w:type="dxa"/>
          <w:right w:w="29" w:type="dxa"/>
        </w:tblCellMar>
        <w:tblLook w:val="04A0" w:firstRow="1" w:lastRow="0" w:firstColumn="1" w:lastColumn="0" w:noHBand="0" w:noVBand="1"/>
      </w:tblPr>
      <w:tblGrid>
        <w:gridCol w:w="1184"/>
        <w:gridCol w:w="607"/>
        <w:gridCol w:w="630"/>
        <w:gridCol w:w="630"/>
        <w:gridCol w:w="630"/>
        <w:gridCol w:w="653"/>
        <w:gridCol w:w="720"/>
        <w:gridCol w:w="720"/>
        <w:gridCol w:w="630"/>
      </w:tblGrid>
      <w:tr w:rsidR="00A01358" w:rsidRPr="004C3BED" w:rsidTr="004525CE">
        <w:trPr>
          <w:trHeight w:val="287"/>
          <w:jc w:val="center"/>
        </w:trPr>
        <w:tc>
          <w:tcPr>
            <w:tcW w:w="6404" w:type="dxa"/>
            <w:gridSpan w:val="9"/>
            <w:tcBorders>
              <w:left w:val="single" w:sz="4" w:space="0" w:color="auto"/>
              <w:right w:val="single" w:sz="4" w:space="0" w:color="auto"/>
            </w:tcBorders>
            <w:shd w:val="clear" w:color="auto" w:fill="FFFFFF" w:themeFill="background1"/>
            <w:vAlign w:val="bottom"/>
          </w:tcPr>
          <w:p w:rsidR="00A01358" w:rsidRPr="004C3BED" w:rsidRDefault="00A01358" w:rsidP="00533291">
            <w:pPr>
              <w:ind w:firstLine="0"/>
              <w:rPr>
                <w:rFonts w:cs="Times New Roman"/>
                <w:b/>
                <w:sz w:val="16"/>
                <w:szCs w:val="16"/>
              </w:rPr>
            </w:pPr>
            <w:r w:rsidRPr="004C3BED">
              <w:rPr>
                <w:rFonts w:cs="Times New Roman"/>
                <w:b/>
                <w:sz w:val="16"/>
                <w:szCs w:val="16"/>
              </w:rPr>
              <w:t>Technology Dimension</w:t>
            </w:r>
          </w:p>
        </w:tc>
      </w:tr>
      <w:tr w:rsidR="00A01358" w:rsidRPr="004C3BED" w:rsidTr="00C43463">
        <w:trPr>
          <w:jc w:val="center"/>
        </w:trPr>
        <w:tc>
          <w:tcPr>
            <w:tcW w:w="1184" w:type="dxa"/>
            <w:vMerge w:val="restart"/>
            <w:tcBorders>
              <w:left w:val="single" w:sz="4" w:space="0" w:color="auto"/>
              <w:bottom w:val="double" w:sz="4" w:space="0" w:color="auto"/>
            </w:tcBorders>
            <w:vAlign w:val="center"/>
          </w:tcPr>
          <w:p w:rsidR="00A01358" w:rsidRPr="004C3BED" w:rsidRDefault="00A01358" w:rsidP="00533291">
            <w:pPr>
              <w:ind w:firstLine="0"/>
              <w:jc w:val="both"/>
              <w:rPr>
                <w:rFonts w:cs="Times New Roman"/>
                <w:sz w:val="16"/>
                <w:szCs w:val="16"/>
              </w:rPr>
            </w:pPr>
          </w:p>
        </w:tc>
        <w:tc>
          <w:tcPr>
            <w:tcW w:w="607" w:type="dxa"/>
            <w:vMerge w:val="restart"/>
            <w:tcBorders>
              <w:bottom w:val="double" w:sz="4" w:space="0" w:color="auto"/>
            </w:tcBorders>
            <w:vAlign w:val="center"/>
          </w:tcPr>
          <w:p w:rsidR="00A01358" w:rsidRPr="004C3BED" w:rsidRDefault="00A01358" w:rsidP="004525CE">
            <w:pPr>
              <w:ind w:firstLine="0"/>
              <w:jc w:val="center"/>
              <w:rPr>
                <w:rFonts w:cs="Times New Roman"/>
                <w:sz w:val="16"/>
                <w:szCs w:val="16"/>
              </w:rPr>
            </w:pPr>
            <w:r>
              <w:rPr>
                <w:rFonts w:cs="Times New Roman"/>
                <w:sz w:val="16"/>
                <w:szCs w:val="16"/>
              </w:rPr>
              <w:t>Opt Tech</w:t>
            </w:r>
          </w:p>
        </w:tc>
        <w:tc>
          <w:tcPr>
            <w:tcW w:w="1890" w:type="dxa"/>
            <w:gridSpan w:val="3"/>
            <w:tcBorders>
              <w:bottom w:val="single" w:sz="4" w:space="0" w:color="auto"/>
            </w:tcBorders>
            <w:vAlign w:val="center"/>
          </w:tcPr>
          <w:p w:rsidR="00A01358" w:rsidRPr="004C3BED" w:rsidRDefault="00A01358" w:rsidP="00533291">
            <w:pPr>
              <w:ind w:firstLine="0"/>
              <w:jc w:val="center"/>
              <w:rPr>
                <w:rFonts w:cs="Times New Roman"/>
                <w:sz w:val="16"/>
                <w:szCs w:val="16"/>
              </w:rPr>
            </w:pPr>
            <w:r w:rsidRPr="004C3BED">
              <w:rPr>
                <w:rFonts w:cs="Times New Roman"/>
                <w:sz w:val="16"/>
                <w:szCs w:val="16"/>
              </w:rPr>
              <w:t>Single Sensitivities</w:t>
            </w:r>
          </w:p>
        </w:tc>
        <w:tc>
          <w:tcPr>
            <w:tcW w:w="2093" w:type="dxa"/>
            <w:gridSpan w:val="3"/>
            <w:tcBorders>
              <w:bottom w:val="single" w:sz="4" w:space="0" w:color="auto"/>
            </w:tcBorders>
            <w:vAlign w:val="center"/>
          </w:tcPr>
          <w:p w:rsidR="00A01358" w:rsidRPr="004C3BED" w:rsidRDefault="00A01358" w:rsidP="00533291">
            <w:pPr>
              <w:ind w:firstLine="0"/>
              <w:jc w:val="center"/>
              <w:rPr>
                <w:rFonts w:cs="Times New Roman"/>
                <w:sz w:val="16"/>
                <w:szCs w:val="16"/>
              </w:rPr>
            </w:pPr>
            <w:r w:rsidRPr="004C3BED">
              <w:rPr>
                <w:rFonts w:cs="Times New Roman"/>
                <w:sz w:val="16"/>
                <w:szCs w:val="16"/>
              </w:rPr>
              <w:t>Combined Sensitivities</w:t>
            </w:r>
          </w:p>
        </w:tc>
        <w:tc>
          <w:tcPr>
            <w:tcW w:w="630" w:type="dxa"/>
            <w:vMerge w:val="restart"/>
            <w:tcBorders>
              <w:bottom w:val="double" w:sz="4" w:space="0" w:color="auto"/>
              <w:right w:val="single" w:sz="4" w:space="0" w:color="auto"/>
            </w:tcBorders>
            <w:vAlign w:val="center"/>
          </w:tcPr>
          <w:p w:rsidR="00A01358" w:rsidRPr="004C3BED" w:rsidRDefault="00A01358" w:rsidP="00533291">
            <w:pPr>
              <w:ind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 xml:space="preserve"> Tech</w:t>
            </w:r>
          </w:p>
        </w:tc>
      </w:tr>
      <w:tr w:rsidR="00A01358" w:rsidRPr="004C3BED" w:rsidTr="00C43463">
        <w:trPr>
          <w:jc w:val="center"/>
        </w:trPr>
        <w:tc>
          <w:tcPr>
            <w:tcW w:w="1184" w:type="dxa"/>
            <w:vMerge/>
            <w:tcBorders>
              <w:left w:val="single" w:sz="4" w:space="0" w:color="auto"/>
              <w:bottom w:val="double" w:sz="4" w:space="0" w:color="auto"/>
            </w:tcBorders>
            <w:vAlign w:val="center"/>
          </w:tcPr>
          <w:p w:rsidR="00A01358" w:rsidRPr="004C3BED" w:rsidRDefault="00A01358" w:rsidP="00533291">
            <w:pPr>
              <w:ind w:firstLine="0"/>
              <w:rPr>
                <w:rFonts w:cs="Times New Roman"/>
                <w:sz w:val="16"/>
                <w:szCs w:val="16"/>
              </w:rPr>
            </w:pPr>
          </w:p>
        </w:tc>
        <w:tc>
          <w:tcPr>
            <w:tcW w:w="607" w:type="dxa"/>
            <w:vMerge/>
            <w:tcBorders>
              <w:bottom w:val="double" w:sz="4" w:space="0" w:color="auto"/>
            </w:tcBorders>
            <w:vAlign w:val="center"/>
          </w:tcPr>
          <w:p w:rsidR="00A01358" w:rsidRPr="004C3BED" w:rsidRDefault="00A01358" w:rsidP="00533291">
            <w:pPr>
              <w:ind w:firstLine="0"/>
              <w:jc w:val="center"/>
              <w:rPr>
                <w:rFonts w:cs="Times New Roman"/>
                <w:sz w:val="16"/>
                <w:szCs w:val="16"/>
              </w:rPr>
            </w:pPr>
          </w:p>
        </w:tc>
        <w:tc>
          <w:tcPr>
            <w:tcW w:w="630" w:type="dxa"/>
            <w:tcBorders>
              <w:bottom w:val="double" w:sz="4" w:space="0" w:color="auto"/>
            </w:tcBorders>
            <w:vAlign w:val="center"/>
          </w:tcPr>
          <w:p w:rsidR="00A01358" w:rsidRPr="004C3BED" w:rsidRDefault="00A01358" w:rsidP="00533291">
            <w:pPr>
              <w:ind w:firstLine="0"/>
              <w:jc w:val="center"/>
              <w:rPr>
                <w:rFonts w:cs="Times New Roman"/>
                <w:sz w:val="16"/>
                <w:szCs w:val="16"/>
              </w:rPr>
            </w:pPr>
            <w:proofErr w:type="spellStart"/>
            <w:r>
              <w:rPr>
                <w:rFonts w:cs="Times New Roman"/>
                <w:sz w:val="16"/>
                <w:szCs w:val="16"/>
              </w:rPr>
              <w:t>Pess</w:t>
            </w:r>
            <w:proofErr w:type="spellEnd"/>
          </w:p>
          <w:p w:rsidR="00A01358" w:rsidRPr="004C3BED" w:rsidRDefault="00A01358" w:rsidP="00533291">
            <w:pPr>
              <w:ind w:firstLine="0"/>
              <w:jc w:val="center"/>
              <w:rPr>
                <w:rFonts w:cs="Times New Roman"/>
                <w:sz w:val="16"/>
                <w:szCs w:val="16"/>
              </w:rPr>
            </w:pPr>
            <w:r>
              <w:rPr>
                <w:rFonts w:cs="Times New Roman"/>
                <w:sz w:val="16"/>
                <w:szCs w:val="16"/>
              </w:rPr>
              <w:t>EE</w:t>
            </w:r>
          </w:p>
        </w:tc>
        <w:tc>
          <w:tcPr>
            <w:tcW w:w="630" w:type="dxa"/>
            <w:tcBorders>
              <w:bottom w:val="double" w:sz="4" w:space="0" w:color="auto"/>
            </w:tcBorders>
            <w:vAlign w:val="center"/>
          </w:tcPr>
          <w:p w:rsidR="00A01358" w:rsidRPr="004C3BED" w:rsidRDefault="00A01358" w:rsidP="00533291">
            <w:pPr>
              <w:ind w:firstLine="0"/>
              <w:jc w:val="center"/>
              <w:rPr>
                <w:rFonts w:cs="Times New Roman"/>
                <w:sz w:val="16"/>
                <w:szCs w:val="16"/>
              </w:rPr>
            </w:pPr>
            <w:proofErr w:type="spellStart"/>
            <w:r>
              <w:rPr>
                <w:rFonts w:cs="Times New Roman"/>
                <w:sz w:val="16"/>
                <w:szCs w:val="16"/>
              </w:rPr>
              <w:t>Pess</w:t>
            </w:r>
            <w:proofErr w:type="spellEnd"/>
          </w:p>
          <w:p w:rsidR="00A01358" w:rsidRPr="004C3BED" w:rsidRDefault="00A01358" w:rsidP="00533291">
            <w:pPr>
              <w:ind w:firstLine="0"/>
              <w:jc w:val="center"/>
              <w:rPr>
                <w:rFonts w:cs="Times New Roman"/>
                <w:sz w:val="16"/>
                <w:szCs w:val="16"/>
              </w:rPr>
            </w:pPr>
            <w:r>
              <w:rPr>
                <w:rFonts w:cs="Times New Roman"/>
                <w:sz w:val="16"/>
                <w:szCs w:val="16"/>
              </w:rPr>
              <w:t>CCS</w:t>
            </w:r>
          </w:p>
        </w:tc>
        <w:tc>
          <w:tcPr>
            <w:tcW w:w="630" w:type="dxa"/>
            <w:tcBorders>
              <w:bottom w:val="double" w:sz="4" w:space="0" w:color="auto"/>
            </w:tcBorders>
            <w:vAlign w:val="center"/>
          </w:tcPr>
          <w:p w:rsidR="00A01358" w:rsidRPr="004C3BED" w:rsidRDefault="00A01358" w:rsidP="00533291">
            <w:pPr>
              <w:ind w:firstLine="0"/>
              <w:jc w:val="center"/>
              <w:rPr>
                <w:rFonts w:cs="Times New Roman"/>
                <w:sz w:val="16"/>
                <w:szCs w:val="16"/>
              </w:rPr>
            </w:pPr>
            <w:proofErr w:type="spellStart"/>
            <w:r>
              <w:rPr>
                <w:rFonts w:cs="Times New Roman"/>
                <w:sz w:val="16"/>
                <w:szCs w:val="16"/>
              </w:rPr>
              <w:t>Pess</w:t>
            </w:r>
            <w:proofErr w:type="spellEnd"/>
          </w:p>
          <w:p w:rsidR="00A01358" w:rsidRPr="004C3BED" w:rsidRDefault="00A01358" w:rsidP="00533291">
            <w:pPr>
              <w:ind w:firstLine="0"/>
              <w:jc w:val="center"/>
              <w:rPr>
                <w:rFonts w:cs="Times New Roman"/>
                <w:sz w:val="16"/>
                <w:szCs w:val="16"/>
              </w:rPr>
            </w:pPr>
            <w:proofErr w:type="spellStart"/>
            <w:r>
              <w:rPr>
                <w:rFonts w:cs="Times New Roman"/>
                <w:sz w:val="16"/>
                <w:szCs w:val="16"/>
              </w:rPr>
              <w:t>Nuc</w:t>
            </w:r>
            <w:proofErr w:type="spellEnd"/>
          </w:p>
        </w:tc>
        <w:tc>
          <w:tcPr>
            <w:tcW w:w="653" w:type="dxa"/>
            <w:tcBorders>
              <w:bottom w:val="double" w:sz="4" w:space="0" w:color="auto"/>
            </w:tcBorders>
            <w:vAlign w:val="center"/>
          </w:tcPr>
          <w:p w:rsidR="00A01358" w:rsidRPr="004C3BED" w:rsidRDefault="004541B1" w:rsidP="00533291">
            <w:pPr>
              <w:ind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 xml:space="preserve"> Renew</w:t>
            </w:r>
          </w:p>
        </w:tc>
        <w:tc>
          <w:tcPr>
            <w:tcW w:w="720" w:type="dxa"/>
            <w:tcBorders>
              <w:bottom w:val="double" w:sz="4" w:space="0" w:color="auto"/>
            </w:tcBorders>
            <w:vAlign w:val="center"/>
          </w:tcPr>
          <w:p w:rsidR="00A01358" w:rsidRPr="004C3BED" w:rsidRDefault="00306870" w:rsidP="00533291">
            <w:pPr>
              <w:ind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 xml:space="preserve"> </w:t>
            </w:r>
            <w:r w:rsidR="004541B1">
              <w:rPr>
                <w:rFonts w:cs="Times New Roman"/>
                <w:sz w:val="16"/>
                <w:szCs w:val="16"/>
              </w:rPr>
              <w:t>CCS</w:t>
            </w:r>
            <w:r>
              <w:rPr>
                <w:rFonts w:cs="Times New Roman"/>
                <w:sz w:val="16"/>
                <w:szCs w:val="16"/>
              </w:rPr>
              <w:t>/</w:t>
            </w:r>
            <w:proofErr w:type="spellStart"/>
            <w:r>
              <w:rPr>
                <w:rFonts w:cs="Times New Roman"/>
                <w:sz w:val="16"/>
                <w:szCs w:val="16"/>
              </w:rPr>
              <w:t>Nuc</w:t>
            </w:r>
            <w:proofErr w:type="spellEnd"/>
          </w:p>
        </w:tc>
        <w:tc>
          <w:tcPr>
            <w:tcW w:w="720" w:type="dxa"/>
            <w:tcBorders>
              <w:bottom w:val="double" w:sz="4" w:space="0" w:color="auto"/>
            </w:tcBorders>
            <w:vAlign w:val="center"/>
          </w:tcPr>
          <w:p w:rsidR="00A01358" w:rsidRPr="004C3BED" w:rsidRDefault="00A01358" w:rsidP="00533291">
            <w:pPr>
              <w:ind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 xml:space="preserve"> EERE</w:t>
            </w:r>
          </w:p>
        </w:tc>
        <w:tc>
          <w:tcPr>
            <w:tcW w:w="630" w:type="dxa"/>
            <w:vMerge/>
            <w:tcBorders>
              <w:bottom w:val="double" w:sz="4" w:space="0" w:color="auto"/>
              <w:right w:val="single" w:sz="4" w:space="0" w:color="auto"/>
            </w:tcBorders>
            <w:vAlign w:val="center"/>
          </w:tcPr>
          <w:p w:rsidR="00A01358" w:rsidRPr="004C3BED" w:rsidRDefault="00A01358" w:rsidP="00533291">
            <w:pPr>
              <w:ind w:firstLine="0"/>
              <w:jc w:val="center"/>
              <w:rPr>
                <w:rFonts w:cs="Times New Roman"/>
                <w:sz w:val="16"/>
                <w:szCs w:val="16"/>
              </w:rPr>
            </w:pPr>
          </w:p>
        </w:tc>
      </w:tr>
      <w:tr w:rsidR="00A01358" w:rsidRPr="004C3BED" w:rsidTr="00C43463">
        <w:trPr>
          <w:jc w:val="center"/>
        </w:trPr>
        <w:tc>
          <w:tcPr>
            <w:tcW w:w="1184" w:type="dxa"/>
            <w:tcBorders>
              <w:top w:val="double" w:sz="4" w:space="0" w:color="auto"/>
              <w:left w:val="single" w:sz="4" w:space="0" w:color="auto"/>
            </w:tcBorders>
            <w:vAlign w:val="center"/>
          </w:tcPr>
          <w:p w:rsidR="00A01358" w:rsidRPr="004C3BED" w:rsidRDefault="00A01358" w:rsidP="002E6495">
            <w:pPr>
              <w:ind w:firstLine="0"/>
              <w:rPr>
                <w:rFonts w:cs="Times New Roman"/>
                <w:sz w:val="16"/>
                <w:szCs w:val="16"/>
              </w:rPr>
            </w:pPr>
            <w:r>
              <w:rPr>
                <w:rFonts w:cs="Times New Roman"/>
                <w:sz w:val="16"/>
                <w:szCs w:val="16"/>
              </w:rPr>
              <w:t xml:space="preserve">End-Use </w:t>
            </w:r>
            <w:r w:rsidR="002E6495">
              <w:rPr>
                <w:rFonts w:cs="Times New Roman"/>
                <w:sz w:val="16"/>
                <w:szCs w:val="16"/>
              </w:rPr>
              <w:t>Energy</w:t>
            </w:r>
          </w:p>
        </w:tc>
        <w:tc>
          <w:tcPr>
            <w:tcW w:w="607" w:type="dxa"/>
            <w:tcBorders>
              <w:top w:val="double" w:sz="4" w:space="0" w:color="auto"/>
            </w:tcBorders>
            <w:shd w:val="clear" w:color="auto" w:fill="BFBFBF" w:themeFill="background1" w:themeFillShade="BF"/>
            <w:vAlign w:val="center"/>
          </w:tcPr>
          <w:p w:rsidR="00A01358" w:rsidRPr="004C3BED" w:rsidRDefault="00A01358" w:rsidP="00665876">
            <w:pPr>
              <w:ind w:firstLine="0"/>
              <w:jc w:val="center"/>
              <w:rPr>
                <w:rFonts w:cs="Times New Roman"/>
                <w:sz w:val="16"/>
                <w:szCs w:val="16"/>
              </w:rPr>
            </w:pPr>
            <w:r>
              <w:rPr>
                <w:rFonts w:cs="Times New Roman"/>
                <w:sz w:val="16"/>
                <w:szCs w:val="16"/>
              </w:rPr>
              <w:t>Opt</w:t>
            </w:r>
          </w:p>
        </w:tc>
        <w:tc>
          <w:tcPr>
            <w:tcW w:w="630" w:type="dxa"/>
            <w:tcBorders>
              <w:top w:val="doub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30" w:type="dxa"/>
            <w:tcBorders>
              <w:top w:val="double" w:sz="4" w:space="0" w:color="auto"/>
            </w:tcBorders>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tcBorders>
              <w:top w:val="double" w:sz="4" w:space="0" w:color="auto"/>
            </w:tcBorders>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53" w:type="dxa"/>
            <w:tcBorders>
              <w:top w:val="double" w:sz="4" w:space="0" w:color="auto"/>
            </w:tcBorders>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tcBorders>
              <w:top w:val="double" w:sz="4" w:space="0" w:color="auto"/>
            </w:tcBorders>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tcBorders>
              <w:top w:val="doub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30" w:type="dxa"/>
            <w:tcBorders>
              <w:top w:val="double" w:sz="4" w:space="0" w:color="auto"/>
              <w:right w:val="sing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r>
      <w:tr w:rsidR="00A01358" w:rsidRPr="004C3BED" w:rsidTr="00C43463">
        <w:trPr>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sidRPr="004C3BED">
              <w:rPr>
                <w:rFonts w:cs="Times New Roman"/>
                <w:sz w:val="16"/>
                <w:szCs w:val="16"/>
              </w:rPr>
              <w:t>CCS</w:t>
            </w:r>
          </w:p>
        </w:tc>
        <w:tc>
          <w:tcPr>
            <w:tcW w:w="607"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53"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72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tcBorders>
              <w:right w:val="sing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r>
      <w:tr w:rsidR="00A01358" w:rsidRPr="004C3BED" w:rsidTr="00C43463">
        <w:trPr>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sidRPr="004C3BED">
              <w:rPr>
                <w:rFonts w:cs="Times New Roman"/>
                <w:sz w:val="16"/>
                <w:szCs w:val="16"/>
              </w:rPr>
              <w:t>Nuclear</w:t>
            </w:r>
          </w:p>
        </w:tc>
        <w:tc>
          <w:tcPr>
            <w:tcW w:w="607"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53"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72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tcBorders>
              <w:right w:val="sing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r>
      <w:tr w:rsidR="00A01358" w:rsidRPr="004C3BED" w:rsidTr="00C43463">
        <w:trPr>
          <w:trHeight w:val="179"/>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sidRPr="004C3BED">
              <w:rPr>
                <w:rFonts w:cs="Times New Roman"/>
                <w:sz w:val="16"/>
                <w:szCs w:val="16"/>
              </w:rPr>
              <w:t>Wind &amp; Solar</w:t>
            </w:r>
          </w:p>
        </w:tc>
        <w:tc>
          <w:tcPr>
            <w:tcW w:w="607"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53"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72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30" w:type="dxa"/>
            <w:tcBorders>
              <w:right w:val="sing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r>
      <w:tr w:rsidR="00A01358" w:rsidRPr="004C3BED" w:rsidTr="00C43463">
        <w:trPr>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sidRPr="004C3BED">
              <w:rPr>
                <w:rFonts w:cs="Times New Roman"/>
                <w:sz w:val="16"/>
                <w:szCs w:val="16"/>
              </w:rPr>
              <w:t>Bioenergy</w:t>
            </w:r>
          </w:p>
        </w:tc>
        <w:tc>
          <w:tcPr>
            <w:tcW w:w="607"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3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653"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720" w:type="dxa"/>
            <w:shd w:val="clear" w:color="auto" w:fill="BFBFBF" w:themeFill="background1" w:themeFillShade="BF"/>
            <w:vAlign w:val="center"/>
          </w:tcPr>
          <w:p w:rsidR="00A01358" w:rsidRPr="004C3BED" w:rsidRDefault="00665876" w:rsidP="00533291">
            <w:pPr>
              <w:ind w:firstLine="0"/>
              <w:jc w:val="center"/>
              <w:rPr>
                <w:rFonts w:cs="Times New Roman"/>
                <w:sz w:val="16"/>
                <w:szCs w:val="16"/>
              </w:rPr>
            </w:pPr>
            <w:r>
              <w:rPr>
                <w:rFonts w:cs="Times New Roman"/>
                <w:sz w:val="16"/>
                <w:szCs w:val="16"/>
              </w:rPr>
              <w:t>Opt</w:t>
            </w:r>
          </w:p>
        </w:tc>
        <w:tc>
          <w:tcPr>
            <w:tcW w:w="720" w:type="dxa"/>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c>
          <w:tcPr>
            <w:tcW w:w="630" w:type="dxa"/>
            <w:tcBorders>
              <w:right w:val="single" w:sz="4" w:space="0" w:color="auto"/>
            </w:tcBorders>
            <w:shd w:val="clear" w:color="auto" w:fill="FFFFFF" w:themeFill="background1"/>
            <w:vAlign w:val="center"/>
          </w:tcPr>
          <w:p w:rsidR="00A01358" w:rsidRPr="004C3BED" w:rsidRDefault="00665876" w:rsidP="00533291">
            <w:pPr>
              <w:ind w:firstLine="0"/>
              <w:jc w:val="center"/>
              <w:rPr>
                <w:rFonts w:cs="Times New Roman"/>
                <w:sz w:val="16"/>
                <w:szCs w:val="16"/>
              </w:rPr>
            </w:pPr>
            <w:proofErr w:type="spellStart"/>
            <w:r>
              <w:rPr>
                <w:rFonts w:cs="Times New Roman"/>
                <w:sz w:val="16"/>
                <w:szCs w:val="16"/>
              </w:rPr>
              <w:t>Pess</w:t>
            </w:r>
            <w:proofErr w:type="spellEnd"/>
          </w:p>
        </w:tc>
      </w:tr>
      <w:tr w:rsidR="00A01358" w:rsidRPr="004C3BED" w:rsidTr="004525CE">
        <w:trPr>
          <w:trHeight w:val="296"/>
          <w:jc w:val="center"/>
        </w:trPr>
        <w:tc>
          <w:tcPr>
            <w:tcW w:w="6404" w:type="dxa"/>
            <w:gridSpan w:val="9"/>
            <w:tcBorders>
              <w:left w:val="single" w:sz="4" w:space="0" w:color="auto"/>
              <w:right w:val="single" w:sz="4" w:space="0" w:color="auto"/>
            </w:tcBorders>
            <w:shd w:val="clear" w:color="auto" w:fill="FFFFFF" w:themeFill="background1"/>
            <w:vAlign w:val="center"/>
          </w:tcPr>
          <w:p w:rsidR="00A01358" w:rsidRPr="004C3BED" w:rsidRDefault="00A01358" w:rsidP="00533291">
            <w:pPr>
              <w:ind w:firstLine="0"/>
              <w:rPr>
                <w:rFonts w:cs="Times New Roman"/>
                <w:b/>
                <w:sz w:val="16"/>
                <w:szCs w:val="16"/>
              </w:rPr>
            </w:pPr>
            <w:r w:rsidRPr="004C3BED">
              <w:rPr>
                <w:rFonts w:cs="Times New Roman"/>
                <w:b/>
                <w:sz w:val="16"/>
                <w:szCs w:val="16"/>
              </w:rPr>
              <w:t>Policy Dimension</w:t>
            </w:r>
          </w:p>
        </w:tc>
      </w:tr>
      <w:tr w:rsidR="00A01358" w:rsidRPr="004C3BED" w:rsidTr="00C43463">
        <w:trPr>
          <w:jc w:val="center"/>
        </w:trPr>
        <w:tc>
          <w:tcPr>
            <w:tcW w:w="1184" w:type="dxa"/>
            <w:tcBorders>
              <w:left w:val="single" w:sz="4" w:space="0" w:color="auto"/>
            </w:tcBorders>
            <w:vAlign w:val="center"/>
          </w:tcPr>
          <w:p w:rsidR="00A01358" w:rsidRPr="004C3BED" w:rsidRDefault="001315DF" w:rsidP="00533291">
            <w:pPr>
              <w:ind w:firstLine="0"/>
              <w:rPr>
                <w:rFonts w:cs="Times New Roman"/>
                <w:sz w:val="16"/>
                <w:szCs w:val="16"/>
              </w:rPr>
            </w:pPr>
            <w:r>
              <w:rPr>
                <w:rFonts w:cs="Times New Roman"/>
                <w:sz w:val="16"/>
                <w:szCs w:val="16"/>
              </w:rPr>
              <w:t>No New Policy</w:t>
            </w:r>
            <w:r w:rsidR="004525CE">
              <w:rPr>
                <w:rFonts w:cs="Times New Roman"/>
                <w:sz w:val="16"/>
                <w:szCs w:val="16"/>
              </w:rPr>
              <w:t xml:space="preserve"> (reference)</w:t>
            </w:r>
          </w:p>
        </w:tc>
        <w:tc>
          <w:tcPr>
            <w:tcW w:w="607"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53"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720"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720"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tcBorders>
              <w:right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r>
      <w:tr w:rsidR="00A01358" w:rsidRPr="004C3BED" w:rsidTr="00C43463">
        <w:trPr>
          <w:trHeight w:val="77"/>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Pr>
                <w:rFonts w:cs="Times New Roman"/>
                <w:sz w:val="16"/>
                <w:szCs w:val="16"/>
              </w:rPr>
              <w:t xml:space="preserve">50% </w:t>
            </w:r>
            <w:r w:rsidRPr="004C3BED">
              <w:rPr>
                <w:rFonts w:cs="Times New Roman"/>
                <w:sz w:val="16"/>
                <w:szCs w:val="16"/>
              </w:rPr>
              <w:t>Cap &amp; Trade</w:t>
            </w:r>
          </w:p>
        </w:tc>
        <w:tc>
          <w:tcPr>
            <w:tcW w:w="607"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53"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720"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720" w:type="dxa"/>
            <w:tcBorders>
              <w:bottom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630" w:type="dxa"/>
            <w:tcBorders>
              <w:bottom w:val="single" w:sz="4" w:space="0" w:color="auto"/>
              <w:right w:val="single" w:sz="4" w:space="0" w:color="auto"/>
            </w:tcBorders>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r>
      <w:tr w:rsidR="00A01358" w:rsidRPr="004C3BED" w:rsidTr="00C43463">
        <w:trPr>
          <w:trHeight w:val="77"/>
          <w:jc w:val="center"/>
        </w:trPr>
        <w:tc>
          <w:tcPr>
            <w:tcW w:w="1184" w:type="dxa"/>
            <w:tcBorders>
              <w:left w:val="single" w:sz="4" w:space="0" w:color="auto"/>
            </w:tcBorders>
            <w:vAlign w:val="center"/>
          </w:tcPr>
          <w:p w:rsidR="00A01358" w:rsidRPr="004C3BED" w:rsidRDefault="00A01358" w:rsidP="00533291">
            <w:pPr>
              <w:ind w:firstLine="0"/>
              <w:rPr>
                <w:rFonts w:cs="Times New Roman"/>
                <w:sz w:val="16"/>
                <w:szCs w:val="16"/>
              </w:rPr>
            </w:pPr>
            <w:r>
              <w:rPr>
                <w:rFonts w:cs="Times New Roman"/>
                <w:sz w:val="16"/>
                <w:szCs w:val="16"/>
              </w:rPr>
              <w:t xml:space="preserve">80% </w:t>
            </w:r>
            <w:r w:rsidRPr="004C3BED">
              <w:rPr>
                <w:rFonts w:cs="Times New Roman"/>
                <w:sz w:val="16"/>
                <w:szCs w:val="16"/>
              </w:rPr>
              <w:t>Cap &amp; Trade</w:t>
            </w:r>
          </w:p>
        </w:tc>
        <w:tc>
          <w:tcPr>
            <w:tcW w:w="607" w:type="dxa"/>
            <w:tcBorders>
              <w:right w:val="nil"/>
            </w:tcBorders>
            <w:vAlign w:val="center"/>
          </w:tcPr>
          <w:p w:rsidR="00A01358" w:rsidRPr="004C3BED" w:rsidRDefault="00A01358" w:rsidP="00533291">
            <w:pPr>
              <w:ind w:firstLine="0"/>
              <w:jc w:val="center"/>
              <w:rPr>
                <w:rFonts w:cs="Times New Roman"/>
                <w:sz w:val="16"/>
                <w:szCs w:val="16"/>
              </w:rPr>
            </w:pPr>
          </w:p>
        </w:tc>
        <w:tc>
          <w:tcPr>
            <w:tcW w:w="630" w:type="dxa"/>
            <w:tcBorders>
              <w:left w:val="nil"/>
              <w:right w:val="nil"/>
            </w:tcBorders>
            <w:vAlign w:val="center"/>
          </w:tcPr>
          <w:p w:rsidR="00A01358" w:rsidRPr="004C3BED" w:rsidRDefault="00A01358" w:rsidP="00533291">
            <w:pPr>
              <w:ind w:firstLine="0"/>
              <w:jc w:val="center"/>
              <w:rPr>
                <w:rFonts w:cs="Times New Roman"/>
                <w:sz w:val="16"/>
                <w:szCs w:val="16"/>
              </w:rPr>
            </w:pPr>
          </w:p>
        </w:tc>
        <w:tc>
          <w:tcPr>
            <w:tcW w:w="630" w:type="dxa"/>
            <w:tcBorders>
              <w:left w:val="nil"/>
              <w:right w:val="nil"/>
            </w:tcBorders>
            <w:vAlign w:val="center"/>
          </w:tcPr>
          <w:p w:rsidR="00A01358" w:rsidRPr="004C3BED" w:rsidRDefault="00A01358" w:rsidP="00533291">
            <w:pPr>
              <w:ind w:firstLine="0"/>
              <w:jc w:val="center"/>
              <w:rPr>
                <w:rFonts w:cs="Times New Roman"/>
                <w:sz w:val="16"/>
                <w:szCs w:val="16"/>
              </w:rPr>
            </w:pPr>
          </w:p>
        </w:tc>
        <w:tc>
          <w:tcPr>
            <w:tcW w:w="630" w:type="dxa"/>
            <w:tcBorders>
              <w:left w:val="nil"/>
            </w:tcBorders>
            <w:shd w:val="clear" w:color="auto" w:fill="auto"/>
            <w:vAlign w:val="center"/>
          </w:tcPr>
          <w:p w:rsidR="00A01358" w:rsidRPr="004C3BED" w:rsidRDefault="00A01358" w:rsidP="00533291">
            <w:pPr>
              <w:ind w:firstLine="0"/>
              <w:jc w:val="center"/>
              <w:rPr>
                <w:rFonts w:cs="Times New Roman"/>
                <w:sz w:val="16"/>
                <w:szCs w:val="16"/>
              </w:rPr>
            </w:pPr>
          </w:p>
        </w:tc>
        <w:tc>
          <w:tcPr>
            <w:tcW w:w="653" w:type="dxa"/>
            <w:shd w:val="clear" w:color="auto" w:fill="A6A6A6" w:themeFill="background1" w:themeFillShade="A6"/>
            <w:vAlign w:val="center"/>
          </w:tcPr>
          <w:p w:rsidR="00A01358" w:rsidRPr="004C3BED" w:rsidRDefault="00A01358" w:rsidP="00533291">
            <w:pPr>
              <w:ind w:firstLine="0"/>
              <w:jc w:val="center"/>
              <w:rPr>
                <w:rFonts w:cs="Times New Roman"/>
                <w:sz w:val="16"/>
                <w:szCs w:val="16"/>
              </w:rPr>
            </w:pPr>
            <w:r>
              <w:rPr>
                <w:rFonts w:cs="Times New Roman"/>
                <w:sz w:val="16"/>
                <w:szCs w:val="16"/>
              </w:rPr>
              <w:t>X</w:t>
            </w:r>
          </w:p>
        </w:tc>
        <w:tc>
          <w:tcPr>
            <w:tcW w:w="720" w:type="dxa"/>
            <w:tcBorders>
              <w:right w:val="single" w:sz="4" w:space="0" w:color="auto"/>
            </w:tcBorders>
            <w:shd w:val="clear" w:color="auto" w:fill="A6A6A6" w:themeFill="background1" w:themeFillShade="A6"/>
            <w:vAlign w:val="center"/>
          </w:tcPr>
          <w:p w:rsidR="00A01358" w:rsidRPr="004C3BED" w:rsidRDefault="00533291" w:rsidP="00533291">
            <w:pPr>
              <w:ind w:firstLine="0"/>
              <w:jc w:val="center"/>
              <w:rPr>
                <w:rFonts w:cs="Times New Roman"/>
                <w:sz w:val="16"/>
                <w:szCs w:val="16"/>
              </w:rPr>
            </w:pPr>
            <w:r>
              <w:rPr>
                <w:rFonts w:cs="Times New Roman"/>
                <w:sz w:val="16"/>
                <w:szCs w:val="16"/>
              </w:rPr>
              <w:t>X</w:t>
            </w:r>
          </w:p>
        </w:tc>
        <w:tc>
          <w:tcPr>
            <w:tcW w:w="720" w:type="dxa"/>
            <w:tcBorders>
              <w:left w:val="single" w:sz="4" w:space="0" w:color="auto"/>
              <w:right w:val="nil"/>
            </w:tcBorders>
            <w:vAlign w:val="center"/>
          </w:tcPr>
          <w:p w:rsidR="00A01358" w:rsidRPr="004C3BED" w:rsidRDefault="00A01358" w:rsidP="00533291">
            <w:pPr>
              <w:ind w:firstLine="0"/>
              <w:jc w:val="center"/>
              <w:rPr>
                <w:rFonts w:cs="Times New Roman"/>
                <w:sz w:val="16"/>
                <w:szCs w:val="16"/>
              </w:rPr>
            </w:pPr>
          </w:p>
        </w:tc>
        <w:tc>
          <w:tcPr>
            <w:tcW w:w="630" w:type="dxa"/>
            <w:tcBorders>
              <w:left w:val="nil"/>
              <w:right w:val="single" w:sz="4" w:space="0" w:color="auto"/>
            </w:tcBorders>
            <w:vAlign w:val="center"/>
          </w:tcPr>
          <w:p w:rsidR="00A01358" w:rsidRPr="004C3BED" w:rsidRDefault="00A01358" w:rsidP="00533291">
            <w:pPr>
              <w:ind w:firstLine="0"/>
              <w:jc w:val="center"/>
              <w:rPr>
                <w:rFonts w:cs="Times New Roman"/>
                <w:sz w:val="16"/>
                <w:szCs w:val="16"/>
              </w:rPr>
            </w:pPr>
          </w:p>
        </w:tc>
      </w:tr>
    </w:tbl>
    <w:p w:rsidR="00A01358" w:rsidRDefault="00A01358" w:rsidP="00EC548B"/>
    <w:p w:rsidR="00EC548B" w:rsidRDefault="004269A4" w:rsidP="00EC548B">
      <w:r>
        <w:t xml:space="preserve">The </w:t>
      </w:r>
      <w:r w:rsidR="008B5888">
        <w:t>suite of technologies examined in the study includes</w:t>
      </w:r>
      <w:r>
        <w:t xml:space="preserve"> </w:t>
      </w:r>
      <w:r w:rsidR="00437CD2">
        <w:t>end-use</w:t>
      </w:r>
      <w:r>
        <w:t xml:space="preserve"> energy </w:t>
      </w:r>
      <w:r w:rsidR="00ED6BBF">
        <w:t>reduction technologies</w:t>
      </w:r>
      <w:r>
        <w:t xml:space="preserve">, </w:t>
      </w:r>
      <w:r w:rsidR="00DB53EF">
        <w:t>CCS</w:t>
      </w:r>
      <w:r>
        <w:t xml:space="preserve">, nuclear power, wind and solar power, and bioenergy. For each </w:t>
      </w:r>
      <w:r w:rsidR="008E344A">
        <w:t xml:space="preserve">class of technologies, </w:t>
      </w:r>
      <w:r w:rsidR="00C27979">
        <w:t>optimistic</w:t>
      </w:r>
      <w:r w:rsidR="008E344A">
        <w:t xml:space="preserve"> and </w:t>
      </w:r>
      <w:r w:rsidR="00C27979">
        <w:t>pessimistic</w:t>
      </w:r>
      <w:r w:rsidR="008E344A">
        <w:t xml:space="preserve"> sensitivities were specified</w:t>
      </w:r>
      <w:r w:rsidR="00D96AD7">
        <w:t xml:space="preserve"> (</w:t>
      </w:r>
      <w:r w:rsidR="0018725F">
        <w:fldChar w:fldCharType="begin"/>
      </w:r>
      <w:r w:rsidR="00ED6BBF">
        <w:instrText xml:space="preserve"> REF _Ref338945981 \h </w:instrText>
      </w:r>
      <w:r w:rsidR="0018725F">
        <w:fldChar w:fldCharType="separate"/>
      </w:r>
      <w:r w:rsidR="00353B23">
        <w:t xml:space="preserve">Table </w:t>
      </w:r>
      <w:r w:rsidR="00353B23">
        <w:rPr>
          <w:noProof/>
        </w:rPr>
        <w:t>2</w:t>
      </w:r>
      <w:r w:rsidR="0018725F">
        <w:fldChar w:fldCharType="end"/>
      </w:r>
      <w:r w:rsidR="00D96AD7">
        <w:t>)</w:t>
      </w:r>
      <w:r w:rsidR="008E344A">
        <w:t>.</w:t>
      </w:r>
      <w:r w:rsidR="004525CE">
        <w:t xml:space="preserve"> </w:t>
      </w:r>
      <w:r w:rsidR="00EC548B">
        <w:t xml:space="preserve">For nuclear power and CCS, the sensitivities are meant to capture the influence of factors that might </w:t>
      </w:r>
      <w:r w:rsidR="005426DC">
        <w:t>affect</w:t>
      </w:r>
      <w:r w:rsidR="00EC548B">
        <w:t xml:space="preserve"> the availability of </w:t>
      </w:r>
      <w:r w:rsidR="007E2804">
        <w:t xml:space="preserve">these </w:t>
      </w:r>
      <w:r w:rsidR="00EC548B">
        <w:t>technolog</w:t>
      </w:r>
      <w:r w:rsidR="007E2804">
        <w:t>ies</w:t>
      </w:r>
      <w:r w:rsidR="00EC548B">
        <w:t xml:space="preserve">. Hence, the </w:t>
      </w:r>
      <w:r w:rsidR="00C27979">
        <w:t>pessimistic</w:t>
      </w:r>
      <w:r w:rsidR="00EC548B">
        <w:t xml:space="preserve"> sensitivities restrict the deployment of these technologies whereas the </w:t>
      </w:r>
      <w:r w:rsidR="00C27979">
        <w:t>optimistic</w:t>
      </w:r>
      <w:r w:rsidR="00EC548B">
        <w:t xml:space="preserve"> sensitivities allow for </w:t>
      </w:r>
      <w:r w:rsidR="00EC548B">
        <w:lastRenderedPageBreak/>
        <w:t xml:space="preserve">expansion. </w:t>
      </w:r>
      <w:r w:rsidR="007E2804">
        <w:t>No variation in cost and performance is assumed for these technologies. Based on similar reasoning</w:t>
      </w:r>
      <w:r w:rsidR="00EC548B">
        <w:t xml:space="preserve">, bioenergy sensitivities represent variations in the supply of bioenergy. In contrast, sensitivities for wind and solar power capture variations in the cost and performance of solar and wind power. </w:t>
      </w:r>
      <w:r w:rsidR="007E2804">
        <w:t xml:space="preserve">No explicit limitations on expansion were specified for the scenarios. </w:t>
      </w:r>
      <w:r w:rsidR="00EC548B">
        <w:t xml:space="preserve">Finally, sensitivities in </w:t>
      </w:r>
      <w:r w:rsidR="00437CD2">
        <w:t>end-use</w:t>
      </w:r>
      <w:r w:rsidR="00637C97">
        <w:t xml:space="preserve"> </w:t>
      </w:r>
      <w:r w:rsidR="00EC548B">
        <w:t xml:space="preserve">are meant to capture changes in technology and deployment that would lower </w:t>
      </w:r>
      <w:r w:rsidR="00437CD2">
        <w:t>end-use</w:t>
      </w:r>
      <w:r w:rsidR="00EC548B">
        <w:t xml:space="preserve"> energy demands.</w:t>
      </w:r>
      <w:r w:rsidR="007E2804">
        <w:t xml:space="preserve"> Because many models do not have structural representations of the </w:t>
      </w:r>
      <w:r w:rsidR="00437CD2">
        <w:t>end-use</w:t>
      </w:r>
      <w:r w:rsidR="007E2804">
        <w:t xml:space="preserve"> sector, the </w:t>
      </w:r>
      <w:r w:rsidR="00437CD2">
        <w:t>end-use</w:t>
      </w:r>
      <w:r w:rsidR="007E2804">
        <w:t xml:space="preserve"> assumptions were specified simply in terms of a reduction in final energy consumption. The means of achieving this reduction was left ambiguous, which raises interpretation issues that are discussed below.</w:t>
      </w:r>
    </w:p>
    <w:p w:rsidR="00437CD2" w:rsidRDefault="00437CD2" w:rsidP="00EC548B"/>
    <w:p w:rsidR="004B705F" w:rsidRDefault="004B705F" w:rsidP="005B4EAA">
      <w:pPr>
        <w:pStyle w:val="Caption"/>
        <w:keepNext/>
        <w:rPr>
          <w:rFonts w:cs="Times New Roman"/>
        </w:rPr>
      </w:pPr>
      <w:bookmarkStart w:id="5" w:name="_Ref338945981"/>
      <w:bookmarkStart w:id="6" w:name="_Ref338945975"/>
      <w:proofErr w:type="gramStart"/>
      <w:r>
        <w:t xml:space="preserve">Table </w:t>
      </w:r>
      <w:r w:rsidR="0018725F">
        <w:fldChar w:fldCharType="begin"/>
      </w:r>
      <w:r w:rsidR="0033110E">
        <w:instrText xml:space="preserve"> SEQ Table \* ARABIC </w:instrText>
      </w:r>
      <w:r w:rsidR="0018725F">
        <w:fldChar w:fldCharType="separate"/>
      </w:r>
      <w:r w:rsidR="00353B23">
        <w:rPr>
          <w:noProof/>
        </w:rPr>
        <w:t>2</w:t>
      </w:r>
      <w:r w:rsidR="0018725F">
        <w:rPr>
          <w:noProof/>
        </w:rPr>
        <w:fldChar w:fldCharType="end"/>
      </w:r>
      <w:bookmarkEnd w:id="5"/>
      <w:r>
        <w:t>.</w:t>
      </w:r>
      <w:proofErr w:type="gramEnd"/>
      <w:r>
        <w:t xml:space="preserve"> Technology Assumptions</w:t>
      </w:r>
      <w:bookmarkEnd w:id="6"/>
    </w:p>
    <w:tbl>
      <w:tblPr>
        <w:tblStyle w:val="TableGrid"/>
        <w:tblW w:w="65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278"/>
        <w:gridCol w:w="2511"/>
        <w:gridCol w:w="2790"/>
      </w:tblGrid>
      <w:tr w:rsidR="004B705F" w:rsidRPr="004C3BED" w:rsidTr="00533291">
        <w:trPr>
          <w:cantSplit/>
          <w:jc w:val="center"/>
        </w:trPr>
        <w:tc>
          <w:tcPr>
            <w:tcW w:w="1278" w:type="dxa"/>
            <w:tcBorders>
              <w:top w:val="single" w:sz="12" w:space="0" w:color="auto"/>
              <w:bottom w:val="double" w:sz="4" w:space="0" w:color="auto"/>
            </w:tcBorders>
          </w:tcPr>
          <w:p w:rsidR="00AB76AA" w:rsidRPr="004C3BED" w:rsidRDefault="008C054F" w:rsidP="005B4EAA">
            <w:pPr>
              <w:keepNext/>
              <w:ind w:firstLine="0"/>
              <w:rPr>
                <w:rFonts w:cs="Times New Roman"/>
                <w:b/>
                <w:sz w:val="18"/>
              </w:rPr>
            </w:pPr>
            <w:r w:rsidRPr="004C3BED">
              <w:rPr>
                <w:rFonts w:cs="Times New Roman"/>
                <w:b/>
                <w:sz w:val="18"/>
              </w:rPr>
              <w:t>Technology</w:t>
            </w:r>
          </w:p>
        </w:tc>
        <w:tc>
          <w:tcPr>
            <w:tcW w:w="2511" w:type="dxa"/>
            <w:tcBorders>
              <w:top w:val="single" w:sz="12" w:space="0" w:color="auto"/>
              <w:bottom w:val="double" w:sz="4" w:space="0" w:color="auto"/>
            </w:tcBorders>
          </w:tcPr>
          <w:p w:rsidR="00AB76AA" w:rsidRPr="004C3BED" w:rsidRDefault="00C27979" w:rsidP="005B4EAA">
            <w:pPr>
              <w:keepNext/>
              <w:ind w:firstLine="0"/>
              <w:rPr>
                <w:rFonts w:cs="Times New Roman"/>
                <w:b/>
                <w:sz w:val="18"/>
              </w:rPr>
            </w:pPr>
            <w:r>
              <w:rPr>
                <w:rFonts w:cs="Times New Roman"/>
                <w:b/>
                <w:sz w:val="18"/>
              </w:rPr>
              <w:t>Optimistic</w:t>
            </w:r>
            <w:r w:rsidR="008C054F" w:rsidRPr="004C3BED">
              <w:rPr>
                <w:rFonts w:cs="Times New Roman"/>
                <w:b/>
                <w:sz w:val="18"/>
              </w:rPr>
              <w:t xml:space="preserve"> Tech</w:t>
            </w:r>
          </w:p>
        </w:tc>
        <w:tc>
          <w:tcPr>
            <w:tcW w:w="2790" w:type="dxa"/>
            <w:tcBorders>
              <w:top w:val="single" w:sz="12" w:space="0" w:color="auto"/>
              <w:bottom w:val="double" w:sz="4" w:space="0" w:color="auto"/>
            </w:tcBorders>
          </w:tcPr>
          <w:p w:rsidR="00AB76AA" w:rsidRPr="004C3BED" w:rsidRDefault="00C27979" w:rsidP="005B4EAA">
            <w:pPr>
              <w:keepNext/>
              <w:ind w:firstLine="0"/>
              <w:rPr>
                <w:rFonts w:cs="Times New Roman"/>
                <w:b/>
                <w:sz w:val="18"/>
              </w:rPr>
            </w:pPr>
            <w:r>
              <w:rPr>
                <w:rFonts w:cs="Times New Roman"/>
                <w:b/>
                <w:sz w:val="18"/>
              </w:rPr>
              <w:t>Pessimistic</w:t>
            </w:r>
            <w:r w:rsidR="00D65C57">
              <w:rPr>
                <w:rFonts w:cs="Times New Roman"/>
                <w:b/>
                <w:sz w:val="18"/>
              </w:rPr>
              <w:t xml:space="preserve"> </w:t>
            </w:r>
            <w:r w:rsidR="008C054F" w:rsidRPr="004C3BED">
              <w:rPr>
                <w:rFonts w:cs="Times New Roman"/>
                <w:b/>
                <w:sz w:val="18"/>
              </w:rPr>
              <w:t>Tech</w:t>
            </w:r>
          </w:p>
        </w:tc>
      </w:tr>
      <w:tr w:rsidR="004B705F" w:rsidRPr="004C3BED" w:rsidTr="00533291">
        <w:trPr>
          <w:cantSplit/>
          <w:jc w:val="center"/>
        </w:trPr>
        <w:tc>
          <w:tcPr>
            <w:tcW w:w="1278" w:type="dxa"/>
            <w:tcBorders>
              <w:top w:val="double" w:sz="4" w:space="0" w:color="auto"/>
            </w:tcBorders>
          </w:tcPr>
          <w:p w:rsidR="00AB76AA" w:rsidRPr="004C3BED" w:rsidRDefault="00437CD2" w:rsidP="005B4EAA">
            <w:pPr>
              <w:keepNext/>
              <w:ind w:firstLine="0"/>
              <w:rPr>
                <w:rFonts w:cs="Times New Roman"/>
                <w:b/>
                <w:sz w:val="18"/>
              </w:rPr>
            </w:pPr>
            <w:r>
              <w:rPr>
                <w:rFonts w:cs="Times New Roman"/>
                <w:b/>
                <w:sz w:val="18"/>
              </w:rPr>
              <w:t>End-use</w:t>
            </w:r>
            <w:r w:rsidR="002E6495">
              <w:rPr>
                <w:rFonts w:cs="Times New Roman"/>
                <w:b/>
                <w:sz w:val="18"/>
              </w:rPr>
              <w:t xml:space="preserve"> Energy</w:t>
            </w:r>
          </w:p>
        </w:tc>
        <w:tc>
          <w:tcPr>
            <w:tcW w:w="2511" w:type="dxa"/>
            <w:tcBorders>
              <w:top w:val="double" w:sz="4" w:space="0" w:color="auto"/>
            </w:tcBorders>
          </w:tcPr>
          <w:p w:rsidR="00AB76AA" w:rsidRPr="004C3BED" w:rsidRDefault="00437CD2" w:rsidP="00D65C57">
            <w:pPr>
              <w:keepNext/>
              <w:ind w:firstLine="0"/>
              <w:rPr>
                <w:rFonts w:cs="Times New Roman"/>
                <w:sz w:val="18"/>
              </w:rPr>
            </w:pPr>
            <w:r>
              <w:rPr>
                <w:rFonts w:cs="Times New Roman"/>
                <w:sz w:val="18"/>
              </w:rPr>
              <w:t>End-use</w:t>
            </w:r>
            <w:r w:rsidR="004B705F" w:rsidRPr="004C3BED">
              <w:rPr>
                <w:rFonts w:cs="Times New Roman"/>
                <w:sz w:val="18"/>
              </w:rPr>
              <w:t xml:space="preserve"> assumptions regarding technology </w:t>
            </w:r>
            <w:proofErr w:type="gramStart"/>
            <w:r w:rsidR="004B705F" w:rsidRPr="004C3BED">
              <w:rPr>
                <w:rFonts w:cs="Times New Roman"/>
                <w:sz w:val="18"/>
              </w:rPr>
              <w:t>that lead</w:t>
            </w:r>
            <w:proofErr w:type="gramEnd"/>
            <w:r w:rsidR="004B705F" w:rsidRPr="004C3BED">
              <w:rPr>
                <w:rFonts w:cs="Times New Roman"/>
                <w:sz w:val="18"/>
              </w:rPr>
              <w:t xml:space="preserve"> to a 20% decrease in final energy consumption in 2050 relative to the </w:t>
            </w:r>
            <w:r w:rsidR="00D65C57">
              <w:rPr>
                <w:rFonts w:cs="Times New Roman"/>
                <w:sz w:val="18"/>
              </w:rPr>
              <w:t>pessimistic technology</w:t>
            </w:r>
            <w:r w:rsidR="004B705F" w:rsidRPr="004C3BED">
              <w:rPr>
                <w:rFonts w:cs="Times New Roman"/>
                <w:sz w:val="18"/>
              </w:rPr>
              <w:t>, no policy case.</w:t>
            </w:r>
          </w:p>
        </w:tc>
        <w:tc>
          <w:tcPr>
            <w:tcW w:w="2790" w:type="dxa"/>
            <w:tcBorders>
              <w:top w:val="double" w:sz="4" w:space="0" w:color="auto"/>
            </w:tcBorders>
          </w:tcPr>
          <w:p w:rsidR="00AB76AA" w:rsidRPr="004C3BED" w:rsidRDefault="004B705F" w:rsidP="005B4EAA">
            <w:pPr>
              <w:keepNext/>
              <w:ind w:firstLine="0"/>
              <w:rPr>
                <w:rFonts w:cs="Times New Roman"/>
                <w:sz w:val="18"/>
              </w:rPr>
            </w:pPr>
            <w:r w:rsidRPr="004C3BED">
              <w:rPr>
                <w:rFonts w:cs="Times New Roman"/>
                <w:sz w:val="18"/>
              </w:rPr>
              <w:t>Evolutionary progress. Precise assumptions specif</w:t>
            </w:r>
            <w:r w:rsidR="004C3BED">
              <w:rPr>
                <w:rFonts w:cs="Times New Roman"/>
                <w:sz w:val="18"/>
              </w:rPr>
              <w:t>i</w:t>
            </w:r>
            <w:r w:rsidRPr="004C3BED">
              <w:rPr>
                <w:rFonts w:cs="Times New Roman"/>
                <w:sz w:val="18"/>
              </w:rPr>
              <w:t>ed by individual modeling teams specified by each individual modeler.</w:t>
            </w:r>
          </w:p>
        </w:tc>
      </w:tr>
      <w:tr w:rsidR="004B705F" w:rsidRPr="004C3BED" w:rsidTr="00533291">
        <w:trPr>
          <w:cantSplit/>
          <w:jc w:val="center"/>
        </w:trPr>
        <w:tc>
          <w:tcPr>
            <w:tcW w:w="1278" w:type="dxa"/>
          </w:tcPr>
          <w:p w:rsidR="00AB76AA" w:rsidRPr="004C3BED" w:rsidRDefault="008C054F" w:rsidP="005B4EAA">
            <w:pPr>
              <w:keepNext/>
              <w:ind w:firstLine="0"/>
              <w:rPr>
                <w:rFonts w:cs="Times New Roman"/>
                <w:b/>
                <w:sz w:val="18"/>
              </w:rPr>
            </w:pPr>
            <w:r w:rsidRPr="004C3BED">
              <w:rPr>
                <w:rFonts w:cs="Times New Roman"/>
                <w:b/>
                <w:sz w:val="18"/>
              </w:rPr>
              <w:t>Carbon Capture and Storage (CCS)</w:t>
            </w:r>
          </w:p>
        </w:tc>
        <w:tc>
          <w:tcPr>
            <w:tcW w:w="2511" w:type="dxa"/>
          </w:tcPr>
          <w:p w:rsidR="00AB76AA" w:rsidRPr="004C3BED" w:rsidRDefault="004B705F" w:rsidP="005B4EAA">
            <w:pPr>
              <w:keepNext/>
              <w:ind w:firstLine="0"/>
              <w:rPr>
                <w:rFonts w:cs="Times New Roman"/>
                <w:sz w:val="18"/>
              </w:rPr>
            </w:pPr>
            <w:r w:rsidRPr="004C3BED">
              <w:rPr>
                <w:rFonts w:cs="Times New Roman"/>
                <w:sz w:val="18"/>
              </w:rPr>
              <w:t>CCS is available. Cost and performance assumptions specif</w:t>
            </w:r>
            <w:r w:rsidR="004C3BED">
              <w:rPr>
                <w:rFonts w:cs="Times New Roman"/>
                <w:sz w:val="18"/>
              </w:rPr>
              <w:t>i</w:t>
            </w:r>
            <w:r w:rsidRPr="004C3BED">
              <w:rPr>
                <w:rFonts w:cs="Times New Roman"/>
                <w:sz w:val="18"/>
              </w:rPr>
              <w:t>ed by individual modeling teams</w:t>
            </w:r>
          </w:p>
        </w:tc>
        <w:tc>
          <w:tcPr>
            <w:tcW w:w="2790" w:type="dxa"/>
          </w:tcPr>
          <w:p w:rsidR="00AB76AA" w:rsidRPr="004C3BED" w:rsidRDefault="004B705F" w:rsidP="005B4EAA">
            <w:pPr>
              <w:keepNext/>
              <w:ind w:firstLine="0"/>
              <w:rPr>
                <w:rFonts w:cs="Times New Roman"/>
                <w:sz w:val="18"/>
              </w:rPr>
            </w:pPr>
            <w:r w:rsidRPr="004C3BED">
              <w:rPr>
                <w:rFonts w:cs="Times New Roman"/>
                <w:sz w:val="18"/>
              </w:rPr>
              <w:t>No implementation of CCS.</w:t>
            </w:r>
          </w:p>
        </w:tc>
      </w:tr>
      <w:tr w:rsidR="004B705F" w:rsidRPr="004C3BED" w:rsidTr="00533291">
        <w:trPr>
          <w:cantSplit/>
          <w:jc w:val="center"/>
        </w:trPr>
        <w:tc>
          <w:tcPr>
            <w:tcW w:w="1278" w:type="dxa"/>
          </w:tcPr>
          <w:p w:rsidR="00AB76AA" w:rsidRPr="004C3BED" w:rsidRDefault="008C054F" w:rsidP="005B4EAA">
            <w:pPr>
              <w:keepNext/>
              <w:ind w:firstLine="0"/>
              <w:rPr>
                <w:rFonts w:cs="Times New Roman"/>
                <w:b/>
                <w:sz w:val="18"/>
              </w:rPr>
            </w:pPr>
            <w:r w:rsidRPr="004C3BED">
              <w:rPr>
                <w:rFonts w:cs="Times New Roman"/>
                <w:b/>
                <w:sz w:val="18"/>
              </w:rPr>
              <w:t>Nuclear</w:t>
            </w:r>
          </w:p>
        </w:tc>
        <w:tc>
          <w:tcPr>
            <w:tcW w:w="2511" w:type="dxa"/>
          </w:tcPr>
          <w:p w:rsidR="00AB76AA" w:rsidRPr="004C3BED" w:rsidRDefault="004B705F" w:rsidP="005B4EAA">
            <w:pPr>
              <w:keepNext/>
              <w:ind w:firstLine="0"/>
              <w:rPr>
                <w:rFonts w:cs="Times New Roman"/>
                <w:sz w:val="18"/>
              </w:rPr>
            </w:pPr>
            <w:r w:rsidRPr="004C3BED">
              <w:rPr>
                <w:rFonts w:cs="Times New Roman"/>
                <w:sz w:val="18"/>
              </w:rPr>
              <w:t>Nuclear is fully available. Cost and performance specified by each modeling team.</w:t>
            </w:r>
          </w:p>
        </w:tc>
        <w:tc>
          <w:tcPr>
            <w:tcW w:w="2790" w:type="dxa"/>
          </w:tcPr>
          <w:p w:rsidR="00AB76AA" w:rsidRPr="004C3BED" w:rsidRDefault="004B705F" w:rsidP="005B4EAA">
            <w:pPr>
              <w:keepNext/>
              <w:ind w:firstLine="0"/>
              <w:rPr>
                <w:rFonts w:cs="Times New Roman"/>
                <w:sz w:val="18"/>
              </w:rPr>
            </w:pPr>
            <w:r w:rsidRPr="004C3BED">
              <w:rPr>
                <w:rFonts w:cs="Times New Roman"/>
                <w:sz w:val="18"/>
              </w:rPr>
              <w:t>Nuclear is phased-out after 2010. No new construction of plants beyond those under construction or planned. Total plant lifetime limited to 60 years.</w:t>
            </w:r>
          </w:p>
        </w:tc>
      </w:tr>
      <w:tr w:rsidR="004B705F" w:rsidRPr="004C3BED" w:rsidTr="00533291">
        <w:trPr>
          <w:cantSplit/>
          <w:jc w:val="center"/>
        </w:trPr>
        <w:tc>
          <w:tcPr>
            <w:tcW w:w="1278" w:type="dxa"/>
          </w:tcPr>
          <w:p w:rsidR="00AB76AA" w:rsidRPr="004C3BED" w:rsidRDefault="008C054F" w:rsidP="005B4EAA">
            <w:pPr>
              <w:keepNext/>
              <w:ind w:firstLine="0"/>
              <w:rPr>
                <w:rFonts w:cs="Times New Roman"/>
                <w:b/>
                <w:sz w:val="18"/>
              </w:rPr>
            </w:pPr>
            <w:r w:rsidRPr="004C3BED">
              <w:rPr>
                <w:rFonts w:cs="Times New Roman"/>
                <w:b/>
                <w:sz w:val="18"/>
              </w:rPr>
              <w:t>Wind and Solar Energy</w:t>
            </w:r>
          </w:p>
        </w:tc>
        <w:tc>
          <w:tcPr>
            <w:tcW w:w="2511" w:type="dxa"/>
          </w:tcPr>
          <w:p w:rsidR="00AB76AA" w:rsidRPr="004C3BED" w:rsidRDefault="004B705F" w:rsidP="005B4EAA">
            <w:pPr>
              <w:keepNext/>
              <w:ind w:firstLine="0"/>
              <w:rPr>
                <w:rFonts w:cs="Times New Roman"/>
                <w:sz w:val="18"/>
              </w:rPr>
            </w:pPr>
            <w:r w:rsidRPr="004C3BED">
              <w:rPr>
                <w:rFonts w:cs="Times New Roman"/>
                <w:sz w:val="18"/>
              </w:rPr>
              <w:t>Plausibly optimistic technology development. Cost and performance assumptions specified by individual modeling teams.</w:t>
            </w:r>
          </w:p>
        </w:tc>
        <w:tc>
          <w:tcPr>
            <w:tcW w:w="2790" w:type="dxa"/>
          </w:tcPr>
          <w:p w:rsidR="00AB76AA" w:rsidRPr="004C3BED" w:rsidRDefault="004B705F" w:rsidP="005B4EAA">
            <w:pPr>
              <w:keepNext/>
              <w:ind w:firstLine="0"/>
              <w:rPr>
                <w:rFonts w:cs="Times New Roman"/>
                <w:sz w:val="18"/>
              </w:rPr>
            </w:pPr>
            <w:r w:rsidRPr="004C3BED">
              <w:rPr>
                <w:rFonts w:cs="Times New Roman"/>
                <w:sz w:val="18"/>
              </w:rPr>
              <w:t>Evolutionary technology development. Cost and performance assumptions specified by individual modeling teams</w:t>
            </w:r>
          </w:p>
        </w:tc>
      </w:tr>
      <w:tr w:rsidR="004B705F" w:rsidRPr="004C3BED" w:rsidTr="00533291">
        <w:trPr>
          <w:cantSplit/>
          <w:jc w:val="center"/>
        </w:trPr>
        <w:tc>
          <w:tcPr>
            <w:tcW w:w="1278" w:type="dxa"/>
          </w:tcPr>
          <w:p w:rsidR="00AB76AA" w:rsidRPr="004C3BED" w:rsidRDefault="008C054F" w:rsidP="005B4EAA">
            <w:pPr>
              <w:keepNext/>
              <w:ind w:firstLine="0"/>
              <w:rPr>
                <w:rFonts w:cs="Times New Roman"/>
                <w:b/>
                <w:sz w:val="18"/>
              </w:rPr>
            </w:pPr>
            <w:r w:rsidRPr="004C3BED">
              <w:rPr>
                <w:rFonts w:cs="Times New Roman"/>
                <w:b/>
                <w:sz w:val="18"/>
              </w:rPr>
              <w:t>Bioenergy</w:t>
            </w:r>
          </w:p>
        </w:tc>
        <w:tc>
          <w:tcPr>
            <w:tcW w:w="2511" w:type="dxa"/>
          </w:tcPr>
          <w:p w:rsidR="00AB76AA" w:rsidRPr="004C3BED" w:rsidRDefault="004B705F" w:rsidP="005B4EAA">
            <w:pPr>
              <w:keepNext/>
              <w:ind w:firstLine="0"/>
              <w:rPr>
                <w:rFonts w:cs="Times New Roman"/>
                <w:sz w:val="18"/>
              </w:rPr>
            </w:pPr>
            <w:r w:rsidRPr="004C3BED">
              <w:rPr>
                <w:rFonts w:cs="Times New Roman"/>
                <w:sz w:val="18"/>
              </w:rPr>
              <w:t>Plausibly optimistic level of sustainable supply. Supply assumptions specified by individual modeling teams.</w:t>
            </w:r>
          </w:p>
        </w:tc>
        <w:tc>
          <w:tcPr>
            <w:tcW w:w="2790" w:type="dxa"/>
          </w:tcPr>
          <w:p w:rsidR="00AB76AA" w:rsidRPr="004C3BED" w:rsidRDefault="004B705F" w:rsidP="005B4EAA">
            <w:pPr>
              <w:keepNext/>
              <w:ind w:firstLine="0"/>
              <w:rPr>
                <w:rFonts w:cs="Times New Roman"/>
                <w:sz w:val="18"/>
              </w:rPr>
            </w:pPr>
            <w:r w:rsidRPr="004C3BED">
              <w:rPr>
                <w:rFonts w:cs="Times New Roman"/>
                <w:sz w:val="18"/>
              </w:rPr>
              <w:t>Evolutionary technology development representing the lower end of sustainable supply. Supply assumptions specified by individual modeling teams.</w:t>
            </w:r>
          </w:p>
        </w:tc>
      </w:tr>
    </w:tbl>
    <w:p w:rsidR="004B705F" w:rsidRDefault="004B705F" w:rsidP="004B705F">
      <w:pPr>
        <w:rPr>
          <w:rFonts w:cs="Times New Roman"/>
        </w:rPr>
      </w:pPr>
    </w:p>
    <w:p w:rsidR="00372BBA" w:rsidRDefault="00EC548B" w:rsidP="00AA3BA4">
      <w:r>
        <w:t xml:space="preserve">The </w:t>
      </w:r>
      <w:r w:rsidR="00807F22">
        <w:t>EMF 24 T</w:t>
      </w:r>
      <w:r>
        <w:t xml:space="preserve">echnology </w:t>
      </w:r>
      <w:r w:rsidR="00807F22">
        <w:t>S</w:t>
      </w:r>
      <w:r>
        <w:t xml:space="preserve">cenarios </w:t>
      </w:r>
      <w:r w:rsidR="004B705F">
        <w:t>(</w:t>
      </w:r>
      <w:r w:rsidR="0018725F">
        <w:fldChar w:fldCharType="begin"/>
      </w:r>
      <w:r w:rsidR="00F4648C">
        <w:instrText xml:space="preserve"> REF _Ref345003201 \h </w:instrText>
      </w:r>
      <w:r w:rsidR="0018725F">
        <w:fldChar w:fldCharType="separate"/>
      </w:r>
      <w:r w:rsidR="00353B23" w:rsidRPr="00DD3015">
        <w:t xml:space="preserve">Table </w:t>
      </w:r>
      <w:r w:rsidR="00353B23">
        <w:rPr>
          <w:noProof/>
        </w:rPr>
        <w:t>1</w:t>
      </w:r>
      <w:r w:rsidR="0018725F">
        <w:fldChar w:fldCharType="end"/>
      </w:r>
      <w:r w:rsidR="004B705F">
        <w:t xml:space="preserve">) </w:t>
      </w:r>
      <w:r>
        <w:t>represent different combinations of technology sensitivities</w:t>
      </w:r>
      <w:r w:rsidR="00437CD2">
        <w:t xml:space="preserve"> </w:t>
      </w:r>
      <w:r w:rsidR="007E2804">
        <w:t>(</w:t>
      </w:r>
      <w:r w:rsidR="0018725F">
        <w:fldChar w:fldCharType="begin"/>
      </w:r>
      <w:r w:rsidR="004B705F">
        <w:instrText xml:space="preserve"> REF _Ref338945981 \h </w:instrText>
      </w:r>
      <w:r w:rsidR="0018725F">
        <w:fldChar w:fldCharType="separate"/>
      </w:r>
      <w:r w:rsidR="00353B23">
        <w:t xml:space="preserve">Table </w:t>
      </w:r>
      <w:r w:rsidR="00353B23">
        <w:rPr>
          <w:noProof/>
        </w:rPr>
        <w:t>2</w:t>
      </w:r>
      <w:r w:rsidR="0018725F">
        <w:fldChar w:fldCharType="end"/>
      </w:r>
      <w:r w:rsidR="007E2804">
        <w:t>)</w:t>
      </w:r>
      <w:r>
        <w:t xml:space="preserve">. They are bracketed by </w:t>
      </w:r>
      <w:r w:rsidR="009376EA">
        <w:t xml:space="preserve">Optimistic </w:t>
      </w:r>
      <w:r>
        <w:t>Tech</w:t>
      </w:r>
      <w:r w:rsidR="00807F22">
        <w:t>nology</w:t>
      </w:r>
      <w:r>
        <w:t xml:space="preserve"> and </w:t>
      </w:r>
      <w:r w:rsidR="00C27979">
        <w:t>Pessimistic</w:t>
      </w:r>
      <w:r w:rsidR="00D65C57">
        <w:t xml:space="preserve"> </w:t>
      </w:r>
      <w:r>
        <w:t>Tech</w:t>
      </w:r>
      <w:r w:rsidR="00807F22">
        <w:t>nology</w:t>
      </w:r>
      <w:r>
        <w:t xml:space="preserve"> </w:t>
      </w:r>
      <w:r w:rsidR="00807F22">
        <w:t>assumptions</w:t>
      </w:r>
      <w:r>
        <w:t xml:space="preserve">, which hold all technologies at their respective </w:t>
      </w:r>
      <w:r w:rsidR="002A5BF0">
        <w:t xml:space="preserve">optimistic </w:t>
      </w:r>
      <w:r>
        <w:t xml:space="preserve">and </w:t>
      </w:r>
      <w:r w:rsidR="00C27979">
        <w:t xml:space="preserve">pessimistic </w:t>
      </w:r>
      <w:r>
        <w:t xml:space="preserve">sensitivities. A set of </w:t>
      </w:r>
      <w:r w:rsidR="004525CE">
        <w:t>three</w:t>
      </w:r>
      <w:r>
        <w:t xml:space="preserve"> single technology sensitivities test the effect of switching </w:t>
      </w:r>
      <w:r w:rsidR="004525CE">
        <w:t xml:space="preserve">from optimistic assumptions about </w:t>
      </w:r>
      <w:r>
        <w:t xml:space="preserve">end-use, CCS, </w:t>
      </w:r>
      <w:r w:rsidR="004525CE">
        <w:t xml:space="preserve">and </w:t>
      </w:r>
      <w:r>
        <w:t>nuclear</w:t>
      </w:r>
      <w:r w:rsidR="0075580F">
        <w:t xml:space="preserve"> </w:t>
      </w:r>
      <w:proofErr w:type="spellStart"/>
      <w:r w:rsidR="0075580F">
        <w:t>to</w:t>
      </w:r>
      <w:proofErr w:type="spellEnd"/>
      <w:r w:rsidR="0075580F">
        <w:t xml:space="preserve"> </w:t>
      </w:r>
      <w:r w:rsidR="002A5BF0">
        <w:t xml:space="preserve">pessimistic </w:t>
      </w:r>
      <w:r w:rsidR="004525CE">
        <w:t>assumptions while maintaining optimistic assumptions for all other technologies</w:t>
      </w:r>
      <w:r w:rsidR="0075580F">
        <w:t>. Three</w:t>
      </w:r>
      <w:r>
        <w:t xml:space="preserve"> combined sensitivities, </w:t>
      </w:r>
      <w:r w:rsidR="00C27979">
        <w:t xml:space="preserve">Pessimistic </w:t>
      </w:r>
      <w:r w:rsidR="00306870">
        <w:t>CCS/</w:t>
      </w:r>
      <w:proofErr w:type="spellStart"/>
      <w:r w:rsidR="00306870">
        <w:t>Nuc</w:t>
      </w:r>
      <w:proofErr w:type="spellEnd"/>
      <w:r w:rsidR="0075580F">
        <w:t xml:space="preserve">, </w:t>
      </w:r>
      <w:r w:rsidR="00C27979">
        <w:t xml:space="preserve">Pessimistic </w:t>
      </w:r>
      <w:r w:rsidR="0075580F">
        <w:t>Renew</w:t>
      </w:r>
      <w:r w:rsidR="004525CE">
        <w:t>able</w:t>
      </w:r>
      <w:r w:rsidR="0075580F">
        <w:t xml:space="preserve">, and </w:t>
      </w:r>
      <w:r w:rsidR="00C27979">
        <w:t xml:space="preserve">Pessimistic </w:t>
      </w:r>
      <w:r w:rsidR="00437CD2">
        <w:t>End-Use</w:t>
      </w:r>
      <w:r w:rsidR="00637C97">
        <w:t xml:space="preserve"> </w:t>
      </w:r>
      <w:r w:rsidR="004525CE">
        <w:t xml:space="preserve">Energy </w:t>
      </w:r>
      <w:r>
        <w:t>and Renewable Energy (</w:t>
      </w:r>
      <w:r w:rsidR="00D65C57">
        <w:t>E</w:t>
      </w:r>
      <w:r w:rsidR="004525CE">
        <w:t>E</w:t>
      </w:r>
      <w:r>
        <w:t xml:space="preserve">RE) examine the effect of limiting the energy system transition to pathways that rely on </w:t>
      </w:r>
      <w:r w:rsidR="00D96366">
        <w:t xml:space="preserve">particular combinations of technologies. </w:t>
      </w:r>
      <w:r w:rsidR="00E06BEE">
        <w:t xml:space="preserve">Scenarios based on </w:t>
      </w:r>
      <w:r w:rsidR="00C27979">
        <w:t xml:space="preserve">Pessimistic </w:t>
      </w:r>
      <w:r w:rsidR="00306870">
        <w:t>CCS/</w:t>
      </w:r>
      <w:proofErr w:type="spellStart"/>
      <w:r w:rsidR="00306870">
        <w:t>Nuc</w:t>
      </w:r>
      <w:proofErr w:type="spellEnd"/>
      <w:r w:rsidR="00D96366">
        <w:t xml:space="preserve"> </w:t>
      </w:r>
      <w:r w:rsidR="00E06BEE">
        <w:t xml:space="preserve">assumptions rely </w:t>
      </w:r>
      <w:r w:rsidR="00D96366">
        <w:t xml:space="preserve">exclusively on </w:t>
      </w:r>
      <w:r w:rsidR="00437CD2">
        <w:t>end-use</w:t>
      </w:r>
      <w:r w:rsidR="00D96366">
        <w:t xml:space="preserve"> reductions and </w:t>
      </w:r>
      <w:r w:rsidR="007B366A">
        <w:t>renewable sources</w:t>
      </w:r>
      <w:r w:rsidR="00D96366">
        <w:t xml:space="preserve">, because deployment of CCS and nuclear energy is constrained. </w:t>
      </w:r>
      <w:r w:rsidR="00E06BEE">
        <w:t xml:space="preserve">Scenarios based on the </w:t>
      </w:r>
      <w:r w:rsidR="00C27979">
        <w:t xml:space="preserve">Pessimistic </w:t>
      </w:r>
      <w:r w:rsidR="0075580F">
        <w:lastRenderedPageBreak/>
        <w:t>Renew</w:t>
      </w:r>
      <w:r w:rsidR="00E06BEE">
        <w:t>able</w:t>
      </w:r>
      <w:r w:rsidR="00D96366">
        <w:t xml:space="preserve"> </w:t>
      </w:r>
      <w:r w:rsidR="00E06BEE">
        <w:t xml:space="preserve">assumptions </w:t>
      </w:r>
      <w:r w:rsidR="00D96366">
        <w:t xml:space="preserve">assume the availability of </w:t>
      </w:r>
      <w:r w:rsidR="0075580F">
        <w:t>CCS and nuclear energy</w:t>
      </w:r>
      <w:r w:rsidR="00D96366">
        <w:t xml:space="preserve">, but </w:t>
      </w:r>
      <w:r w:rsidR="00DB53EF">
        <w:t xml:space="preserve">uses </w:t>
      </w:r>
      <w:r w:rsidR="00D96366">
        <w:t>le</w:t>
      </w:r>
      <w:r w:rsidR="0075580F">
        <w:t>ss optimistic assumptions about</w:t>
      </w:r>
      <w:r w:rsidR="00D96366">
        <w:t xml:space="preserve"> renewable technologies.</w:t>
      </w:r>
      <w:r w:rsidR="0075580F">
        <w:t xml:space="preserve"> </w:t>
      </w:r>
      <w:r w:rsidR="00E06BEE">
        <w:t xml:space="preserve">The </w:t>
      </w:r>
      <w:r w:rsidR="00C27979">
        <w:t xml:space="preserve">Pessimistic </w:t>
      </w:r>
      <w:r w:rsidR="002A5BF0">
        <w:t>E</w:t>
      </w:r>
      <w:r w:rsidR="007B366A">
        <w:t>E</w:t>
      </w:r>
      <w:r w:rsidR="002A5BF0">
        <w:t xml:space="preserve">RE </w:t>
      </w:r>
      <w:r w:rsidR="00E06BEE">
        <w:t xml:space="preserve">technology assumptions </w:t>
      </w:r>
      <w:r w:rsidR="0075580F">
        <w:t xml:space="preserve">add </w:t>
      </w:r>
      <w:r w:rsidR="00D65C57">
        <w:t>pessimistic</w:t>
      </w:r>
      <w:r w:rsidR="0075580F">
        <w:t xml:space="preserve"> assumptions about end-use energy to the </w:t>
      </w:r>
      <w:r w:rsidR="00C27979">
        <w:t xml:space="preserve">Pessimistic </w:t>
      </w:r>
      <w:r w:rsidR="0075580F">
        <w:t>Renew</w:t>
      </w:r>
      <w:r w:rsidR="00E06BEE">
        <w:t>able</w:t>
      </w:r>
      <w:r w:rsidR="0075580F">
        <w:t xml:space="preserve"> </w:t>
      </w:r>
      <w:r w:rsidR="00E06BEE">
        <w:t>assumptions</w:t>
      </w:r>
      <w:r w:rsidR="0075580F">
        <w:t>.</w:t>
      </w:r>
    </w:p>
    <w:p w:rsidR="00D96366" w:rsidRDefault="00372BBA" w:rsidP="00AA3BA4">
      <w:r>
        <w:t>Several observations are important for interpretation of these scenarios.</w:t>
      </w:r>
      <w:r w:rsidR="00F248EE">
        <w:t xml:space="preserve"> First, although the assumptions across technology categories were chosen to be roughly comparable, in practice this is </w:t>
      </w:r>
      <w:r w:rsidR="007B366A">
        <w:t>an</w:t>
      </w:r>
      <w:r w:rsidR="00F4648C">
        <w:t xml:space="preserve"> </w:t>
      </w:r>
      <w:r w:rsidR="00D96366">
        <w:t xml:space="preserve">imprecise and </w:t>
      </w:r>
      <w:r w:rsidR="00F248EE">
        <w:t xml:space="preserve">subjective decision. </w:t>
      </w:r>
      <w:r w:rsidR="00C2593A">
        <w:t xml:space="preserve">It is difficult, for example, </w:t>
      </w:r>
      <w:r w:rsidR="00D96366">
        <w:t xml:space="preserve">to </w:t>
      </w:r>
      <w:r w:rsidR="00C2593A">
        <w:t xml:space="preserve">assess the likelihood of the </w:t>
      </w:r>
      <w:r w:rsidR="00437CD2">
        <w:t>end-use</w:t>
      </w:r>
      <w:r w:rsidR="00C2593A">
        <w:t xml:space="preserve"> energy reductions </w:t>
      </w:r>
      <w:r w:rsidR="00D96366">
        <w:t xml:space="preserve">assumed in this study </w:t>
      </w:r>
      <w:r w:rsidR="00C2593A">
        <w:t xml:space="preserve">relative to the constraints on CCS or nuclear energy. </w:t>
      </w:r>
      <w:r w:rsidR="00D96366">
        <w:t>Second</w:t>
      </w:r>
      <w:r w:rsidR="00F248EE">
        <w:t xml:space="preserve">, with </w:t>
      </w:r>
      <w:r w:rsidR="0026514A">
        <w:t>the exception of nuclear and CCS assumptions</w:t>
      </w:r>
      <w:r w:rsidR="00F248EE">
        <w:t xml:space="preserve">, the precise of specifications of many of the technology assumptions </w:t>
      </w:r>
      <w:r w:rsidR="009B5621">
        <w:t xml:space="preserve">(e.g., for renewable power) </w:t>
      </w:r>
      <w:r w:rsidR="00F248EE">
        <w:t>were left to the individual modeling teams, who undoubtedly chose different values.</w:t>
      </w:r>
      <w:r w:rsidR="0026514A">
        <w:t xml:space="preserve"> </w:t>
      </w:r>
      <w:r w:rsidR="00D96366">
        <w:t xml:space="preserve">This means that it is difficult to consistently ascertain the implications of, for example, more optimistic wind and solar assumptions. One reason for this decentralized approach was that the models have very different methods of representing these technologies. </w:t>
      </w:r>
      <w:r w:rsidR="00C02F35">
        <w:t xml:space="preserve">Third, the costs of achieving </w:t>
      </w:r>
      <w:r w:rsidR="00F24D18">
        <w:t xml:space="preserve">Optimistic </w:t>
      </w:r>
      <w:r w:rsidR="00807F22">
        <w:t xml:space="preserve">Technology </w:t>
      </w:r>
      <w:r w:rsidR="00C02F35">
        <w:t xml:space="preserve">assumptions are not specified for any of the scenarios. For example, </w:t>
      </w:r>
      <w:r w:rsidR="00EB70AD">
        <w:t>research, development, and demonstration</w:t>
      </w:r>
      <w:r w:rsidR="007B366A">
        <w:t xml:space="preserve"> (RD&amp;D)</w:t>
      </w:r>
      <w:r w:rsidR="00C02F35">
        <w:t xml:space="preserve"> costs are not specified. This means that the cost difference between</w:t>
      </w:r>
      <w:r w:rsidR="00807F22">
        <w:t xml:space="preserve"> scenarios based on </w:t>
      </w:r>
      <w:r w:rsidR="00F24D18">
        <w:t>Pessimisti</w:t>
      </w:r>
      <w:r w:rsidR="00EB70AD">
        <w:t>c</w:t>
      </w:r>
      <w:r w:rsidR="00F24D18">
        <w:t xml:space="preserve"> </w:t>
      </w:r>
      <w:r w:rsidR="00807F22">
        <w:t xml:space="preserve">Technology </w:t>
      </w:r>
      <w:r w:rsidR="00C02F35">
        <w:t xml:space="preserve">and </w:t>
      </w:r>
      <w:r w:rsidR="00F24D18">
        <w:t xml:space="preserve">Optimistic </w:t>
      </w:r>
      <w:r w:rsidR="00807F22">
        <w:t xml:space="preserve">Technology assumptions </w:t>
      </w:r>
      <w:r w:rsidR="00C02F35">
        <w:t xml:space="preserve">is </w:t>
      </w:r>
      <w:r w:rsidR="00C2593A">
        <w:t xml:space="preserve">biased toward </w:t>
      </w:r>
      <w:r w:rsidR="0026514A">
        <w:t>over</w:t>
      </w:r>
      <w:r w:rsidR="00C2593A">
        <w:t xml:space="preserve">estimation </w:t>
      </w:r>
      <w:r w:rsidR="00C02F35">
        <w:t xml:space="preserve">in all cases by the additional investment that would be required to reach the </w:t>
      </w:r>
      <w:r w:rsidR="00F24D18">
        <w:t xml:space="preserve">Optimistic </w:t>
      </w:r>
      <w:r w:rsidR="00807F22">
        <w:t xml:space="preserve">Technology </w:t>
      </w:r>
      <w:r w:rsidR="00C02F35">
        <w:t>assumptions.</w:t>
      </w:r>
      <w:r w:rsidR="0026514A">
        <w:t xml:space="preserve"> </w:t>
      </w:r>
      <w:r w:rsidR="00EC548B">
        <w:t xml:space="preserve">The treatment of </w:t>
      </w:r>
      <w:r w:rsidR="00437CD2">
        <w:t>end-use</w:t>
      </w:r>
      <w:r w:rsidR="00EC548B">
        <w:t xml:space="preserve"> measures is particularly </w:t>
      </w:r>
      <w:r w:rsidR="004B705F">
        <w:t xml:space="preserve">ambiguous </w:t>
      </w:r>
      <w:r w:rsidR="00EC548B">
        <w:t xml:space="preserve">in this regard. </w:t>
      </w:r>
      <w:r w:rsidR="004B705F">
        <w:t>I</w:t>
      </w:r>
      <w:r w:rsidR="00AF3497">
        <w:t xml:space="preserve">mprovements in end-use efficiency </w:t>
      </w:r>
      <w:r w:rsidR="004B705F">
        <w:t xml:space="preserve">could </w:t>
      </w:r>
      <w:r w:rsidR="00AF3497">
        <w:t>involve a mix of both improvements in technology and changes in policy</w:t>
      </w:r>
      <w:r w:rsidR="0076220A">
        <w:rPr>
          <w:rFonts w:cstheme="minorHAnsi"/>
        </w:rPr>
        <w:t>—</w:t>
      </w:r>
      <w:r w:rsidR="004B705F">
        <w:t>for example, appliance efficiency standards</w:t>
      </w:r>
      <w:r w:rsidR="0076220A">
        <w:rPr>
          <w:rFonts w:cstheme="minorHAnsi"/>
        </w:rPr>
        <w:t>—</w:t>
      </w:r>
      <w:r w:rsidR="00AF3497">
        <w:t xml:space="preserve">to spur adoption. </w:t>
      </w:r>
      <w:r w:rsidR="00D96366">
        <w:t xml:space="preserve">The precise role of each of these is unspecified. </w:t>
      </w:r>
      <w:r w:rsidR="00F225B5">
        <w:t xml:space="preserve">To interpret the </w:t>
      </w:r>
      <w:r w:rsidR="00437CD2">
        <w:t>end-use</w:t>
      </w:r>
      <w:r w:rsidR="00F225B5">
        <w:t xml:space="preserve"> assumptions in a manner that is consistent with the supply-side assumptions, it is necessary to assume that all of the energy </w:t>
      </w:r>
      <w:r w:rsidR="00437CD2">
        <w:t>end-use</w:t>
      </w:r>
      <w:r w:rsidR="00F225B5">
        <w:t xml:space="preserve"> reductions occurred because of the availability of new technology with higher efficiency but without additional cost. </w:t>
      </w:r>
      <w:r w:rsidR="004B705F">
        <w:t>In addition</w:t>
      </w:r>
      <w:r w:rsidR="00F225B5">
        <w:t xml:space="preserve"> to the ambiguity of the source of </w:t>
      </w:r>
      <w:r w:rsidR="00437CD2">
        <w:t>end-use</w:t>
      </w:r>
      <w:r w:rsidR="00F225B5">
        <w:t xml:space="preserve"> energy reductions</w:t>
      </w:r>
      <w:r w:rsidR="004B705F">
        <w:t xml:space="preserve">, there are known market failures in </w:t>
      </w:r>
      <w:r w:rsidR="00AA3BA4">
        <w:t xml:space="preserve">markets for </w:t>
      </w:r>
      <w:r w:rsidR="00437CD2">
        <w:t>end-use</w:t>
      </w:r>
      <w:r w:rsidR="00AA3BA4">
        <w:t xml:space="preserve"> efficiency that further complicate the welfare costs of implementing energy </w:t>
      </w:r>
      <w:r w:rsidR="00437CD2">
        <w:t>end-use</w:t>
      </w:r>
      <w:r w:rsidR="00AA3BA4">
        <w:t xml:space="preserve"> measures. </w:t>
      </w:r>
    </w:p>
    <w:p w:rsidR="00856848" w:rsidRDefault="00AA3BA4" w:rsidP="00AA3BA4">
      <w:pPr>
        <w:rPr>
          <w:rFonts w:cs="Times New Roman"/>
        </w:rPr>
      </w:pPr>
      <w:r>
        <w:t xml:space="preserve">All told, then, the differences in results arising from differences between technology </w:t>
      </w:r>
      <w:r w:rsidR="00807F22">
        <w:t xml:space="preserve">assumptions </w:t>
      </w:r>
      <w:r>
        <w:t xml:space="preserve">in this study should be interpreted </w:t>
      </w:r>
      <w:r w:rsidR="00D96366">
        <w:t>carefully and precisely</w:t>
      </w:r>
      <w:r>
        <w:t>. On the one hand, it is possible to draw some conclusions about the implications of different technologies</w:t>
      </w:r>
      <w:r w:rsidR="00C2593A">
        <w:t xml:space="preserve"> at a broad level</w:t>
      </w:r>
      <w:r>
        <w:t xml:space="preserve">. On the other hand, these results are highly </w:t>
      </w:r>
      <w:r w:rsidR="00F4648C">
        <w:t xml:space="preserve">dependent on </w:t>
      </w:r>
      <w:r>
        <w:t>assumptions and may miss underlying costs</w:t>
      </w:r>
      <w:r w:rsidR="00C2593A">
        <w:t>, so precision is limited.</w:t>
      </w:r>
      <w:bookmarkStart w:id="7" w:name="_Ref338342462"/>
      <w:bookmarkStart w:id="8" w:name="_Ref338342451"/>
    </w:p>
    <w:bookmarkEnd w:id="7"/>
    <w:bookmarkEnd w:id="8"/>
    <w:p w:rsidR="00801152" w:rsidRDefault="008C054F" w:rsidP="00AA3BA4">
      <w:r w:rsidRPr="000D5284">
        <w:t xml:space="preserve">The policy dimension of these scenarios is based on an economy-wide carbon price leading to </w:t>
      </w:r>
      <w:r w:rsidR="00D96366">
        <w:t xml:space="preserve">linear </w:t>
      </w:r>
      <w:r w:rsidRPr="000D5284">
        <w:t>reductions in cumulative emissions of greenhouse gases over the period from 2012 through 2050.</w:t>
      </w:r>
      <w:r w:rsidR="00D96366">
        <w:t xml:space="preserve"> Reductions </w:t>
      </w:r>
      <w:r w:rsidR="008320B7">
        <w:t>are</w:t>
      </w:r>
      <w:r w:rsidR="00D96366">
        <w:t xml:space="preserve"> specified as reaching either 50% below 2005 levels or 80% below 2005 levels in 2050. </w:t>
      </w:r>
      <w:r w:rsidR="00D96366" w:rsidRPr="000D5284">
        <w:t>Banking of allowances is allowed, but borrowing of allowances is not permitted.</w:t>
      </w:r>
      <w:r w:rsidR="00D96366">
        <w:t xml:space="preserve"> In cases where models found banking to be cost-effective, the linear pathway was not sufficient to characterize the scenarios, so a cumulative total was required.</w:t>
      </w:r>
      <w:r w:rsidR="005441EA">
        <w:t xml:space="preserve"> </w:t>
      </w:r>
      <w:r w:rsidR="00D96366">
        <w:t xml:space="preserve">The emissions </w:t>
      </w:r>
      <w:r w:rsidRPr="000D5284">
        <w:t>cap covers all Kyoto gases in all sectors of the economy that the particular model represents, with the exception of CO</w:t>
      </w:r>
      <w:r w:rsidRPr="000D5284">
        <w:rPr>
          <w:vertAlign w:val="subscript"/>
        </w:rPr>
        <w:t>2</w:t>
      </w:r>
      <w:r w:rsidRPr="000D5284">
        <w:t xml:space="preserve"> emissions from land use and land use change, which are excluded from the analysis. This means that non-CO</w:t>
      </w:r>
      <w:r w:rsidRPr="000D5284">
        <w:rPr>
          <w:vertAlign w:val="subscript"/>
        </w:rPr>
        <w:t>2</w:t>
      </w:r>
      <w:r w:rsidRPr="000D5284">
        <w:t xml:space="preserve"> land use and land use change emissions and emissions of GHGs </w:t>
      </w:r>
      <w:r w:rsidRPr="000D5284">
        <w:lastRenderedPageBreak/>
        <w:t xml:space="preserve">not covered under many U.S. climate bills are still included in the cap. </w:t>
      </w:r>
      <w:r w:rsidR="00C2593A">
        <w:t xml:space="preserve">It is important to note that different models have different capabilities to represent emissions from different sources and sectors (see </w:t>
      </w:r>
      <w:r w:rsidR="0018725F">
        <w:fldChar w:fldCharType="begin"/>
      </w:r>
      <w:r w:rsidR="00C2593A">
        <w:instrText xml:space="preserve"> REF _Ref342908589 \h </w:instrText>
      </w:r>
      <w:r w:rsidR="0018725F">
        <w:fldChar w:fldCharType="separate"/>
      </w:r>
      <w:r w:rsidR="00353B23">
        <w:t xml:space="preserve">Table </w:t>
      </w:r>
      <w:r w:rsidR="00353B23">
        <w:rPr>
          <w:noProof/>
        </w:rPr>
        <w:t>3</w:t>
      </w:r>
      <w:r w:rsidR="0018725F">
        <w:fldChar w:fldCharType="end"/>
      </w:r>
      <w:r w:rsidR="00C2593A">
        <w:t xml:space="preserve">), so individual models were asked to define the full scope of their targets to fit the capabilities of the models. In general, this meant that there was a distinction between those models that represent non-CO2 substances and those that don’t. </w:t>
      </w:r>
    </w:p>
    <w:p w:rsidR="00C243F0" w:rsidRDefault="00C243F0" w:rsidP="00AA3BA4">
      <w:r>
        <w:t xml:space="preserve">The balance between the technology and policy dimensions of the study was made by conducting a full evaluation of technology variations for the 50% scenarios and then producing both 50% and 80% reductions for two specific combinations of technology assumptions. To manage the burden on the modelers, it was not feasible to produce the full range of technology variations for both the 80% </w:t>
      </w:r>
      <w:r w:rsidR="007B366A">
        <w:t xml:space="preserve">reduction </w:t>
      </w:r>
      <w:r>
        <w:t>scenarios</w:t>
      </w:r>
      <w:r w:rsidR="007B366A">
        <w:t xml:space="preserve"> in addition to the 50% reduction scenarios</w:t>
      </w:r>
      <w:r>
        <w:t>. The two technology combinations chosen for the 80% scenario</w:t>
      </w:r>
      <w:r w:rsidR="0076220A">
        <w:t xml:space="preserve"> </w:t>
      </w:r>
      <w:r>
        <w:t xml:space="preserve">were chosen to explore the implications of (1) focusing the energy system solution largely on renewable energy and price-induced reductions in energy demand by </w:t>
      </w:r>
      <w:r w:rsidR="007B366A">
        <w:t>specifying pessimistic</w:t>
      </w:r>
      <w:r>
        <w:t xml:space="preserve"> assumptions for nuclear and CCS </w:t>
      </w:r>
      <w:r w:rsidR="007B366A">
        <w:t xml:space="preserve">(Pessimistic </w:t>
      </w:r>
      <w:r w:rsidR="00306870">
        <w:t>CCS/</w:t>
      </w:r>
      <w:proofErr w:type="spellStart"/>
      <w:r w:rsidR="00306870">
        <w:t>Nuc</w:t>
      </w:r>
      <w:proofErr w:type="spellEnd"/>
      <w:r w:rsidR="007B366A">
        <w:t xml:space="preserve">) </w:t>
      </w:r>
      <w:r>
        <w:t>or (2) biasing the solution toward nuclear and CCS</w:t>
      </w:r>
      <w:r w:rsidR="007B366A">
        <w:t>, along with price-induced reductions in energy demand,</w:t>
      </w:r>
      <w:r>
        <w:t xml:space="preserve"> by </w:t>
      </w:r>
      <w:r w:rsidR="007B366A">
        <w:t xml:space="preserve">specifying pessimistic </w:t>
      </w:r>
      <w:r>
        <w:t>assumptions for renewable energy</w:t>
      </w:r>
      <w:r w:rsidR="007B366A">
        <w:t xml:space="preserve"> while allowing for expansion of nuclear energy and CCS (Pessimistic Renewable)</w:t>
      </w:r>
      <w:r>
        <w:t xml:space="preserve">. In both of these cases, </w:t>
      </w:r>
      <w:r w:rsidR="007B366A">
        <w:t>optimistic</w:t>
      </w:r>
      <w:r>
        <w:t xml:space="preserve"> assumptions were used in energy </w:t>
      </w:r>
      <w:r w:rsidR="00437CD2">
        <w:t>end-use</w:t>
      </w:r>
      <w:r>
        <w:t xml:space="preserve"> to allow for a clearer comparison of the effects of the different supply-side options.</w:t>
      </w:r>
    </w:p>
    <w:p w:rsidR="00801152" w:rsidRDefault="00C43463" w:rsidP="00AA3BA4">
      <w:r>
        <w:t>To define</w:t>
      </w:r>
      <w:r w:rsidR="008F04A3">
        <w:t xml:space="preserve"> </w:t>
      </w:r>
      <w:r w:rsidR="00801152">
        <w:t>consistent policy architecture</w:t>
      </w:r>
      <w:r>
        <w:t>s</w:t>
      </w:r>
      <w:r w:rsidR="00801152">
        <w:t xml:space="preserve"> across the models, additional specifications were made in the areas of international emission reductions, bioenergy trade, offsets, and banking and borrowing. For </w:t>
      </w:r>
      <w:r w:rsidR="000A66CB">
        <w:t xml:space="preserve">global </w:t>
      </w:r>
      <w:r w:rsidR="00801152">
        <w:t xml:space="preserve">models, </w:t>
      </w:r>
      <w:r w:rsidR="000A66CB">
        <w:t xml:space="preserve">the rest of the world follows emission reduction paths that are </w:t>
      </w:r>
      <w:r w:rsidR="00C2593A">
        <w:t xml:space="preserve">similar </w:t>
      </w:r>
      <w:r w:rsidR="000A66CB">
        <w:t>to U.S. reductions in developed countries and conside</w:t>
      </w:r>
      <w:r w:rsidR="00D96AD7">
        <w:t>rably slower in developing ones</w:t>
      </w:r>
      <w:r w:rsidR="008F04A3">
        <w:t xml:space="preserve">. </w:t>
      </w:r>
      <w:r w:rsidR="00D96AD7">
        <w:t xml:space="preserve">Trade in bioenergy is limited by design to isolate U.S. bioenergy activity. Domestic and international offsets were not allowed. </w:t>
      </w:r>
      <w:r w:rsidR="008F04A3">
        <w:t>The precise assumptions</w:t>
      </w:r>
      <w:r w:rsidR="001E0AE6">
        <w:t xml:space="preserve"> for the EMF 24 Scenarios, in the form of the final specifications presented to the participating modeling groups,</w:t>
      </w:r>
      <w:r w:rsidR="008F04A3">
        <w:t xml:space="preserve"> are provided in the Supplemental Material for this paper.</w:t>
      </w:r>
    </w:p>
    <w:p w:rsidR="00AB76AA" w:rsidRDefault="00F248EE" w:rsidP="00C71E25">
      <w:pPr>
        <w:pStyle w:val="Heading2"/>
      </w:pPr>
      <w:r>
        <w:t>Participating Models</w:t>
      </w:r>
    </w:p>
    <w:p w:rsidR="00BA5CDB" w:rsidRDefault="001E0AE6" w:rsidP="00F248EE">
      <w:pPr>
        <w:rPr>
          <w:rFonts w:cstheme="minorHAnsi"/>
        </w:rPr>
      </w:pPr>
      <w:r>
        <w:rPr>
          <w:rFonts w:cstheme="minorHAnsi"/>
        </w:rPr>
        <w:t xml:space="preserve">Nine </w:t>
      </w:r>
      <w:r w:rsidR="00EF0BE4">
        <w:rPr>
          <w:rFonts w:cstheme="minorHAnsi"/>
        </w:rPr>
        <w:t xml:space="preserve">models participated in this study. These models differ in </w:t>
      </w:r>
      <w:r w:rsidR="005D01AB">
        <w:rPr>
          <w:rFonts w:cstheme="minorHAnsi"/>
        </w:rPr>
        <w:t xml:space="preserve">a number of </w:t>
      </w:r>
      <w:r w:rsidR="00EF0BE4">
        <w:rPr>
          <w:rFonts w:cstheme="minorHAnsi"/>
        </w:rPr>
        <w:t>ways that can have important implications for the resulting scenarios</w:t>
      </w:r>
      <w:r w:rsidR="003743D4">
        <w:rPr>
          <w:rFonts w:cstheme="minorHAnsi"/>
        </w:rPr>
        <w:t xml:space="preserve"> (</w:t>
      </w:r>
      <w:r w:rsidR="0018725F">
        <w:rPr>
          <w:rFonts w:cstheme="minorHAnsi"/>
        </w:rPr>
        <w:fldChar w:fldCharType="begin"/>
      </w:r>
      <w:r w:rsidR="00EF0BE4">
        <w:rPr>
          <w:rFonts w:cstheme="minorHAnsi"/>
        </w:rPr>
        <w:instrText xml:space="preserve"> REF _Ref342908589 \h </w:instrText>
      </w:r>
      <w:r w:rsidR="0018725F">
        <w:rPr>
          <w:rFonts w:cstheme="minorHAnsi"/>
        </w:rPr>
      </w:r>
      <w:r w:rsidR="0018725F">
        <w:rPr>
          <w:rFonts w:cstheme="minorHAnsi"/>
        </w:rPr>
        <w:fldChar w:fldCharType="separate"/>
      </w:r>
      <w:r w:rsidR="00353B23">
        <w:t xml:space="preserve">Table </w:t>
      </w:r>
      <w:r w:rsidR="00353B23">
        <w:rPr>
          <w:noProof/>
        </w:rPr>
        <w:t>3</w:t>
      </w:r>
      <w:r w:rsidR="0018725F">
        <w:rPr>
          <w:rFonts w:cstheme="minorHAnsi"/>
        </w:rPr>
        <w:fldChar w:fldCharType="end"/>
      </w:r>
      <w:r w:rsidR="003743D4">
        <w:rPr>
          <w:rFonts w:cstheme="minorHAnsi"/>
        </w:rPr>
        <w:t>)</w:t>
      </w:r>
      <w:r w:rsidR="00EF0BE4">
        <w:rPr>
          <w:rFonts w:cstheme="minorHAnsi"/>
        </w:rPr>
        <w:t>.</w:t>
      </w:r>
      <w:r w:rsidR="002E6495">
        <w:rPr>
          <w:rFonts w:cstheme="minorHAnsi"/>
        </w:rPr>
        <w:t xml:space="preserve"> </w:t>
      </w:r>
      <w:r w:rsidR="005D01AB">
        <w:rPr>
          <w:rFonts w:cstheme="minorHAnsi"/>
        </w:rPr>
        <w:t>M</w:t>
      </w:r>
      <w:r>
        <w:rPr>
          <w:rFonts w:cstheme="minorHAnsi"/>
        </w:rPr>
        <w:t xml:space="preserve">odels </w:t>
      </w:r>
      <w:r w:rsidR="005D01AB">
        <w:rPr>
          <w:rFonts w:cstheme="minorHAnsi"/>
        </w:rPr>
        <w:t xml:space="preserve">vary in their </w:t>
      </w:r>
      <w:r>
        <w:rPr>
          <w:rFonts w:cstheme="minorHAnsi"/>
        </w:rPr>
        <w:t xml:space="preserve">sectoral coverage, with the core sectors of interest being the energy sector, land use, and the rest of the economy. In general, models are designed to focus on breadth or on depth. For example, some models may represent only the energy </w:t>
      </w:r>
      <w:r w:rsidR="005D01AB">
        <w:rPr>
          <w:rFonts w:cstheme="minorHAnsi"/>
        </w:rPr>
        <w:t xml:space="preserve">or electricity </w:t>
      </w:r>
      <w:r>
        <w:rPr>
          <w:rFonts w:cstheme="minorHAnsi"/>
        </w:rPr>
        <w:t xml:space="preserve">sector and put substantial focus on capturing the details of that sector; others may represent the full economy </w:t>
      </w:r>
      <w:r w:rsidR="005D01AB">
        <w:rPr>
          <w:rFonts w:cstheme="minorHAnsi"/>
        </w:rPr>
        <w:t>with the focus on capturing</w:t>
      </w:r>
      <w:r w:rsidR="0026514A">
        <w:rPr>
          <w:rFonts w:cstheme="minorHAnsi"/>
        </w:rPr>
        <w:t xml:space="preserve"> </w:t>
      </w:r>
      <w:r w:rsidR="005D01AB">
        <w:rPr>
          <w:rFonts w:cstheme="minorHAnsi"/>
        </w:rPr>
        <w:t xml:space="preserve">the interactions between sectors. </w:t>
      </w:r>
      <w:r>
        <w:rPr>
          <w:rFonts w:cstheme="minorHAnsi"/>
        </w:rPr>
        <w:t>Models that represent the full economy are capable of producing a broader suite of economic indicators, including consumption losses and GDP effects. Models without a full economy typically represent costs in terms</w:t>
      </w:r>
      <w:r w:rsidR="0026514A">
        <w:rPr>
          <w:rFonts w:cstheme="minorHAnsi"/>
        </w:rPr>
        <w:t xml:space="preserve"> </w:t>
      </w:r>
      <w:r>
        <w:rPr>
          <w:rFonts w:cstheme="minorHAnsi"/>
        </w:rPr>
        <w:t>of area under the marginal abatement cost function or total system</w:t>
      </w:r>
      <w:r w:rsidR="005441EA">
        <w:rPr>
          <w:rFonts w:cstheme="minorHAnsi"/>
        </w:rPr>
        <w:t xml:space="preserve"> </w:t>
      </w:r>
      <w:r>
        <w:rPr>
          <w:rFonts w:cstheme="minorHAnsi"/>
        </w:rPr>
        <w:t xml:space="preserve">costs. Models vary in their regional resolution, with many models representing the U.S. as a </w:t>
      </w:r>
      <w:r w:rsidR="007B366A">
        <w:rPr>
          <w:rFonts w:cstheme="minorHAnsi"/>
        </w:rPr>
        <w:t>single</w:t>
      </w:r>
      <w:r>
        <w:rPr>
          <w:rFonts w:cstheme="minorHAnsi"/>
        </w:rPr>
        <w:t xml:space="preserve"> region, others representing roughly ten </w:t>
      </w:r>
      <w:proofErr w:type="spellStart"/>
      <w:r>
        <w:rPr>
          <w:rFonts w:cstheme="minorHAnsi"/>
        </w:rPr>
        <w:t>subregions</w:t>
      </w:r>
      <w:proofErr w:type="spellEnd"/>
      <w:r>
        <w:rPr>
          <w:rFonts w:cstheme="minorHAnsi"/>
        </w:rPr>
        <w:t>, and one</w:t>
      </w:r>
      <w:r w:rsidR="0026514A">
        <w:rPr>
          <w:rFonts w:cstheme="minorHAnsi"/>
        </w:rPr>
        <w:t xml:space="preserve"> </w:t>
      </w:r>
      <w:r>
        <w:rPr>
          <w:rFonts w:cstheme="minorHAnsi"/>
        </w:rPr>
        <w:t xml:space="preserve">model representing over a hundred separate regions. The variation in covered gases, as noted above, influences how the models represented the mitigation targets. Some models represent all covered </w:t>
      </w:r>
      <w:r>
        <w:rPr>
          <w:rFonts w:cstheme="minorHAnsi"/>
        </w:rPr>
        <w:lastRenderedPageBreak/>
        <w:t xml:space="preserve">gases, whereas others </w:t>
      </w:r>
      <w:r w:rsidR="00D16F53">
        <w:rPr>
          <w:rFonts w:cstheme="minorHAnsi"/>
        </w:rPr>
        <w:t>focus only on CO2. Models capture the time dimension in different ways as well, including the last historical year in the model</w:t>
      </w:r>
      <w:r w:rsidR="00FB7D91">
        <w:rPr>
          <w:rFonts w:cstheme="minorHAnsi"/>
        </w:rPr>
        <w:t xml:space="preserve"> (the base year)</w:t>
      </w:r>
      <w:r w:rsidR="00D16F53">
        <w:rPr>
          <w:rFonts w:cstheme="minorHAnsi"/>
        </w:rPr>
        <w:t xml:space="preserve"> and the time steps of the model (ranging from two years to ten years). It is important to note </w:t>
      </w:r>
      <w:r w:rsidR="00FB7D91">
        <w:rPr>
          <w:rFonts w:cstheme="minorHAnsi"/>
        </w:rPr>
        <w:t xml:space="preserve">no model included a base year of 2012, which means that </w:t>
      </w:r>
      <w:r w:rsidR="00D16F53">
        <w:rPr>
          <w:rFonts w:cstheme="minorHAnsi"/>
        </w:rPr>
        <w:t xml:space="preserve">2012 was a projection year in </w:t>
      </w:r>
      <w:r w:rsidR="00FB7D91">
        <w:rPr>
          <w:rFonts w:cstheme="minorHAnsi"/>
        </w:rPr>
        <w:t>all of the models in this study. The representation</w:t>
      </w:r>
      <w:r w:rsidR="0026514A">
        <w:rPr>
          <w:rFonts w:cstheme="minorHAnsi"/>
        </w:rPr>
        <w:t xml:space="preserve"> </w:t>
      </w:r>
      <w:r w:rsidR="00FB7D91">
        <w:rPr>
          <w:rFonts w:cstheme="minorHAnsi"/>
        </w:rPr>
        <w:t xml:space="preserve">of technology choice is one important factor in the way that models represent technology. Some models used probabilistic approaches to technology choice among discrete technologies, others use production functions, and still others use linear and non-linear optimization methods among discrete technologies. The models also vary in the way that they represent foresight. Models generally fall into </w:t>
      </w:r>
      <w:r w:rsidR="005D01AB">
        <w:rPr>
          <w:rFonts w:cstheme="minorHAnsi"/>
        </w:rPr>
        <w:t>two categories: dynamic-</w:t>
      </w:r>
      <w:r w:rsidR="00FB7D91">
        <w:rPr>
          <w:rFonts w:cstheme="minorHAnsi"/>
        </w:rPr>
        <w:t>recursive models</w:t>
      </w:r>
      <w:r w:rsidR="005D01AB">
        <w:rPr>
          <w:rFonts w:cstheme="minorHAnsi"/>
        </w:rPr>
        <w:t>,</w:t>
      </w:r>
      <w:r w:rsidR="00FB7D91">
        <w:rPr>
          <w:rFonts w:cstheme="minorHAnsi"/>
        </w:rPr>
        <w:t xml:space="preserve"> which assume that all decisions are based on current conditions</w:t>
      </w:r>
      <w:r w:rsidR="005D01AB">
        <w:rPr>
          <w:rFonts w:cstheme="minorHAnsi"/>
        </w:rPr>
        <w:t>,</w:t>
      </w:r>
      <w:r w:rsidR="00FB7D91">
        <w:rPr>
          <w:rFonts w:cstheme="minorHAnsi"/>
        </w:rPr>
        <w:t xml:space="preserve"> and perfect foresight models which assume that decision-makers have a complete view of the future when they make decisions. One model applies a combination of these two, with limited foresight. Finally, the option to deploy CCS with bioenergy is an important technology for these scenarios, because</w:t>
      </w:r>
      <w:r w:rsidR="00840F45">
        <w:rPr>
          <w:rFonts w:cstheme="minorHAnsi"/>
        </w:rPr>
        <w:t xml:space="preserve"> </w:t>
      </w:r>
      <w:r w:rsidR="00FB7D91">
        <w:rPr>
          <w:rFonts w:cstheme="minorHAnsi"/>
        </w:rPr>
        <w:t xml:space="preserve">it can lead to negative emissions. </w:t>
      </w:r>
      <w:r w:rsidR="007B366A">
        <w:rPr>
          <w:rFonts w:cstheme="minorHAnsi"/>
        </w:rPr>
        <w:t>Mot m</w:t>
      </w:r>
      <w:r w:rsidR="005D01AB">
        <w:rPr>
          <w:rFonts w:cstheme="minorHAnsi"/>
        </w:rPr>
        <w:t>odels assume</w:t>
      </w:r>
      <w:r w:rsidR="00FB7D91">
        <w:rPr>
          <w:rFonts w:cstheme="minorHAnsi"/>
        </w:rPr>
        <w:t xml:space="preserve"> that this technology </w:t>
      </w:r>
      <w:r w:rsidR="007B366A">
        <w:rPr>
          <w:rFonts w:cstheme="minorHAnsi"/>
        </w:rPr>
        <w:t xml:space="preserve">will not </w:t>
      </w:r>
      <w:r w:rsidR="00FB7D91">
        <w:rPr>
          <w:rFonts w:cstheme="minorHAnsi"/>
        </w:rPr>
        <w:t>be available.</w:t>
      </w:r>
    </w:p>
    <w:p w:rsidR="00030FE8" w:rsidRDefault="00030FE8" w:rsidP="00533291">
      <w:pPr>
        <w:ind w:firstLine="0"/>
        <w:rPr>
          <w:rFonts w:cstheme="minorHAnsi"/>
        </w:rPr>
        <w:sectPr w:rsidR="00030FE8" w:rsidSect="00533291">
          <w:footerReference w:type="default" r:id="rId9"/>
          <w:footnotePr>
            <w:numFmt w:val="chicago"/>
          </w:footnotePr>
          <w:pgSz w:w="12240" w:h="15840"/>
          <w:pgMar w:top="1440" w:right="4320" w:bottom="1440" w:left="1440" w:header="720" w:footer="720" w:gutter="0"/>
          <w:cols w:space="720"/>
          <w:docGrid w:linePitch="360"/>
        </w:sectPr>
      </w:pPr>
    </w:p>
    <w:p w:rsidR="00AB76AA" w:rsidRDefault="00F248EE" w:rsidP="00A44CD9">
      <w:pPr>
        <w:pStyle w:val="Caption"/>
      </w:pPr>
      <w:bookmarkStart w:id="9" w:name="_Ref342908589"/>
      <w:proofErr w:type="gramStart"/>
      <w:r>
        <w:lastRenderedPageBreak/>
        <w:t xml:space="preserve">Table </w:t>
      </w:r>
      <w:r w:rsidR="0018725F">
        <w:fldChar w:fldCharType="begin"/>
      </w:r>
      <w:r>
        <w:instrText xml:space="preserve"> SEQ Table \* ARABIC </w:instrText>
      </w:r>
      <w:r w:rsidR="0018725F">
        <w:fldChar w:fldCharType="separate"/>
      </w:r>
      <w:r w:rsidR="00353B23">
        <w:rPr>
          <w:noProof/>
        </w:rPr>
        <w:t>3</w:t>
      </w:r>
      <w:r w:rsidR="0018725F">
        <w:fldChar w:fldCharType="end"/>
      </w:r>
      <w:bookmarkEnd w:id="9"/>
      <w:r>
        <w:t>.</w:t>
      </w:r>
      <w:proofErr w:type="gramEnd"/>
      <w:r w:rsidR="00840F45">
        <w:t xml:space="preserve"> </w:t>
      </w:r>
      <w:proofErr w:type="gramStart"/>
      <w:r>
        <w:t xml:space="preserve">Overview of </w:t>
      </w:r>
      <w:r w:rsidR="00A34BE7">
        <w:t xml:space="preserve">Key Characteristics of the Versions of </w:t>
      </w:r>
      <w:r>
        <w:t>Participating Models</w:t>
      </w:r>
      <w:r w:rsidR="00840F45">
        <w:t xml:space="preserve"> </w:t>
      </w:r>
      <w:r w:rsidR="00A34BE7">
        <w:t>Used in EMF 24.</w:t>
      </w:r>
      <w:proofErr w:type="gramEnd"/>
    </w:p>
    <w:p w:rsidR="00B7659F" w:rsidRDefault="0026514A" w:rsidP="0026514A">
      <w:pPr>
        <w:ind w:firstLine="0"/>
        <w:jc w:val="center"/>
        <w:rPr>
          <w:i/>
        </w:rPr>
      </w:pPr>
      <w:r w:rsidRPr="0026514A">
        <w:rPr>
          <w:noProof/>
        </w:rPr>
        <w:drawing>
          <wp:inline distT="0" distB="0" distL="0" distR="0" wp14:anchorId="529BF085" wp14:editId="43670ABD">
            <wp:extent cx="5943600" cy="36257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3625752"/>
                    </a:xfrm>
                    <a:prstGeom prst="rect">
                      <a:avLst/>
                    </a:prstGeom>
                    <a:noFill/>
                    <a:ln>
                      <a:noFill/>
                    </a:ln>
                  </pic:spPr>
                </pic:pic>
              </a:graphicData>
            </a:graphic>
          </wp:inline>
        </w:drawing>
      </w:r>
    </w:p>
    <w:p w:rsidR="00A34BE7" w:rsidRDefault="0018725F" w:rsidP="0026514A">
      <w:pPr>
        <w:ind w:firstLine="0"/>
        <w:rPr>
          <w:szCs w:val="20"/>
        </w:rPr>
      </w:pPr>
      <w:r w:rsidRPr="00304062">
        <w:rPr>
          <w:szCs w:val="20"/>
        </w:rPr>
        <w:t xml:space="preserve">[*Note that at the time that the EMF 24 runs were produced, </w:t>
      </w:r>
      <w:proofErr w:type="spellStart"/>
      <w:r w:rsidRPr="00304062">
        <w:rPr>
          <w:szCs w:val="20"/>
        </w:rPr>
        <w:t>NewERA</w:t>
      </w:r>
      <w:proofErr w:type="spellEnd"/>
      <w:r w:rsidRPr="00304062">
        <w:rPr>
          <w:szCs w:val="20"/>
        </w:rPr>
        <w:t xml:space="preserve"> included only a single U.S. region. The current default version includes 12 U.S. regions</w:t>
      </w:r>
      <w:r w:rsidR="00A34BE7">
        <w:rPr>
          <w:szCs w:val="20"/>
        </w:rPr>
        <w:t>.</w:t>
      </w:r>
      <w:r w:rsidRPr="00304062">
        <w:rPr>
          <w:szCs w:val="20"/>
        </w:rPr>
        <w:t>]</w:t>
      </w:r>
    </w:p>
    <w:p w:rsidR="00030FE8" w:rsidRDefault="00030FE8" w:rsidP="0026514A">
      <w:pPr>
        <w:ind w:firstLine="0"/>
        <w:rPr>
          <w:i/>
          <w:szCs w:val="20"/>
        </w:rPr>
        <w:sectPr w:rsidR="00030FE8" w:rsidSect="00030FE8">
          <w:footnotePr>
            <w:numFmt w:val="chicago"/>
          </w:footnotePr>
          <w:pgSz w:w="15840" w:h="12240" w:orient="landscape"/>
          <w:pgMar w:top="1440" w:right="1440" w:bottom="4320" w:left="1440" w:header="720" w:footer="720" w:gutter="0"/>
          <w:cols w:space="720"/>
          <w:docGrid w:linePitch="360"/>
        </w:sectPr>
      </w:pPr>
    </w:p>
    <w:p w:rsidR="00C2265F" w:rsidRDefault="00E8323D" w:rsidP="00C71E25">
      <w:pPr>
        <w:pStyle w:val="Heading1"/>
      </w:pPr>
      <w:bookmarkStart w:id="10" w:name="_Ref353195841"/>
      <w:r w:rsidRPr="000D5284">
        <w:lastRenderedPageBreak/>
        <w:t xml:space="preserve">Energy, </w:t>
      </w:r>
      <w:r w:rsidR="00971183" w:rsidRPr="000D5284">
        <w:t>Technology</w:t>
      </w:r>
      <w:r w:rsidRPr="000D5284">
        <w:t>, and Emissions</w:t>
      </w:r>
      <w:r w:rsidR="00971183" w:rsidRPr="000D5284">
        <w:t xml:space="preserve"> in the Reference Scenarios</w:t>
      </w:r>
      <w:bookmarkEnd w:id="10"/>
    </w:p>
    <w:p w:rsidR="0015177D" w:rsidRPr="0015177D" w:rsidRDefault="0015177D" w:rsidP="0015177D">
      <w:r>
        <w:t xml:space="preserve">Reference </w:t>
      </w:r>
      <w:r w:rsidR="001315DF">
        <w:t xml:space="preserve">(or no policy) </w:t>
      </w:r>
      <w:r>
        <w:t xml:space="preserve">scenarios serve </w:t>
      </w:r>
      <w:r w:rsidR="00920F8E">
        <w:t xml:space="preserve">several </w:t>
      </w:r>
      <w:r>
        <w:t xml:space="preserve">roles in studies such as this. </w:t>
      </w:r>
      <w:r w:rsidR="00920F8E">
        <w:t>One role of reference scenarios</w:t>
      </w:r>
      <w:r>
        <w:t xml:space="preserve"> is that they serve as a counterfactual starting point for the application of policies. It is therefore important to understand the nature of the reference scenarios as a basis for insight in the behavior of the mitigation scenarios, which are the focus of this study. </w:t>
      </w:r>
      <w:r w:rsidR="00920F8E">
        <w:t>Differences in reference scenarios</w:t>
      </w:r>
      <w:r w:rsidR="006E1DAD">
        <w:t xml:space="preserve"> </w:t>
      </w:r>
      <w:r w:rsidR="00920F8E">
        <w:t xml:space="preserve">can lead to differences in the characteristics of mitigation pathways. For example, higher emissions in the reference scenario will require greater emissions reductions in the mitigation scenarios. Another </w:t>
      </w:r>
      <w:r>
        <w:t xml:space="preserve">role of reference scenarios is to provide a window into the uncertainty surrounding key drivers – for example, population </w:t>
      </w:r>
      <w:r w:rsidR="00920F8E">
        <w:t xml:space="preserve">growth, </w:t>
      </w:r>
      <w:r>
        <w:t>economic growth</w:t>
      </w:r>
      <w:r w:rsidR="00920F8E">
        <w:t xml:space="preserve">, and resulting emissions and energy pathways </w:t>
      </w:r>
      <w:r>
        <w:t xml:space="preserve"> – that influence the behavior of the mitigation scenarios. Different modeling groups develop different estimates of the drivers of emissions</w:t>
      </w:r>
      <w:r w:rsidR="00E83923">
        <w:t xml:space="preserve">. The fact that assumptions and reference results vary among groups derives from our collective </w:t>
      </w:r>
      <w:r w:rsidR="006E1DAD">
        <w:t>lack of knowledge about</w:t>
      </w:r>
      <w:r w:rsidR="00E83923">
        <w:t xml:space="preserve"> how these key forces might evolve forty years into the future.</w:t>
      </w:r>
      <w:r w:rsidR="0076220A">
        <w:t xml:space="preserve"> </w:t>
      </w:r>
      <w:r w:rsidR="007B366A">
        <w:t>T</w:t>
      </w:r>
      <w:r>
        <w:t xml:space="preserve">he variation in </w:t>
      </w:r>
      <w:r w:rsidR="00E83923">
        <w:t>reference assumptions and results</w:t>
      </w:r>
      <w:r>
        <w:t xml:space="preserve">, </w:t>
      </w:r>
      <w:r w:rsidR="00920F8E">
        <w:t xml:space="preserve">however, </w:t>
      </w:r>
      <w:r>
        <w:t>are not a full representation of uncertainty</w:t>
      </w:r>
      <w:r w:rsidR="007B366A">
        <w:t>, particularly since modeling teams may base their projections of key parameters on common sources of projections</w:t>
      </w:r>
      <w:r w:rsidR="00E83923">
        <w:t xml:space="preserve">. Nonetheless, </w:t>
      </w:r>
      <w:r>
        <w:t xml:space="preserve">they </w:t>
      </w:r>
      <w:r w:rsidR="00E83923">
        <w:t xml:space="preserve">still </w:t>
      </w:r>
      <w:r>
        <w:t xml:space="preserve">provide some insight into our lack of knowledge about the future (see Krey and Clarke, </w:t>
      </w:r>
      <w:r w:rsidR="0070324D">
        <w:t xml:space="preserve">2011 </w:t>
      </w:r>
      <w:r>
        <w:t xml:space="preserve">for more on this topic). A third role of the reference scenarios in this study in specific is that they provide insights into the impact of technology on energy demand </w:t>
      </w:r>
      <w:r w:rsidR="0076220A">
        <w:t xml:space="preserve">and emissions </w:t>
      </w:r>
      <w:r>
        <w:t>in the absence of an explicit climate policy.</w:t>
      </w:r>
    </w:p>
    <w:p w:rsidR="006C5E7C" w:rsidRPr="006662EC" w:rsidRDefault="00043734" w:rsidP="00C71E25">
      <w:pPr>
        <w:pStyle w:val="Heading2"/>
      </w:pPr>
      <w:bookmarkStart w:id="11" w:name="_Ref345003935"/>
      <w:r>
        <w:t>Population and GDP</w:t>
      </w:r>
      <w:bookmarkEnd w:id="11"/>
    </w:p>
    <w:p w:rsidR="009430E3" w:rsidRPr="000A66CB" w:rsidRDefault="00B27603" w:rsidP="00FF7157">
      <w:pPr>
        <w:rPr>
          <w:rFonts w:cstheme="minorHAnsi"/>
        </w:rPr>
      </w:pPr>
      <w:r w:rsidRPr="000A66CB">
        <w:rPr>
          <w:rFonts w:cstheme="minorHAnsi"/>
        </w:rPr>
        <w:t>One of the main determina</w:t>
      </w:r>
      <w:r w:rsidR="00C86476" w:rsidRPr="000A66CB">
        <w:rPr>
          <w:rFonts w:cstheme="minorHAnsi"/>
        </w:rPr>
        <w:t xml:space="preserve">nts of future </w:t>
      </w:r>
      <w:r w:rsidR="007A7138">
        <w:rPr>
          <w:rFonts w:cstheme="minorHAnsi"/>
        </w:rPr>
        <w:t>energy demand and emissions</w:t>
      </w:r>
      <w:r w:rsidR="00C86476" w:rsidRPr="000A66CB">
        <w:rPr>
          <w:rFonts w:cstheme="minorHAnsi"/>
        </w:rPr>
        <w:t xml:space="preserve"> is</w:t>
      </w:r>
      <w:r w:rsidRPr="000A66CB">
        <w:rPr>
          <w:rFonts w:cstheme="minorHAnsi"/>
        </w:rPr>
        <w:t xml:space="preserve"> population </w:t>
      </w:r>
      <w:r w:rsidR="0015177D">
        <w:rPr>
          <w:rFonts w:cstheme="minorHAnsi"/>
        </w:rPr>
        <w:t>growth, which correlates both to the supply of labor and the demand for goods and services</w:t>
      </w:r>
      <w:r w:rsidR="003743D4">
        <w:rPr>
          <w:rFonts w:cstheme="minorHAnsi"/>
        </w:rPr>
        <w:t xml:space="preserve"> (</w:t>
      </w:r>
      <w:r w:rsidR="003743D4">
        <w:fldChar w:fldCharType="begin"/>
      </w:r>
      <w:r w:rsidR="003743D4">
        <w:instrText xml:space="preserve"> REF _Ref338341051 \h  \* MERGEFORMAT </w:instrText>
      </w:r>
      <w:r w:rsidR="003743D4">
        <w:fldChar w:fldCharType="separate"/>
      </w:r>
      <w:r w:rsidR="003743D4" w:rsidRPr="00353B23">
        <w:rPr>
          <w:rFonts w:cstheme="minorHAnsi"/>
        </w:rPr>
        <w:t>Figure 1</w:t>
      </w:r>
      <w:r w:rsidR="003743D4">
        <w:fldChar w:fldCharType="end"/>
      </w:r>
      <w:r w:rsidR="003743D4">
        <w:rPr>
          <w:rFonts w:cstheme="minorHAnsi"/>
        </w:rPr>
        <w:t>)</w:t>
      </w:r>
      <w:r w:rsidRPr="000A66CB">
        <w:rPr>
          <w:rFonts w:cstheme="minorHAnsi"/>
        </w:rPr>
        <w:t>.</w:t>
      </w:r>
      <w:r w:rsidR="006E1DAD">
        <w:rPr>
          <w:rFonts w:cstheme="minorHAnsi"/>
        </w:rPr>
        <w:t xml:space="preserve"> </w:t>
      </w:r>
      <w:r w:rsidR="007A7138">
        <w:rPr>
          <w:rFonts w:cstheme="minorHAnsi"/>
        </w:rPr>
        <w:t>T</w:t>
      </w:r>
      <w:r w:rsidR="00066C41" w:rsidRPr="000A66CB">
        <w:rPr>
          <w:rFonts w:cstheme="minorHAnsi"/>
        </w:rPr>
        <w:t xml:space="preserve">he </w:t>
      </w:r>
      <w:r w:rsidR="003E1275">
        <w:rPr>
          <w:rFonts w:cstheme="minorHAnsi"/>
        </w:rPr>
        <w:t xml:space="preserve">population </w:t>
      </w:r>
      <w:r w:rsidR="007A7138">
        <w:rPr>
          <w:rFonts w:cstheme="minorHAnsi"/>
        </w:rPr>
        <w:t xml:space="preserve">projections </w:t>
      </w:r>
      <w:r w:rsidR="00066C41" w:rsidRPr="000A66CB">
        <w:rPr>
          <w:rFonts w:cstheme="minorHAnsi"/>
        </w:rPr>
        <w:t xml:space="preserve">used in the models </w:t>
      </w:r>
      <w:proofErr w:type="gramStart"/>
      <w:r w:rsidR="00E83923">
        <w:rPr>
          <w:rFonts w:cstheme="minorHAnsi"/>
        </w:rPr>
        <w:t>assume</w:t>
      </w:r>
      <w:proofErr w:type="gramEnd"/>
      <w:r w:rsidR="006E1DAD">
        <w:rPr>
          <w:rFonts w:cstheme="minorHAnsi"/>
        </w:rPr>
        <w:t xml:space="preserve"> </w:t>
      </w:r>
      <w:r w:rsidR="00066C41" w:rsidRPr="000A66CB">
        <w:rPr>
          <w:rFonts w:cstheme="minorHAnsi"/>
        </w:rPr>
        <w:t xml:space="preserve">that </w:t>
      </w:r>
      <w:r w:rsidR="00FF3503" w:rsidRPr="000A66CB">
        <w:rPr>
          <w:rFonts w:cstheme="minorHAnsi"/>
        </w:rPr>
        <w:t xml:space="preserve">the US population </w:t>
      </w:r>
      <w:r w:rsidR="00D0320A" w:rsidRPr="000A66CB">
        <w:rPr>
          <w:rFonts w:cstheme="minorHAnsi"/>
        </w:rPr>
        <w:t>will</w:t>
      </w:r>
      <w:r w:rsidR="00FF3503" w:rsidRPr="000A66CB">
        <w:rPr>
          <w:rFonts w:cstheme="minorHAnsi"/>
        </w:rPr>
        <w:t xml:space="preserve"> a</w:t>
      </w:r>
      <w:r w:rsidR="00127033" w:rsidRPr="000A66CB">
        <w:rPr>
          <w:rFonts w:cstheme="minorHAnsi"/>
        </w:rPr>
        <w:t xml:space="preserve">dd between </w:t>
      </w:r>
      <w:r w:rsidR="003D4DCD">
        <w:rPr>
          <w:rFonts w:cstheme="minorHAnsi"/>
        </w:rPr>
        <w:t>89</w:t>
      </w:r>
      <w:r w:rsidR="00FF3503" w:rsidRPr="000A66CB">
        <w:rPr>
          <w:rFonts w:cstheme="minorHAnsi"/>
        </w:rPr>
        <w:t xml:space="preserve"> and </w:t>
      </w:r>
      <w:r w:rsidR="003D4DCD" w:rsidRPr="000A66CB">
        <w:rPr>
          <w:rFonts w:cstheme="minorHAnsi"/>
        </w:rPr>
        <w:t>13</w:t>
      </w:r>
      <w:r w:rsidR="003D4DCD">
        <w:rPr>
          <w:rFonts w:cstheme="minorHAnsi"/>
        </w:rPr>
        <w:t>8</w:t>
      </w:r>
      <w:r w:rsidR="003D4DCD" w:rsidRPr="000A66CB">
        <w:rPr>
          <w:rFonts w:cstheme="minorHAnsi"/>
        </w:rPr>
        <w:t xml:space="preserve"> </w:t>
      </w:r>
      <w:r w:rsidR="00FF3503" w:rsidRPr="000A66CB">
        <w:rPr>
          <w:rFonts w:cstheme="minorHAnsi"/>
        </w:rPr>
        <w:t>million people</w:t>
      </w:r>
      <w:r w:rsidR="00D0320A" w:rsidRPr="000A66CB">
        <w:rPr>
          <w:rFonts w:cstheme="minorHAnsi"/>
        </w:rPr>
        <w:t xml:space="preserve"> by 2050</w:t>
      </w:r>
      <w:r w:rsidR="00FF3503" w:rsidRPr="000A66CB">
        <w:rPr>
          <w:rFonts w:cstheme="minorHAnsi"/>
        </w:rPr>
        <w:t xml:space="preserve">. </w:t>
      </w:r>
      <w:r w:rsidR="009D568A" w:rsidRPr="000A66CB">
        <w:rPr>
          <w:rFonts w:cstheme="minorHAnsi"/>
        </w:rPr>
        <w:t>The associated</w:t>
      </w:r>
      <w:r w:rsidR="00580CEA" w:rsidRPr="000A66CB">
        <w:rPr>
          <w:rFonts w:cstheme="minorHAnsi"/>
        </w:rPr>
        <w:t xml:space="preserve"> compound annual growth rates from 2010 to 2050 range from 0.6 to 0.9 percent per year</w:t>
      </w:r>
      <w:r w:rsidR="003E1275">
        <w:rPr>
          <w:rFonts w:cstheme="minorHAnsi"/>
        </w:rPr>
        <w:t xml:space="preserve">. All of these assumptions are below population growth in the U.S. over the last 40 years, which stood </w:t>
      </w:r>
      <w:r w:rsidR="00580CEA" w:rsidRPr="000A66CB">
        <w:rPr>
          <w:rFonts w:cstheme="minorHAnsi"/>
        </w:rPr>
        <w:t>at an annualized rate of 1 percent.</w:t>
      </w:r>
      <w:r w:rsidR="006E1DAD">
        <w:rPr>
          <w:rFonts w:cstheme="minorHAnsi"/>
        </w:rPr>
        <w:t xml:space="preserve"> </w:t>
      </w:r>
      <w:r w:rsidR="003E1275">
        <w:rPr>
          <w:rFonts w:cstheme="minorHAnsi"/>
        </w:rPr>
        <w:t xml:space="preserve">These population projections are not characterized by substantial variation; all fall </w:t>
      </w:r>
      <w:r w:rsidR="003E1275" w:rsidRPr="000A66CB">
        <w:rPr>
          <w:rFonts w:cstheme="minorHAnsi"/>
        </w:rPr>
        <w:t>within +/-5 percent of the mean value of 420 million</w:t>
      </w:r>
      <w:r w:rsidR="003E1275">
        <w:rPr>
          <w:rFonts w:cstheme="minorHAnsi"/>
        </w:rPr>
        <w:t xml:space="preserve"> in 2050</w:t>
      </w:r>
      <w:r w:rsidR="003E1275" w:rsidRPr="000A66CB">
        <w:rPr>
          <w:rFonts w:cstheme="minorHAnsi"/>
        </w:rPr>
        <w:t xml:space="preserve">. </w:t>
      </w:r>
      <w:r w:rsidR="003E1275">
        <w:rPr>
          <w:rFonts w:cstheme="minorHAnsi"/>
        </w:rPr>
        <w:t>All other things being equal, this lack of significant variation in the population estimates would tend to damp</w:t>
      </w:r>
      <w:r w:rsidR="0076220A">
        <w:rPr>
          <w:rFonts w:cstheme="minorHAnsi"/>
        </w:rPr>
        <w:t>en</w:t>
      </w:r>
      <w:r w:rsidR="003E1275">
        <w:rPr>
          <w:rFonts w:cstheme="minorHAnsi"/>
        </w:rPr>
        <w:t xml:space="preserve"> variation in key characteristics of the mitigation scenarios, such as policy costs. </w:t>
      </w:r>
      <w:r w:rsidR="00FF6445">
        <w:rPr>
          <w:rFonts w:cstheme="minorHAnsi"/>
        </w:rPr>
        <w:t>For comparison, t</w:t>
      </w:r>
      <w:r w:rsidR="00FF75F7" w:rsidRPr="000A66CB">
        <w:rPr>
          <w:rFonts w:cstheme="minorHAnsi"/>
        </w:rPr>
        <w:t xml:space="preserve">he population </w:t>
      </w:r>
      <w:r w:rsidR="003E1275">
        <w:rPr>
          <w:rFonts w:cstheme="minorHAnsi"/>
        </w:rPr>
        <w:t xml:space="preserve">projections </w:t>
      </w:r>
      <w:r w:rsidR="009430E3" w:rsidRPr="000A66CB">
        <w:rPr>
          <w:rFonts w:cstheme="minorHAnsi"/>
        </w:rPr>
        <w:t xml:space="preserve">are roughly bounded by population estimates from the United Nations </w:t>
      </w:r>
      <w:r w:rsidR="00FF6445">
        <w:rPr>
          <w:rFonts w:cstheme="minorHAnsi"/>
        </w:rPr>
        <w:t xml:space="preserve">(UN) </w:t>
      </w:r>
      <w:r w:rsidR="009430E3" w:rsidRPr="000A66CB">
        <w:rPr>
          <w:rFonts w:cstheme="minorHAnsi"/>
        </w:rPr>
        <w:t xml:space="preserve">and the </w:t>
      </w:r>
      <w:r w:rsidR="00FF75F7" w:rsidRPr="000A66CB">
        <w:rPr>
          <w:rFonts w:cstheme="minorHAnsi"/>
        </w:rPr>
        <w:t>US Census Bureau</w:t>
      </w:r>
      <w:r w:rsidR="009430E3" w:rsidRPr="000A66CB">
        <w:rPr>
          <w:rFonts w:cstheme="minorHAnsi"/>
        </w:rPr>
        <w:t xml:space="preserve">. </w:t>
      </w:r>
      <w:r w:rsidR="00874FAB" w:rsidRPr="000A66CB">
        <w:rPr>
          <w:rFonts w:cstheme="minorHAnsi"/>
        </w:rPr>
        <w:t>For the lower bound, the UN, i</w:t>
      </w:r>
      <w:r w:rsidR="009430E3" w:rsidRPr="000A66CB">
        <w:rPr>
          <w:rFonts w:cstheme="minorHAnsi"/>
        </w:rPr>
        <w:t xml:space="preserve">n its medium variant case projects the US population at 400 million in 2050 (UN 2009). </w:t>
      </w:r>
      <w:r w:rsidR="00874FAB" w:rsidRPr="000A66CB">
        <w:rPr>
          <w:rFonts w:cstheme="minorHAnsi"/>
        </w:rPr>
        <w:t>At the upper end, t</w:t>
      </w:r>
      <w:r w:rsidR="009430E3" w:rsidRPr="000A66CB">
        <w:rPr>
          <w:rFonts w:cstheme="minorHAnsi"/>
        </w:rPr>
        <w:t>he US Census Bureau’s 2050 projection is 439 million, which is close to the UN’s high variant case (US Census 2008).</w:t>
      </w:r>
    </w:p>
    <w:p w:rsidR="00E07989" w:rsidRDefault="00E07989" w:rsidP="006662EC"/>
    <w:p w:rsidR="00513B6D" w:rsidRDefault="004541B1" w:rsidP="00D86E0E">
      <w:pPr>
        <w:jc w:val="center"/>
      </w:pPr>
      <w:r w:rsidRPr="004541B1">
        <w:rPr>
          <w:noProof/>
        </w:rPr>
        <w:lastRenderedPageBreak/>
        <w:drawing>
          <wp:inline distT="0" distB="0" distL="0" distR="0" wp14:anchorId="560BF4C3" wp14:editId="23B9BA5A">
            <wp:extent cx="4114800" cy="273685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14800" cy="2736856"/>
                    </a:xfrm>
                    <a:prstGeom prst="rect">
                      <a:avLst/>
                    </a:prstGeom>
                    <a:noFill/>
                    <a:ln>
                      <a:noFill/>
                    </a:ln>
                  </pic:spPr>
                </pic:pic>
              </a:graphicData>
            </a:graphic>
          </wp:inline>
        </w:drawing>
      </w:r>
    </w:p>
    <w:p w:rsidR="00513B6D" w:rsidRDefault="00513B6D" w:rsidP="00A44CD9">
      <w:pPr>
        <w:pStyle w:val="Caption"/>
      </w:pPr>
      <w:bookmarkStart w:id="12" w:name="_Ref338341051"/>
      <w:proofErr w:type="gramStart"/>
      <w:r w:rsidRPr="006C5E7C">
        <w:t xml:space="preserve">Figure </w:t>
      </w:r>
      <w:fldSimple w:instr=" SEQ Figure \* ARABIC ">
        <w:r w:rsidR="00C2254E">
          <w:rPr>
            <w:noProof/>
          </w:rPr>
          <w:t>1</w:t>
        </w:r>
      </w:fldSimple>
      <w:bookmarkEnd w:id="12"/>
      <w:r w:rsidRPr="006C5E7C">
        <w:t>.</w:t>
      </w:r>
      <w:proofErr w:type="gramEnd"/>
      <w:r w:rsidRPr="006C5E7C">
        <w:t xml:space="preserve"> </w:t>
      </w:r>
      <w:proofErr w:type="gramStart"/>
      <w:r w:rsidRPr="006C5E7C">
        <w:t xml:space="preserve">Population assumptions across </w:t>
      </w:r>
      <w:r w:rsidR="00BE7A8F">
        <w:t>models</w:t>
      </w:r>
      <w:r w:rsidR="004541B1">
        <w:t>.</w:t>
      </w:r>
      <w:proofErr w:type="gramEnd"/>
      <w:r w:rsidR="004541B1">
        <w:t xml:space="preserve"> [Note: CAGR refers to cumulative annual growth rate.]</w:t>
      </w:r>
    </w:p>
    <w:p w:rsidR="006E1DAD" w:rsidRPr="006E1DAD" w:rsidRDefault="006E1DAD" w:rsidP="006E1DAD"/>
    <w:p w:rsidR="0015177D" w:rsidRDefault="00455DDA" w:rsidP="00FF7157">
      <w:r>
        <w:t>The level of economic activity</w:t>
      </w:r>
      <w:r w:rsidR="009B5767">
        <w:t>,</w:t>
      </w:r>
      <w:r>
        <w:t xml:space="preserve"> as measured by gross domestic product (GDP)</w:t>
      </w:r>
      <w:r w:rsidR="003743D4">
        <w:t xml:space="preserve"> (</w:t>
      </w:r>
      <w:r w:rsidR="003743D4">
        <w:fldChar w:fldCharType="begin"/>
      </w:r>
      <w:r w:rsidR="003743D4">
        <w:instrText xml:space="preserve"> REF _Ref338973018 \h  \* MERGEFORMAT </w:instrText>
      </w:r>
      <w:r w:rsidR="003743D4">
        <w:fldChar w:fldCharType="separate"/>
      </w:r>
      <w:r w:rsidR="003743D4">
        <w:t>Figure 2</w:t>
      </w:r>
      <w:r w:rsidR="003743D4">
        <w:fldChar w:fldCharType="end"/>
      </w:r>
      <w:r w:rsidR="003743D4">
        <w:t>)</w:t>
      </w:r>
      <w:r w:rsidR="009B5767">
        <w:t>,</w:t>
      </w:r>
      <w:r>
        <w:t xml:space="preserve"> is a major driver of energy consumption. </w:t>
      </w:r>
      <w:r w:rsidR="00C44A64">
        <w:t xml:space="preserve">GDP can be an explicit input to models or it can be calculated within the models. However, even in the latter case, GDP is </w:t>
      </w:r>
      <w:r w:rsidR="0076220A">
        <w:t>primarily driven by</w:t>
      </w:r>
      <w:r w:rsidR="00C44A64">
        <w:t xml:space="preserve"> two or three primary input assumptions, including labor force, labor productivity, and technological change, and is generally implicitly calibrated to expectations. This means that</w:t>
      </w:r>
      <w:r w:rsidR="0076220A">
        <w:t xml:space="preserve"> reference</w:t>
      </w:r>
      <w:r w:rsidR="00C44A64">
        <w:t xml:space="preserve"> GDP lies somewhere between an input </w:t>
      </w:r>
      <w:r w:rsidR="009C3556">
        <w:t>assumption and a model result</w:t>
      </w:r>
      <w:r w:rsidR="0015177D">
        <w:t xml:space="preserve"> even in models in which it is calculated endogenously</w:t>
      </w:r>
      <w:r w:rsidR="009C3556">
        <w:t xml:space="preserve">. </w:t>
      </w:r>
      <w:r w:rsidR="00FF6445">
        <w:t>Changes in GDP from policy or technology changes, in contrast, are an important output of many models.</w:t>
      </w:r>
    </w:p>
    <w:p w:rsidR="00B7659F" w:rsidRDefault="009C3556">
      <w:r>
        <w:t xml:space="preserve">The compound annual growth rates across the models from 2010 to 2050 are between </w:t>
      </w:r>
      <w:r w:rsidR="00A34A92">
        <w:t>1.8</w:t>
      </w:r>
      <w:r>
        <w:t xml:space="preserve"> and 2.6 percent </w:t>
      </w:r>
      <w:r w:rsidR="00807F22">
        <w:t xml:space="preserve">under </w:t>
      </w:r>
      <w:r>
        <w:t xml:space="preserve">the </w:t>
      </w:r>
      <w:r w:rsidR="009376EA">
        <w:t xml:space="preserve">Optimistic </w:t>
      </w:r>
      <w:r w:rsidR="00807F22">
        <w:t>Technology assumptions</w:t>
      </w:r>
      <w:r>
        <w:t xml:space="preserve">. </w:t>
      </w:r>
      <w:r w:rsidR="009B5767">
        <w:t>T</w:t>
      </w:r>
      <w:r>
        <w:t>hese growth rates are slower than historical rates. The annual GDP growth rate in from 1950–1990 was 3.5 percent and declined to 3.1 percent from 1967 to 2007. Across the models</w:t>
      </w:r>
      <w:r w:rsidR="009B5767">
        <w:t>,</w:t>
      </w:r>
      <w:r>
        <w:t xml:space="preserve"> the growth rates tend to fall by up to a few tenths of a percent each decade. </w:t>
      </w:r>
      <w:r w:rsidR="00455DDA" w:rsidRPr="004B786D">
        <w:t>GDP shows a greater degree of variation than population across the models</w:t>
      </w:r>
      <w:r w:rsidR="004B786D" w:rsidRPr="004B786D">
        <w:t>.</w:t>
      </w:r>
      <w:r w:rsidR="0076220A">
        <w:t xml:space="preserve"> </w:t>
      </w:r>
      <w:r w:rsidR="007B734B">
        <w:t xml:space="preserve">By 2050 the average GDP </w:t>
      </w:r>
      <w:r w:rsidR="00CD23B9">
        <w:t xml:space="preserve">across model projections </w:t>
      </w:r>
      <w:r w:rsidR="007B734B">
        <w:t xml:space="preserve">reaches $32 trillion with a spread of </w:t>
      </w:r>
      <w:r w:rsidR="0076220A">
        <w:t>$10</w:t>
      </w:r>
      <w:r w:rsidR="007B734B">
        <w:t xml:space="preserve"> trillion, or </w:t>
      </w:r>
      <w:r>
        <w:t xml:space="preserve">+/- </w:t>
      </w:r>
      <w:r w:rsidR="0076220A">
        <w:t xml:space="preserve">17 </w:t>
      </w:r>
      <w:r w:rsidR="007B734B">
        <w:t>percent of the mean</w:t>
      </w:r>
      <w:r w:rsidR="00474BD5">
        <w:t>.</w:t>
      </w:r>
    </w:p>
    <w:p w:rsidR="00474BD5" w:rsidRDefault="00474BD5"/>
    <w:p w:rsidR="00765D14" w:rsidRDefault="004541B1" w:rsidP="00D321E3">
      <w:pPr>
        <w:ind w:firstLine="0"/>
      </w:pPr>
      <w:r w:rsidRPr="004541B1">
        <w:rPr>
          <w:noProof/>
        </w:rPr>
        <w:lastRenderedPageBreak/>
        <w:drawing>
          <wp:inline distT="0" distB="0" distL="0" distR="0" wp14:anchorId="0EC6C2E1" wp14:editId="7A2EF313">
            <wp:extent cx="4114800" cy="27393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14800" cy="2739390"/>
                    </a:xfrm>
                    <a:prstGeom prst="rect">
                      <a:avLst/>
                    </a:prstGeom>
                    <a:noFill/>
                    <a:ln>
                      <a:noFill/>
                    </a:ln>
                  </pic:spPr>
                </pic:pic>
              </a:graphicData>
            </a:graphic>
          </wp:inline>
        </w:drawing>
      </w:r>
    </w:p>
    <w:p w:rsidR="00D812FA" w:rsidRDefault="00D812FA" w:rsidP="00A44CD9">
      <w:pPr>
        <w:pStyle w:val="Caption"/>
      </w:pPr>
      <w:bookmarkStart w:id="13" w:name="_Ref338973018"/>
      <w:proofErr w:type="gramStart"/>
      <w:r>
        <w:t xml:space="preserve">Figure </w:t>
      </w:r>
      <w:fldSimple w:instr=" SEQ Figure \* ARABIC ">
        <w:r w:rsidR="00C2254E">
          <w:rPr>
            <w:noProof/>
          </w:rPr>
          <w:t>2</w:t>
        </w:r>
      </w:fldSimple>
      <w:bookmarkEnd w:id="13"/>
      <w:r>
        <w:t>.</w:t>
      </w:r>
      <w:proofErr w:type="gramEnd"/>
      <w:r w:rsidR="00840F45">
        <w:t xml:space="preserve"> </w:t>
      </w:r>
      <w:r w:rsidRPr="00FF3A96">
        <w:t>GDP pr</w:t>
      </w:r>
      <w:r w:rsidR="007B734B">
        <w:t xml:space="preserve">ojections across the models, </w:t>
      </w:r>
      <w:r w:rsidR="009376EA">
        <w:t xml:space="preserve">Optimistic </w:t>
      </w:r>
      <w:r w:rsidR="00807F22">
        <w:t xml:space="preserve">Technology </w:t>
      </w:r>
      <w:r w:rsidR="001315DF">
        <w:t xml:space="preserve">reference </w:t>
      </w:r>
      <w:r w:rsidR="007B734B">
        <w:t>scenario</w:t>
      </w:r>
      <w:r w:rsidR="004541B1">
        <w:t>. [Note: CAGR refers to cumulative annual growth rate.]</w:t>
      </w:r>
    </w:p>
    <w:p w:rsidR="00474BD5" w:rsidRPr="00474BD5" w:rsidRDefault="00474BD5" w:rsidP="00474BD5"/>
    <w:p w:rsidR="00945E37" w:rsidRDefault="0015177D" w:rsidP="00EF7296">
      <w:r>
        <w:t xml:space="preserve">Of particular </w:t>
      </w:r>
      <w:r w:rsidR="009B5767">
        <w:t xml:space="preserve">interest </w:t>
      </w:r>
      <w:r>
        <w:t xml:space="preserve">for the discussion here is that GDP </w:t>
      </w:r>
      <w:r w:rsidR="0095150B">
        <w:t xml:space="preserve">can be </w:t>
      </w:r>
      <w:r>
        <w:t>influenced by technology assumptions for the “general equilibrium” models participating in this study</w:t>
      </w:r>
      <w:r w:rsidR="0095150B">
        <w:t xml:space="preserve"> – those that represent the full economy in </w:t>
      </w:r>
      <w:r w:rsidR="0018725F">
        <w:fldChar w:fldCharType="begin"/>
      </w:r>
      <w:r w:rsidR="0095150B">
        <w:instrText xml:space="preserve"> REF _Ref342908589 \h </w:instrText>
      </w:r>
      <w:r w:rsidR="0018725F">
        <w:fldChar w:fldCharType="separate"/>
      </w:r>
      <w:r w:rsidR="00353B23">
        <w:t xml:space="preserve">Table </w:t>
      </w:r>
      <w:r w:rsidR="00353B23">
        <w:rPr>
          <w:noProof/>
        </w:rPr>
        <w:t>3</w:t>
      </w:r>
      <w:r w:rsidR="0018725F">
        <w:fldChar w:fldCharType="end"/>
      </w:r>
      <w:r w:rsidR="003743D4">
        <w:t xml:space="preserve">  (</w:t>
      </w:r>
      <w:r w:rsidR="003743D4">
        <w:fldChar w:fldCharType="begin"/>
      </w:r>
      <w:r w:rsidR="003743D4">
        <w:instrText xml:space="preserve"> REF _Ref338976193 \h </w:instrText>
      </w:r>
      <w:r w:rsidR="003743D4">
        <w:fldChar w:fldCharType="separate"/>
      </w:r>
      <w:r w:rsidR="003743D4">
        <w:t xml:space="preserve">Table </w:t>
      </w:r>
      <w:r w:rsidR="003743D4">
        <w:rPr>
          <w:noProof/>
        </w:rPr>
        <w:t>4</w:t>
      </w:r>
      <w:r w:rsidR="003743D4">
        <w:fldChar w:fldCharType="end"/>
      </w:r>
      <w:r w:rsidR="003743D4">
        <w:t>)</w:t>
      </w:r>
      <w:r>
        <w:t xml:space="preserve">. </w:t>
      </w:r>
      <w:r w:rsidR="009C3556">
        <w:t xml:space="preserve">The </w:t>
      </w:r>
      <w:r w:rsidR="009B5767">
        <w:t xml:space="preserve">particular </w:t>
      </w:r>
      <w:r w:rsidR="009C3556">
        <w:t>e</w:t>
      </w:r>
      <w:r w:rsidR="00201631">
        <w:t xml:space="preserve">nd-use energy </w:t>
      </w:r>
      <w:r w:rsidR="009C3556">
        <w:t xml:space="preserve">assumptions </w:t>
      </w:r>
      <w:r w:rsidR="009B5767">
        <w:t xml:space="preserve">used in this study </w:t>
      </w:r>
      <w:r w:rsidR="009C3556">
        <w:t>have the largest influence on reference GDP in these scenarios</w:t>
      </w:r>
      <w:r w:rsidR="00201631">
        <w:t xml:space="preserve">. </w:t>
      </w:r>
      <w:r w:rsidR="00945E37">
        <w:t xml:space="preserve">Although tempting, it is not possible, given the structure of the study, to conclude that energy use technologies are more valuable in the absence of carbon policy than supply technologies. </w:t>
      </w:r>
      <w:r w:rsidR="0095150B">
        <w:t xml:space="preserve">A primary </w:t>
      </w:r>
      <w:r w:rsidR="00945E37">
        <w:t xml:space="preserve">reason for this is that </w:t>
      </w:r>
      <w:r w:rsidR="0095150B">
        <w:t xml:space="preserve">there is no cost associated with achieving </w:t>
      </w:r>
      <w:r w:rsidR="00945E37">
        <w:t>the assumed level of energy use improvement</w:t>
      </w:r>
      <w:r w:rsidR="0095150B">
        <w:t>s</w:t>
      </w:r>
      <w:r w:rsidR="00945E37">
        <w:t xml:space="preserve"> (</w:t>
      </w:r>
      <w:r w:rsidR="0095150B">
        <w:t xml:space="preserve">roughly </w:t>
      </w:r>
      <w:r w:rsidR="00945E37">
        <w:t>20% reduction)</w:t>
      </w:r>
      <w:r w:rsidR="0095150B">
        <w:t>, nor is there clarity on the associated</w:t>
      </w:r>
      <w:r w:rsidR="006E1DAD">
        <w:t xml:space="preserve"> </w:t>
      </w:r>
      <w:r w:rsidR="0095150B">
        <w:t>issue of whether they occurred purely through the availability of new technology or by end-use-focused policies.</w:t>
      </w:r>
      <w:r w:rsidR="007B366A">
        <w:t xml:space="preserve"> </w:t>
      </w:r>
      <w:r w:rsidR="00945E37">
        <w:t xml:space="preserve">(See Section </w:t>
      </w:r>
      <w:r w:rsidR="0018725F">
        <w:fldChar w:fldCharType="begin"/>
      </w:r>
      <w:r w:rsidR="00945E37">
        <w:instrText xml:space="preserve"> REF _Ref342908663 \r \h </w:instrText>
      </w:r>
      <w:r w:rsidR="0018725F">
        <w:fldChar w:fldCharType="separate"/>
      </w:r>
      <w:r w:rsidR="00353B23">
        <w:t>2.1</w:t>
      </w:r>
      <w:r w:rsidR="0018725F">
        <w:fldChar w:fldCharType="end"/>
      </w:r>
      <w:r w:rsidR="00945E37">
        <w:t xml:space="preserve"> for a more thorough discussion of interpretation of technology assumptions).</w:t>
      </w:r>
    </w:p>
    <w:p w:rsidR="00284742" w:rsidRDefault="0095150B" w:rsidP="00EF7296">
      <w:r>
        <w:t xml:space="preserve">At the same time, it is clear that more optimistic assumptions of the </w:t>
      </w:r>
      <w:r w:rsidR="00491CC5">
        <w:t xml:space="preserve">low-carbon energy supply </w:t>
      </w:r>
      <w:r w:rsidR="005D7F1A">
        <w:t xml:space="preserve">have only a limited influence on GDP in the reference scenarios. Their effects </w:t>
      </w:r>
      <w:r>
        <w:t>are</w:t>
      </w:r>
      <w:r w:rsidR="00491CC5">
        <w:t xml:space="preserve"> felt most strongly in the presence of a price on carbon. Without a price on carbon, </w:t>
      </w:r>
      <w:r>
        <w:t xml:space="preserve">there is little incentive to increase the deployment of these technologies substantially enough to dramatically alter the energy system (see Section </w:t>
      </w:r>
      <w:r w:rsidR="0018725F">
        <w:fldChar w:fldCharType="begin"/>
      </w:r>
      <w:r>
        <w:instrText xml:space="preserve"> REF _Ref365731418 \r \h </w:instrText>
      </w:r>
      <w:r w:rsidR="0018725F">
        <w:fldChar w:fldCharType="separate"/>
      </w:r>
      <w:r w:rsidR="00353B23">
        <w:t>3.2</w:t>
      </w:r>
      <w:r w:rsidR="0018725F">
        <w:fldChar w:fldCharType="end"/>
      </w:r>
      <w:r>
        <w:t>) and</w:t>
      </w:r>
      <w:r w:rsidR="00491CC5">
        <w:t xml:space="preserve"> influence GDP.</w:t>
      </w:r>
      <w:r w:rsidR="00A17D6F">
        <w:t xml:space="preserve"> </w:t>
      </w:r>
    </w:p>
    <w:p w:rsidR="00474BD5" w:rsidRDefault="00474BD5" w:rsidP="00EF7296"/>
    <w:p w:rsidR="00D812FA" w:rsidRPr="00C041BA" w:rsidRDefault="00D812FA" w:rsidP="005B4EAA">
      <w:pPr>
        <w:pStyle w:val="Caption"/>
        <w:keepNext/>
        <w:rPr>
          <w:rFonts w:cs="Times New Roman"/>
        </w:rPr>
      </w:pPr>
      <w:bookmarkStart w:id="14" w:name="_Ref338976193"/>
      <w:proofErr w:type="gramStart"/>
      <w:r>
        <w:lastRenderedPageBreak/>
        <w:t xml:space="preserve">Table </w:t>
      </w:r>
      <w:r w:rsidR="0018725F">
        <w:fldChar w:fldCharType="begin"/>
      </w:r>
      <w:r w:rsidR="0033110E">
        <w:instrText xml:space="preserve"> SEQ Table \* ARABIC </w:instrText>
      </w:r>
      <w:r w:rsidR="0018725F">
        <w:fldChar w:fldCharType="separate"/>
      </w:r>
      <w:r w:rsidR="00353B23">
        <w:rPr>
          <w:noProof/>
        </w:rPr>
        <w:t>4</w:t>
      </w:r>
      <w:r w:rsidR="0018725F">
        <w:rPr>
          <w:noProof/>
        </w:rPr>
        <w:fldChar w:fldCharType="end"/>
      </w:r>
      <w:bookmarkEnd w:id="14"/>
      <w:r>
        <w:t>.</w:t>
      </w:r>
      <w:proofErr w:type="gramEnd"/>
      <w:r w:rsidR="00840F45">
        <w:t xml:space="preserve"> </w:t>
      </w:r>
      <w:r w:rsidRPr="00686203">
        <w:t xml:space="preserve">Percentage change in </w:t>
      </w:r>
      <w:r w:rsidR="001315DF">
        <w:t>reference scenario</w:t>
      </w:r>
      <w:r w:rsidR="001315DF" w:rsidRPr="00686203">
        <w:t xml:space="preserve"> </w:t>
      </w:r>
      <w:r w:rsidRPr="00686203">
        <w:t xml:space="preserve">GDP </w:t>
      </w:r>
      <w:r w:rsidR="001315DF">
        <w:t xml:space="preserve">relative to </w:t>
      </w:r>
      <w:r w:rsidRPr="00686203">
        <w:t xml:space="preserve">the </w:t>
      </w:r>
      <w:r w:rsidR="00807F22">
        <w:t xml:space="preserve">reference scenario with </w:t>
      </w:r>
      <w:r w:rsidR="00FB452E">
        <w:t xml:space="preserve">Optimistic </w:t>
      </w:r>
      <w:r w:rsidR="002E6495">
        <w:t>T</w:t>
      </w:r>
      <w:r w:rsidRPr="00686203">
        <w:t xml:space="preserve">echnology </w:t>
      </w:r>
      <w:r w:rsidR="00807F22">
        <w:t xml:space="preserve">assumptions </w:t>
      </w:r>
      <w:r w:rsidRPr="00686203">
        <w:t>in 2020 and 2050</w:t>
      </w:r>
    </w:p>
    <w:tbl>
      <w:tblPr>
        <w:tblStyle w:val="TableGrid"/>
        <w:tblW w:w="6048"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52"/>
        <w:gridCol w:w="697"/>
        <w:gridCol w:w="544"/>
        <w:gridCol w:w="649"/>
        <w:gridCol w:w="576"/>
        <w:gridCol w:w="648"/>
        <w:gridCol w:w="519"/>
        <w:gridCol w:w="632"/>
        <w:gridCol w:w="631"/>
      </w:tblGrid>
      <w:tr w:rsidR="00530632" w:rsidTr="002E6495">
        <w:trPr>
          <w:jc w:val="center"/>
        </w:trPr>
        <w:tc>
          <w:tcPr>
            <w:tcW w:w="1152" w:type="dxa"/>
            <w:tcBorders>
              <w:top w:val="single" w:sz="12" w:space="0" w:color="auto"/>
              <w:left w:val="single" w:sz="12" w:space="0" w:color="auto"/>
              <w:bottom w:val="nil"/>
              <w:right w:val="single" w:sz="12" w:space="0" w:color="auto"/>
            </w:tcBorders>
          </w:tcPr>
          <w:p w:rsidR="00530632" w:rsidRPr="00530632" w:rsidRDefault="00530632" w:rsidP="005B4EAA">
            <w:pPr>
              <w:keepNext/>
              <w:ind w:firstLine="0"/>
              <w:jc w:val="center"/>
              <w:rPr>
                <w:rFonts w:cs="Times New Roman"/>
              </w:rPr>
            </w:pPr>
          </w:p>
        </w:tc>
        <w:tc>
          <w:tcPr>
            <w:tcW w:w="2466" w:type="dxa"/>
            <w:gridSpan w:val="4"/>
            <w:tcBorders>
              <w:top w:val="single" w:sz="12" w:space="0" w:color="auto"/>
              <w:left w:val="single" w:sz="12" w:space="0" w:color="auto"/>
              <w:bottom w:val="single" w:sz="12" w:space="0" w:color="auto"/>
              <w:right w:val="single" w:sz="12" w:space="0" w:color="auto"/>
            </w:tcBorders>
          </w:tcPr>
          <w:p w:rsidR="00530632" w:rsidRPr="00AE113D" w:rsidRDefault="00AE113D" w:rsidP="005B4EAA">
            <w:pPr>
              <w:keepNext/>
              <w:ind w:firstLine="0"/>
              <w:jc w:val="center"/>
              <w:rPr>
                <w:rFonts w:cs="Times New Roman"/>
                <w:b/>
              </w:rPr>
            </w:pPr>
            <w:r w:rsidRPr="00AE113D">
              <w:rPr>
                <w:rFonts w:cs="Times New Roman"/>
                <w:b/>
              </w:rPr>
              <w:t>2020</w:t>
            </w:r>
          </w:p>
        </w:tc>
        <w:tc>
          <w:tcPr>
            <w:tcW w:w="2430" w:type="dxa"/>
            <w:gridSpan w:val="4"/>
            <w:tcBorders>
              <w:top w:val="single" w:sz="12" w:space="0" w:color="auto"/>
              <w:left w:val="single" w:sz="12" w:space="0" w:color="auto"/>
              <w:bottom w:val="single" w:sz="12" w:space="0" w:color="auto"/>
              <w:right w:val="single" w:sz="12" w:space="0" w:color="auto"/>
            </w:tcBorders>
          </w:tcPr>
          <w:p w:rsidR="00530632" w:rsidRPr="00AE113D" w:rsidRDefault="00AE113D" w:rsidP="005B4EAA">
            <w:pPr>
              <w:keepNext/>
              <w:ind w:firstLine="0"/>
              <w:jc w:val="center"/>
              <w:rPr>
                <w:rFonts w:cs="Times New Roman"/>
                <w:b/>
              </w:rPr>
            </w:pPr>
            <w:r w:rsidRPr="00AE113D">
              <w:rPr>
                <w:rFonts w:cs="Times New Roman"/>
                <w:b/>
              </w:rPr>
              <w:t>2050</w:t>
            </w:r>
          </w:p>
        </w:tc>
      </w:tr>
      <w:tr w:rsidR="002E6495" w:rsidTr="002E6495">
        <w:trPr>
          <w:jc w:val="center"/>
        </w:trPr>
        <w:tc>
          <w:tcPr>
            <w:tcW w:w="1152" w:type="dxa"/>
            <w:tcBorders>
              <w:top w:val="nil"/>
              <w:left w:val="single" w:sz="12" w:space="0" w:color="auto"/>
              <w:bottom w:val="nil"/>
              <w:right w:val="single" w:sz="12" w:space="0" w:color="auto"/>
            </w:tcBorders>
          </w:tcPr>
          <w:p w:rsidR="002E6495" w:rsidRPr="00530632" w:rsidRDefault="002E6495" w:rsidP="005B4EAA">
            <w:pPr>
              <w:keepNext/>
              <w:ind w:firstLine="0"/>
              <w:jc w:val="center"/>
              <w:rPr>
                <w:rFonts w:cs="Times New Roman"/>
              </w:rPr>
            </w:pPr>
          </w:p>
        </w:tc>
        <w:tc>
          <w:tcPr>
            <w:tcW w:w="697" w:type="dxa"/>
            <w:tcBorders>
              <w:top w:val="single" w:sz="12" w:space="0" w:color="auto"/>
              <w:left w:val="single" w:sz="12" w:space="0" w:color="auto"/>
              <w:bottom w:val="single" w:sz="12" w:space="0" w:color="auto"/>
            </w:tcBorders>
            <w:vAlign w:val="bottom"/>
          </w:tcPr>
          <w:p w:rsidR="002E6495" w:rsidRPr="005B4EAA"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 xml:space="preserve">. </w:t>
            </w:r>
            <w:r w:rsidRPr="005B4EAA">
              <w:rPr>
                <w:rFonts w:cs="Times New Roman"/>
                <w:sz w:val="16"/>
                <w:szCs w:val="16"/>
              </w:rPr>
              <w:t>Renew</w:t>
            </w:r>
          </w:p>
        </w:tc>
        <w:tc>
          <w:tcPr>
            <w:tcW w:w="544" w:type="dxa"/>
            <w:tcBorders>
              <w:top w:val="single" w:sz="12" w:space="0" w:color="auto"/>
              <w:bottom w:val="single" w:sz="12" w:space="0" w:color="auto"/>
            </w:tcBorders>
            <w:vAlign w:val="bottom"/>
          </w:tcPr>
          <w:p w:rsidR="002E6495" w:rsidRPr="005B4EAA"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r w:rsidRPr="005B4EAA">
              <w:rPr>
                <w:rFonts w:cs="Times New Roman"/>
                <w:sz w:val="16"/>
                <w:szCs w:val="16"/>
              </w:rPr>
              <w:t xml:space="preserve"> CCS</w:t>
            </w:r>
            <w:r w:rsidR="00306870">
              <w:rPr>
                <w:rFonts w:cs="Times New Roman"/>
                <w:sz w:val="16"/>
                <w:szCs w:val="16"/>
              </w:rPr>
              <w:t>/</w:t>
            </w:r>
            <w:r w:rsidRPr="005B4EAA">
              <w:rPr>
                <w:rFonts w:cs="Times New Roman"/>
                <w:sz w:val="16"/>
                <w:szCs w:val="16"/>
              </w:rPr>
              <w:t xml:space="preserve"> </w:t>
            </w:r>
            <w:proofErr w:type="spellStart"/>
            <w:r w:rsidRPr="005B4EAA">
              <w:rPr>
                <w:rFonts w:cs="Times New Roman"/>
                <w:sz w:val="16"/>
                <w:szCs w:val="16"/>
              </w:rPr>
              <w:t>Nuc</w:t>
            </w:r>
            <w:proofErr w:type="spellEnd"/>
          </w:p>
        </w:tc>
        <w:tc>
          <w:tcPr>
            <w:tcW w:w="649" w:type="dxa"/>
            <w:tcBorders>
              <w:top w:val="single" w:sz="12" w:space="0" w:color="auto"/>
              <w:bottom w:val="single" w:sz="12" w:space="0" w:color="auto"/>
            </w:tcBorders>
            <w:vAlign w:val="bottom"/>
          </w:tcPr>
          <w:p w:rsidR="002E6495" w:rsidRPr="005B4EAA"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r w:rsidRPr="005B4EAA">
              <w:rPr>
                <w:rFonts w:cs="Times New Roman"/>
                <w:sz w:val="16"/>
                <w:szCs w:val="16"/>
              </w:rPr>
              <w:t xml:space="preserve"> EERE</w:t>
            </w:r>
          </w:p>
        </w:tc>
        <w:tc>
          <w:tcPr>
            <w:tcW w:w="576" w:type="dxa"/>
            <w:tcBorders>
              <w:top w:val="single" w:sz="12" w:space="0" w:color="auto"/>
              <w:bottom w:val="single" w:sz="12" w:space="0" w:color="auto"/>
              <w:right w:val="single" w:sz="12" w:space="0" w:color="auto"/>
            </w:tcBorders>
            <w:vAlign w:val="bottom"/>
          </w:tcPr>
          <w:p w:rsidR="002E6495" w:rsidRPr="005B4EAA"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r w:rsidRPr="005B4EAA">
              <w:rPr>
                <w:rFonts w:cs="Times New Roman"/>
                <w:sz w:val="16"/>
                <w:szCs w:val="16"/>
              </w:rPr>
              <w:t xml:space="preserve"> Tech</w:t>
            </w:r>
          </w:p>
        </w:tc>
        <w:tc>
          <w:tcPr>
            <w:tcW w:w="648" w:type="dxa"/>
            <w:tcBorders>
              <w:top w:val="single" w:sz="12" w:space="0" w:color="auto"/>
              <w:left w:val="single" w:sz="12" w:space="0" w:color="auto"/>
              <w:bottom w:val="single" w:sz="12" w:space="0" w:color="auto"/>
            </w:tcBorders>
            <w:vAlign w:val="bottom"/>
          </w:tcPr>
          <w:p w:rsidR="002E6495"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p>
          <w:p w:rsidR="002E6495" w:rsidRPr="005B4EAA" w:rsidRDefault="002E6495" w:rsidP="00FB452E">
            <w:pPr>
              <w:keepNext/>
              <w:ind w:left="-72" w:right="-150" w:firstLine="0"/>
              <w:jc w:val="center"/>
              <w:rPr>
                <w:rFonts w:cs="Times New Roman"/>
                <w:sz w:val="16"/>
                <w:szCs w:val="16"/>
              </w:rPr>
            </w:pPr>
            <w:r w:rsidRPr="005B4EAA">
              <w:rPr>
                <w:rFonts w:cs="Times New Roman"/>
                <w:sz w:val="16"/>
                <w:szCs w:val="16"/>
              </w:rPr>
              <w:t>Renew</w:t>
            </w:r>
          </w:p>
        </w:tc>
        <w:tc>
          <w:tcPr>
            <w:tcW w:w="519" w:type="dxa"/>
            <w:tcBorders>
              <w:top w:val="single" w:sz="12" w:space="0" w:color="auto"/>
              <w:bottom w:val="single" w:sz="12" w:space="0" w:color="auto"/>
            </w:tcBorders>
            <w:vAlign w:val="bottom"/>
          </w:tcPr>
          <w:p w:rsidR="002E6495"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p>
          <w:p w:rsidR="002E6495" w:rsidRPr="005B4EAA" w:rsidRDefault="002E6495" w:rsidP="00FB452E">
            <w:pPr>
              <w:keepNext/>
              <w:ind w:left="-72" w:right="-150" w:firstLine="0"/>
              <w:jc w:val="center"/>
              <w:rPr>
                <w:rFonts w:cs="Times New Roman"/>
                <w:sz w:val="16"/>
                <w:szCs w:val="16"/>
              </w:rPr>
            </w:pPr>
            <w:r w:rsidRPr="005B4EAA">
              <w:rPr>
                <w:rFonts w:cs="Times New Roman"/>
                <w:sz w:val="16"/>
                <w:szCs w:val="16"/>
              </w:rPr>
              <w:t>CCS</w:t>
            </w:r>
            <w:r w:rsidR="00306870">
              <w:rPr>
                <w:rFonts w:cs="Times New Roman"/>
                <w:sz w:val="16"/>
                <w:szCs w:val="16"/>
              </w:rPr>
              <w:t>/</w:t>
            </w:r>
            <w:r w:rsidRPr="005B4EAA">
              <w:rPr>
                <w:rFonts w:cs="Times New Roman"/>
                <w:sz w:val="16"/>
                <w:szCs w:val="16"/>
              </w:rPr>
              <w:t xml:space="preserve"> </w:t>
            </w:r>
            <w:proofErr w:type="spellStart"/>
            <w:r w:rsidRPr="005B4EAA">
              <w:rPr>
                <w:rFonts w:cs="Times New Roman"/>
                <w:sz w:val="16"/>
                <w:szCs w:val="16"/>
              </w:rPr>
              <w:t>Nuc</w:t>
            </w:r>
            <w:proofErr w:type="spellEnd"/>
          </w:p>
        </w:tc>
        <w:tc>
          <w:tcPr>
            <w:tcW w:w="632" w:type="dxa"/>
            <w:tcBorders>
              <w:top w:val="single" w:sz="12" w:space="0" w:color="auto"/>
              <w:bottom w:val="single" w:sz="12" w:space="0" w:color="auto"/>
            </w:tcBorders>
            <w:vAlign w:val="bottom"/>
          </w:tcPr>
          <w:p w:rsidR="002E6495"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p>
          <w:p w:rsidR="002E6495" w:rsidRPr="005B4EAA" w:rsidRDefault="002E6495" w:rsidP="00FB452E">
            <w:pPr>
              <w:keepNext/>
              <w:ind w:left="-72" w:right="-150" w:firstLine="0"/>
              <w:jc w:val="center"/>
              <w:rPr>
                <w:rFonts w:cs="Times New Roman"/>
                <w:sz w:val="16"/>
                <w:szCs w:val="16"/>
              </w:rPr>
            </w:pPr>
            <w:r w:rsidRPr="005B4EAA">
              <w:rPr>
                <w:rFonts w:cs="Times New Roman"/>
                <w:sz w:val="16"/>
                <w:szCs w:val="16"/>
              </w:rPr>
              <w:t>E</w:t>
            </w:r>
            <w:r>
              <w:rPr>
                <w:rFonts w:cs="Times New Roman"/>
                <w:sz w:val="16"/>
                <w:szCs w:val="16"/>
              </w:rPr>
              <w:t>E</w:t>
            </w:r>
            <w:r w:rsidRPr="005B4EAA">
              <w:rPr>
                <w:rFonts w:cs="Times New Roman"/>
                <w:sz w:val="16"/>
                <w:szCs w:val="16"/>
              </w:rPr>
              <w:t>RE</w:t>
            </w:r>
          </w:p>
        </w:tc>
        <w:tc>
          <w:tcPr>
            <w:tcW w:w="630" w:type="dxa"/>
            <w:tcBorders>
              <w:top w:val="single" w:sz="12" w:space="0" w:color="auto"/>
              <w:bottom w:val="single" w:sz="12" w:space="0" w:color="auto"/>
              <w:right w:val="single" w:sz="12" w:space="0" w:color="auto"/>
            </w:tcBorders>
            <w:vAlign w:val="bottom"/>
          </w:tcPr>
          <w:p w:rsidR="002E6495" w:rsidRPr="005B4EAA" w:rsidRDefault="002E6495" w:rsidP="00FB452E">
            <w:pPr>
              <w:keepNext/>
              <w:ind w:left="-72" w:right="-150" w:firstLine="0"/>
              <w:jc w:val="center"/>
              <w:rPr>
                <w:rFonts w:cs="Times New Roman"/>
                <w:sz w:val="16"/>
                <w:szCs w:val="16"/>
              </w:rPr>
            </w:pPr>
            <w:proofErr w:type="spellStart"/>
            <w:r>
              <w:rPr>
                <w:rFonts w:cs="Times New Roman"/>
                <w:sz w:val="16"/>
                <w:szCs w:val="16"/>
              </w:rPr>
              <w:t>Pess</w:t>
            </w:r>
            <w:proofErr w:type="spellEnd"/>
            <w:r>
              <w:rPr>
                <w:rFonts w:cs="Times New Roman"/>
                <w:sz w:val="16"/>
                <w:szCs w:val="16"/>
              </w:rPr>
              <w:t>.</w:t>
            </w:r>
            <w:r w:rsidRPr="005B4EAA">
              <w:rPr>
                <w:rFonts w:cs="Times New Roman"/>
                <w:sz w:val="16"/>
                <w:szCs w:val="16"/>
              </w:rPr>
              <w:t xml:space="preserve"> Tech</w:t>
            </w:r>
          </w:p>
        </w:tc>
      </w:tr>
      <w:tr w:rsidR="002E6495" w:rsidTr="002E6495">
        <w:trPr>
          <w:jc w:val="center"/>
        </w:trPr>
        <w:tc>
          <w:tcPr>
            <w:tcW w:w="1152" w:type="dxa"/>
            <w:tcBorders>
              <w:top w:val="nil"/>
              <w:left w:val="single" w:sz="12" w:space="0" w:color="auto"/>
              <w:bottom w:val="nil"/>
              <w:right w:val="single" w:sz="12" w:space="0" w:color="auto"/>
            </w:tcBorders>
            <w:vAlign w:val="center"/>
          </w:tcPr>
          <w:p w:rsidR="002E6495" w:rsidRPr="00530632" w:rsidRDefault="002E6495" w:rsidP="005B4EAA">
            <w:pPr>
              <w:keepNext/>
              <w:ind w:firstLine="0"/>
              <w:rPr>
                <w:rFonts w:cs="Times New Roman"/>
                <w:sz w:val="18"/>
                <w:szCs w:val="18"/>
              </w:rPr>
            </w:pPr>
            <w:r w:rsidRPr="00530632">
              <w:rPr>
                <w:rFonts w:cs="Times New Roman"/>
                <w:sz w:val="18"/>
                <w:szCs w:val="18"/>
              </w:rPr>
              <w:t>ADAGE</w:t>
            </w:r>
          </w:p>
        </w:tc>
        <w:tc>
          <w:tcPr>
            <w:tcW w:w="697" w:type="dxa"/>
            <w:tcBorders>
              <w:top w:val="single" w:sz="12" w:space="0" w:color="auto"/>
              <w:left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tcBorders>
              <w:top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tcBorders>
              <w:top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-0.3</w:t>
            </w:r>
          </w:p>
        </w:tc>
        <w:tc>
          <w:tcPr>
            <w:tcW w:w="576" w:type="dxa"/>
            <w:tcBorders>
              <w:top w:val="single" w:sz="12" w:space="0" w:color="auto"/>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-0.3</w:t>
            </w:r>
          </w:p>
        </w:tc>
        <w:tc>
          <w:tcPr>
            <w:tcW w:w="648" w:type="dxa"/>
            <w:tcBorders>
              <w:top w:val="single" w:sz="12" w:space="0" w:color="auto"/>
              <w:lef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19" w:type="dxa"/>
            <w:tcBorders>
              <w:top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32" w:type="dxa"/>
            <w:tcBorders>
              <w:top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-1.2</w:t>
            </w:r>
          </w:p>
        </w:tc>
        <w:tc>
          <w:tcPr>
            <w:tcW w:w="630" w:type="dxa"/>
            <w:tcBorders>
              <w:top w:val="single" w:sz="12" w:space="0" w:color="auto"/>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-1.2</w:t>
            </w:r>
          </w:p>
        </w:tc>
      </w:tr>
      <w:tr w:rsidR="002E6495" w:rsidTr="002E6495">
        <w:trPr>
          <w:jc w:val="center"/>
        </w:trPr>
        <w:tc>
          <w:tcPr>
            <w:tcW w:w="1152" w:type="dxa"/>
            <w:tcBorders>
              <w:top w:val="nil"/>
              <w:left w:val="single" w:sz="12" w:space="0" w:color="auto"/>
              <w:bottom w:val="nil"/>
              <w:right w:val="single" w:sz="12" w:space="0" w:color="auto"/>
            </w:tcBorders>
            <w:vAlign w:val="center"/>
          </w:tcPr>
          <w:p w:rsidR="002E6495" w:rsidRPr="00530632" w:rsidRDefault="002E6495" w:rsidP="005B4EAA">
            <w:pPr>
              <w:keepNext/>
              <w:ind w:firstLine="0"/>
              <w:rPr>
                <w:rFonts w:cs="Times New Roman"/>
                <w:sz w:val="18"/>
                <w:szCs w:val="18"/>
              </w:rPr>
            </w:pPr>
            <w:r w:rsidRPr="00530632">
              <w:rPr>
                <w:rFonts w:cs="Times New Roman"/>
                <w:sz w:val="18"/>
                <w:szCs w:val="18"/>
              </w:rPr>
              <w:t>EC-IAM</w:t>
            </w:r>
          </w:p>
        </w:tc>
        <w:tc>
          <w:tcPr>
            <w:tcW w:w="697" w:type="dxa"/>
            <w:tcBorders>
              <w:left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-0.1</w:t>
            </w:r>
          </w:p>
        </w:tc>
        <w:tc>
          <w:tcPr>
            <w:tcW w:w="576" w:type="dxa"/>
            <w:tcBorders>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-0.1</w:t>
            </w:r>
          </w:p>
        </w:tc>
        <w:tc>
          <w:tcPr>
            <w:tcW w:w="648" w:type="dxa"/>
            <w:tcBorders>
              <w:lef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19"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-0.1</w:t>
            </w:r>
          </w:p>
        </w:tc>
        <w:tc>
          <w:tcPr>
            <w:tcW w:w="632"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-0.5</w:t>
            </w:r>
          </w:p>
        </w:tc>
        <w:tc>
          <w:tcPr>
            <w:tcW w:w="630" w:type="dxa"/>
            <w:tcBorders>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-0.8</w:t>
            </w:r>
          </w:p>
        </w:tc>
      </w:tr>
      <w:tr w:rsidR="002E6495" w:rsidTr="002E6495">
        <w:trPr>
          <w:jc w:val="center"/>
        </w:trPr>
        <w:tc>
          <w:tcPr>
            <w:tcW w:w="1152" w:type="dxa"/>
            <w:tcBorders>
              <w:top w:val="nil"/>
              <w:left w:val="single" w:sz="12" w:space="0" w:color="auto"/>
              <w:bottom w:val="nil"/>
              <w:right w:val="single" w:sz="12" w:space="0" w:color="auto"/>
            </w:tcBorders>
            <w:vAlign w:val="center"/>
          </w:tcPr>
          <w:p w:rsidR="002E6495" w:rsidRPr="00530632" w:rsidRDefault="002E6495" w:rsidP="005B4EAA">
            <w:pPr>
              <w:keepNext/>
              <w:ind w:firstLine="0"/>
              <w:rPr>
                <w:rFonts w:cs="Times New Roman"/>
                <w:sz w:val="18"/>
                <w:szCs w:val="18"/>
              </w:rPr>
            </w:pPr>
            <w:r w:rsidRPr="00530632">
              <w:rPr>
                <w:rFonts w:cs="Times New Roman"/>
                <w:sz w:val="18"/>
                <w:szCs w:val="18"/>
              </w:rPr>
              <w:t>FARM</w:t>
            </w:r>
          </w:p>
        </w:tc>
        <w:tc>
          <w:tcPr>
            <w:tcW w:w="697" w:type="dxa"/>
            <w:tcBorders>
              <w:left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-0.7</w:t>
            </w:r>
          </w:p>
        </w:tc>
        <w:tc>
          <w:tcPr>
            <w:tcW w:w="576" w:type="dxa"/>
            <w:tcBorders>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-0.7</w:t>
            </w:r>
          </w:p>
        </w:tc>
        <w:tc>
          <w:tcPr>
            <w:tcW w:w="648" w:type="dxa"/>
            <w:tcBorders>
              <w:lef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19"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32"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-1.7</w:t>
            </w:r>
          </w:p>
        </w:tc>
        <w:tc>
          <w:tcPr>
            <w:tcW w:w="630" w:type="dxa"/>
            <w:tcBorders>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-1.7</w:t>
            </w:r>
          </w:p>
        </w:tc>
      </w:tr>
      <w:tr w:rsidR="002E6495" w:rsidTr="002E6495">
        <w:trPr>
          <w:jc w:val="center"/>
        </w:trPr>
        <w:tc>
          <w:tcPr>
            <w:tcW w:w="1152" w:type="dxa"/>
            <w:tcBorders>
              <w:top w:val="nil"/>
              <w:left w:val="single" w:sz="12" w:space="0" w:color="auto"/>
              <w:bottom w:val="nil"/>
              <w:right w:val="single" w:sz="12" w:space="0" w:color="auto"/>
            </w:tcBorders>
            <w:vAlign w:val="center"/>
          </w:tcPr>
          <w:p w:rsidR="002E6495" w:rsidRPr="00530632" w:rsidRDefault="002E6495" w:rsidP="005B4EAA">
            <w:pPr>
              <w:keepNext/>
              <w:ind w:firstLine="0"/>
              <w:rPr>
                <w:rFonts w:cs="Times New Roman"/>
                <w:sz w:val="18"/>
                <w:szCs w:val="18"/>
              </w:rPr>
            </w:pPr>
            <w:proofErr w:type="spellStart"/>
            <w:r w:rsidRPr="00530632">
              <w:rPr>
                <w:rFonts w:cs="Times New Roman"/>
                <w:sz w:val="18"/>
                <w:szCs w:val="18"/>
              </w:rPr>
              <w:t>NewERA</w:t>
            </w:r>
            <w:proofErr w:type="spellEnd"/>
          </w:p>
        </w:tc>
        <w:tc>
          <w:tcPr>
            <w:tcW w:w="697" w:type="dxa"/>
            <w:tcBorders>
              <w:left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0.1</w:t>
            </w:r>
          </w:p>
        </w:tc>
        <w:tc>
          <w:tcPr>
            <w:tcW w:w="576" w:type="dxa"/>
            <w:tcBorders>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0.1</w:t>
            </w:r>
          </w:p>
        </w:tc>
        <w:tc>
          <w:tcPr>
            <w:tcW w:w="648" w:type="dxa"/>
            <w:tcBorders>
              <w:lef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19"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32"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0.4</w:t>
            </w:r>
          </w:p>
        </w:tc>
        <w:tc>
          <w:tcPr>
            <w:tcW w:w="630" w:type="dxa"/>
            <w:tcBorders>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0.3</w:t>
            </w:r>
          </w:p>
        </w:tc>
      </w:tr>
      <w:tr w:rsidR="002E6495" w:rsidTr="002E6495">
        <w:trPr>
          <w:jc w:val="center"/>
        </w:trPr>
        <w:tc>
          <w:tcPr>
            <w:tcW w:w="1152" w:type="dxa"/>
            <w:tcBorders>
              <w:top w:val="nil"/>
              <w:left w:val="single" w:sz="12" w:space="0" w:color="auto"/>
              <w:bottom w:val="nil"/>
              <w:right w:val="single" w:sz="12" w:space="0" w:color="auto"/>
            </w:tcBorders>
            <w:vAlign w:val="center"/>
          </w:tcPr>
          <w:p w:rsidR="002E6495" w:rsidRPr="00530632" w:rsidRDefault="002E6495" w:rsidP="005B4EAA">
            <w:pPr>
              <w:keepNext/>
              <w:ind w:firstLine="0"/>
              <w:rPr>
                <w:rFonts w:cs="Times New Roman"/>
                <w:sz w:val="18"/>
                <w:szCs w:val="18"/>
              </w:rPr>
            </w:pPr>
            <w:r w:rsidRPr="00530632">
              <w:rPr>
                <w:rFonts w:cs="Times New Roman"/>
                <w:sz w:val="18"/>
                <w:szCs w:val="18"/>
              </w:rPr>
              <w:t>US-REGEN</w:t>
            </w:r>
          </w:p>
        </w:tc>
        <w:tc>
          <w:tcPr>
            <w:tcW w:w="697" w:type="dxa"/>
            <w:tcBorders>
              <w:left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-1.0</w:t>
            </w:r>
          </w:p>
        </w:tc>
        <w:tc>
          <w:tcPr>
            <w:tcW w:w="576" w:type="dxa"/>
            <w:tcBorders>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-1.0</w:t>
            </w:r>
          </w:p>
        </w:tc>
        <w:tc>
          <w:tcPr>
            <w:tcW w:w="648" w:type="dxa"/>
            <w:tcBorders>
              <w:lef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-0.1</w:t>
            </w:r>
          </w:p>
        </w:tc>
        <w:tc>
          <w:tcPr>
            <w:tcW w:w="519"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32" w:type="dxa"/>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-2.2</w:t>
            </w:r>
          </w:p>
        </w:tc>
        <w:tc>
          <w:tcPr>
            <w:tcW w:w="630" w:type="dxa"/>
            <w:tcBorders>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-2.2</w:t>
            </w:r>
          </w:p>
        </w:tc>
      </w:tr>
      <w:tr w:rsidR="002E6495" w:rsidTr="002E6495">
        <w:trPr>
          <w:jc w:val="center"/>
        </w:trPr>
        <w:tc>
          <w:tcPr>
            <w:tcW w:w="1152" w:type="dxa"/>
            <w:tcBorders>
              <w:top w:val="nil"/>
              <w:left w:val="single" w:sz="12" w:space="0" w:color="auto"/>
              <w:bottom w:val="single" w:sz="12" w:space="0" w:color="auto"/>
              <w:right w:val="single" w:sz="12" w:space="0" w:color="auto"/>
            </w:tcBorders>
            <w:vAlign w:val="center"/>
          </w:tcPr>
          <w:p w:rsidR="002E6495" w:rsidRPr="00530632" w:rsidRDefault="002E6495" w:rsidP="005B4EAA">
            <w:pPr>
              <w:keepNext/>
              <w:ind w:firstLine="0"/>
              <w:rPr>
                <w:rFonts w:cs="Times New Roman"/>
                <w:sz w:val="18"/>
                <w:szCs w:val="18"/>
              </w:rPr>
            </w:pPr>
            <w:r w:rsidRPr="00530632">
              <w:rPr>
                <w:rFonts w:cs="Times New Roman"/>
                <w:sz w:val="18"/>
                <w:szCs w:val="18"/>
              </w:rPr>
              <w:t>USREP</w:t>
            </w:r>
          </w:p>
        </w:tc>
        <w:tc>
          <w:tcPr>
            <w:tcW w:w="697" w:type="dxa"/>
            <w:tcBorders>
              <w:left w:val="single" w:sz="12" w:space="0" w:color="auto"/>
              <w:bottom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44" w:type="dxa"/>
            <w:tcBorders>
              <w:bottom w:val="single" w:sz="12" w:space="0" w:color="auto"/>
            </w:tcBorders>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49" w:type="dxa"/>
            <w:tcBorders>
              <w:bottom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-0.5</w:t>
            </w:r>
          </w:p>
        </w:tc>
        <w:tc>
          <w:tcPr>
            <w:tcW w:w="576" w:type="dxa"/>
            <w:tcBorders>
              <w:bottom w:val="single" w:sz="12" w:space="0" w:color="auto"/>
              <w:right w:val="single" w:sz="12" w:space="0" w:color="auto"/>
            </w:tcBorders>
            <w:shd w:val="clear" w:color="auto" w:fill="auto"/>
            <w:vAlign w:val="center"/>
          </w:tcPr>
          <w:p w:rsidR="002E6495" w:rsidRPr="002E6495" w:rsidRDefault="002E6495" w:rsidP="005B4EAA">
            <w:pPr>
              <w:keepNext/>
              <w:ind w:firstLine="0"/>
              <w:jc w:val="center"/>
              <w:rPr>
                <w:rFonts w:cs="Times New Roman"/>
                <w:sz w:val="16"/>
                <w:szCs w:val="16"/>
              </w:rPr>
            </w:pPr>
            <w:r w:rsidRPr="002E6495">
              <w:rPr>
                <w:rFonts w:cs="Times New Roman"/>
                <w:sz w:val="16"/>
                <w:szCs w:val="16"/>
              </w:rPr>
              <w:t>-0.5</w:t>
            </w:r>
          </w:p>
        </w:tc>
        <w:tc>
          <w:tcPr>
            <w:tcW w:w="648" w:type="dxa"/>
            <w:tcBorders>
              <w:left w:val="single" w:sz="12" w:space="0" w:color="auto"/>
              <w:bottom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519" w:type="dxa"/>
            <w:tcBorders>
              <w:bottom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0.0</w:t>
            </w:r>
          </w:p>
        </w:tc>
        <w:tc>
          <w:tcPr>
            <w:tcW w:w="632" w:type="dxa"/>
            <w:tcBorders>
              <w:bottom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-1.9</w:t>
            </w:r>
          </w:p>
        </w:tc>
        <w:tc>
          <w:tcPr>
            <w:tcW w:w="630" w:type="dxa"/>
            <w:tcBorders>
              <w:bottom w:val="single" w:sz="12" w:space="0" w:color="auto"/>
              <w:right w:val="single" w:sz="12" w:space="0" w:color="auto"/>
            </w:tcBorders>
            <w:shd w:val="clear" w:color="auto" w:fill="auto"/>
            <w:vAlign w:val="center"/>
          </w:tcPr>
          <w:p w:rsidR="002E6495" w:rsidRPr="005B4EAA" w:rsidRDefault="002E6495" w:rsidP="005B4EAA">
            <w:pPr>
              <w:keepNext/>
              <w:ind w:firstLine="0"/>
              <w:jc w:val="center"/>
              <w:rPr>
                <w:rFonts w:cs="Times New Roman"/>
                <w:sz w:val="16"/>
                <w:szCs w:val="16"/>
              </w:rPr>
            </w:pPr>
            <w:r w:rsidRPr="005B4EAA">
              <w:rPr>
                <w:rFonts w:cs="Times New Roman"/>
                <w:sz w:val="16"/>
                <w:szCs w:val="16"/>
              </w:rPr>
              <w:t>-1.9</w:t>
            </w:r>
          </w:p>
        </w:tc>
      </w:tr>
    </w:tbl>
    <w:p w:rsidR="00AE727E" w:rsidRDefault="00AE727E" w:rsidP="005B4EAA">
      <w:pPr>
        <w:keepNext/>
        <w:jc w:val="right"/>
      </w:pPr>
    </w:p>
    <w:p w:rsidR="00331942" w:rsidRPr="006662EC" w:rsidRDefault="00331942" w:rsidP="00C71E25">
      <w:pPr>
        <w:pStyle w:val="Heading2"/>
      </w:pPr>
      <w:bookmarkStart w:id="15" w:name="_Ref365731418"/>
      <w:r>
        <w:t xml:space="preserve">Energy </w:t>
      </w:r>
      <w:r w:rsidR="003023F4">
        <w:t>Consumption</w:t>
      </w:r>
      <w:bookmarkEnd w:id="15"/>
    </w:p>
    <w:p w:rsidR="00640895" w:rsidRDefault="00FF0B45" w:rsidP="00FF7157">
      <w:r>
        <w:t>C</w:t>
      </w:r>
      <w:r w:rsidR="00C7569F">
        <w:t>onsistent with the discussion of GDP effects</w:t>
      </w:r>
      <w:r w:rsidR="003D440B">
        <w:t xml:space="preserve">, </w:t>
      </w:r>
      <w:r w:rsidR="002045C2">
        <w:t>the particular assumptions about energy end</w:t>
      </w:r>
      <w:r w:rsidR="00A34A92">
        <w:t>-</w:t>
      </w:r>
      <w:r w:rsidR="002045C2">
        <w:t xml:space="preserve">use in this study have </w:t>
      </w:r>
      <w:r w:rsidR="00177E7D">
        <w:t xml:space="preserve">a larger </w:t>
      </w:r>
      <w:r w:rsidR="00A661EF">
        <w:t xml:space="preserve">effect on </w:t>
      </w:r>
      <w:r w:rsidR="00640895">
        <w:t xml:space="preserve">total </w:t>
      </w:r>
      <w:r w:rsidR="00043734">
        <w:t xml:space="preserve">primary </w:t>
      </w:r>
      <w:r w:rsidR="00A661EF">
        <w:t>energy demand</w:t>
      </w:r>
      <w:r w:rsidR="00A34A92">
        <w:t xml:space="preserve"> </w:t>
      </w:r>
      <w:r w:rsidR="00043734">
        <w:t xml:space="preserve">and </w:t>
      </w:r>
      <w:r w:rsidR="00640895">
        <w:t xml:space="preserve">total </w:t>
      </w:r>
      <w:r w:rsidR="00043734">
        <w:t xml:space="preserve">electricity demand </w:t>
      </w:r>
      <w:r>
        <w:t xml:space="preserve">in the reference scenarios </w:t>
      </w:r>
      <w:r w:rsidR="00177E7D">
        <w:t xml:space="preserve">that does the variation in energy supply technology assumptions </w:t>
      </w:r>
      <w:r w:rsidR="00C7569F">
        <w:t>(</w:t>
      </w:r>
      <w:r w:rsidR="0018725F">
        <w:fldChar w:fldCharType="begin"/>
      </w:r>
      <w:r w:rsidR="00511941">
        <w:instrText xml:space="preserve"> REF _Ref338329002 \h </w:instrText>
      </w:r>
      <w:r w:rsidR="0018725F">
        <w:fldChar w:fldCharType="separate"/>
      </w:r>
      <w:r w:rsidR="00353B23">
        <w:t xml:space="preserve">Figure </w:t>
      </w:r>
      <w:r w:rsidR="00353B23">
        <w:rPr>
          <w:noProof/>
        </w:rPr>
        <w:t>3</w:t>
      </w:r>
      <w:r w:rsidR="0018725F">
        <w:fldChar w:fldCharType="end"/>
      </w:r>
      <w:r w:rsidR="00511941">
        <w:t xml:space="preserve"> and </w:t>
      </w:r>
      <w:r w:rsidR="0018725F">
        <w:fldChar w:fldCharType="begin"/>
      </w:r>
      <w:r w:rsidR="00511941">
        <w:instrText xml:space="preserve"> REF _Ref362857139 \h </w:instrText>
      </w:r>
      <w:r w:rsidR="0018725F">
        <w:fldChar w:fldCharType="separate"/>
      </w:r>
      <w:r w:rsidR="00353B23">
        <w:t xml:space="preserve">Figure </w:t>
      </w:r>
      <w:r w:rsidR="00353B23">
        <w:rPr>
          <w:noProof/>
        </w:rPr>
        <w:t>4</w:t>
      </w:r>
      <w:r w:rsidR="0018725F">
        <w:fldChar w:fldCharType="end"/>
      </w:r>
      <w:r w:rsidR="00C7569F">
        <w:t xml:space="preserve">). </w:t>
      </w:r>
      <w:r w:rsidR="002045C2">
        <w:t>As noted previously, t</w:t>
      </w:r>
      <w:r w:rsidR="00640895">
        <w:t xml:space="preserve">his result is </w:t>
      </w:r>
      <w:r w:rsidR="002045C2">
        <w:t xml:space="preserve">largely </w:t>
      </w:r>
      <w:r>
        <w:t xml:space="preserve">a </w:t>
      </w:r>
      <w:r w:rsidR="00640895">
        <w:t>matter of construction, since</w:t>
      </w:r>
      <w:r w:rsidR="00A44CD9">
        <w:t xml:space="preserve"> </w:t>
      </w:r>
      <w:r w:rsidR="00640895">
        <w:t xml:space="preserve">the </w:t>
      </w:r>
      <w:r w:rsidR="00807F22">
        <w:t>optimistic</w:t>
      </w:r>
      <w:r w:rsidR="00640895">
        <w:t xml:space="preserve"> </w:t>
      </w:r>
      <w:r w:rsidR="00437CD2">
        <w:t>end-use</w:t>
      </w:r>
      <w:r w:rsidR="00640895">
        <w:t xml:space="preserve"> assumptions were constructed explicitly to result in roughly a 20% reduction in energy demand relative to the </w:t>
      </w:r>
      <w:r w:rsidR="002A5BF0">
        <w:t xml:space="preserve">Pessimistic </w:t>
      </w:r>
      <w:r w:rsidR="00807F22">
        <w:t xml:space="preserve">Technology </w:t>
      </w:r>
      <w:r w:rsidR="00640895">
        <w:t xml:space="preserve">reference case (see Section </w:t>
      </w:r>
      <w:r w:rsidR="0018725F">
        <w:fldChar w:fldCharType="begin"/>
      </w:r>
      <w:r w:rsidR="00640895">
        <w:instrText xml:space="preserve"> REF _Ref342908663 \r \h </w:instrText>
      </w:r>
      <w:r w:rsidR="0018725F">
        <w:fldChar w:fldCharType="separate"/>
      </w:r>
      <w:r w:rsidR="00353B23">
        <w:t>2.1</w:t>
      </w:r>
      <w:r w:rsidR="0018725F">
        <w:fldChar w:fldCharType="end"/>
      </w:r>
      <w:r w:rsidR="00640895">
        <w:t xml:space="preserve">). The different modeling teams produced these assumptions in different ways, so that the actual variation between the </w:t>
      </w:r>
      <w:r w:rsidR="009376EA">
        <w:t xml:space="preserve">Optimistic </w:t>
      </w:r>
      <w:r w:rsidR="00807F22">
        <w:t xml:space="preserve">Technology </w:t>
      </w:r>
      <w:r w:rsidR="00640895">
        <w:t xml:space="preserve">and </w:t>
      </w:r>
      <w:r w:rsidR="009376EA">
        <w:t xml:space="preserve">Pessimistic </w:t>
      </w:r>
      <w:r w:rsidR="00807F22">
        <w:t xml:space="preserve">Technology </w:t>
      </w:r>
      <w:r w:rsidR="00640895">
        <w:t xml:space="preserve">reference scenario demands ranges across models from between </w:t>
      </w:r>
      <w:r w:rsidR="00A34A92">
        <w:t>8</w:t>
      </w:r>
      <w:r w:rsidR="00640895">
        <w:t xml:space="preserve">% and </w:t>
      </w:r>
      <w:r w:rsidR="00A34A92">
        <w:t>24</w:t>
      </w:r>
      <w:r w:rsidR="00640895">
        <w:t>%.</w:t>
      </w:r>
    </w:p>
    <w:p w:rsidR="003D440B" w:rsidRDefault="003D440B" w:rsidP="00640895">
      <w:r>
        <w:t xml:space="preserve">The effects of the energy supply assumptions follow intuition in terms of direction. </w:t>
      </w:r>
      <w:r w:rsidR="001A0FBE">
        <w:t xml:space="preserve">Not surprisingly, the </w:t>
      </w:r>
      <w:r w:rsidR="00FB452E">
        <w:t xml:space="preserve">Pessimistic </w:t>
      </w:r>
      <w:r w:rsidR="001A0FBE">
        <w:t>Renew</w:t>
      </w:r>
      <w:r w:rsidR="00FB452E">
        <w:t>ables</w:t>
      </w:r>
      <w:r w:rsidR="001A0FBE">
        <w:t xml:space="preserve"> </w:t>
      </w:r>
      <w:r w:rsidR="00E06BEE">
        <w:t>assumptions lead to</w:t>
      </w:r>
      <w:r w:rsidR="001A0FBE">
        <w:t xml:space="preserve"> less renewables than the </w:t>
      </w:r>
      <w:r w:rsidR="00483A6D">
        <w:t>correspondin</w:t>
      </w:r>
      <w:r w:rsidR="0088754A">
        <w:t xml:space="preserve">g </w:t>
      </w:r>
      <w:r w:rsidR="00FB452E">
        <w:t xml:space="preserve">Optimistic </w:t>
      </w:r>
      <w:r w:rsidR="001A0FBE">
        <w:t>Tech</w:t>
      </w:r>
      <w:r w:rsidR="00E06BEE">
        <w:t>nology assumptions</w:t>
      </w:r>
      <w:r w:rsidR="002A5BF0">
        <w:t>, and the Pessimistic</w:t>
      </w:r>
      <w:r w:rsidR="00E06BEE">
        <w:t xml:space="preserve"> </w:t>
      </w:r>
      <w:r w:rsidR="00306870">
        <w:t>CCS/</w:t>
      </w:r>
      <w:proofErr w:type="spellStart"/>
      <w:r w:rsidR="00306870">
        <w:t>Nuc</w:t>
      </w:r>
      <w:proofErr w:type="spellEnd"/>
      <w:r w:rsidR="00E06BEE">
        <w:t xml:space="preserve"> assumptions lead to </w:t>
      </w:r>
      <w:r w:rsidR="001A0FBE">
        <w:t xml:space="preserve">less nuclear than the </w:t>
      </w:r>
      <w:r w:rsidR="0088754A">
        <w:t xml:space="preserve">corresponding </w:t>
      </w:r>
      <w:r w:rsidR="00807F22">
        <w:t xml:space="preserve">scenarios with </w:t>
      </w:r>
      <w:r w:rsidR="009376EA">
        <w:t>Optimistic Tech</w:t>
      </w:r>
      <w:r w:rsidR="00E06BEE">
        <w:t>nology</w:t>
      </w:r>
      <w:r w:rsidR="001A0FBE">
        <w:t>.</w:t>
      </w:r>
      <w:r w:rsidR="00A44CD9">
        <w:t xml:space="preserve"> </w:t>
      </w:r>
      <w:r w:rsidR="003C18A1">
        <w:t xml:space="preserve">Because the accounting of primary energy is conducted in direct equivalents rather than primary equivalents in </w:t>
      </w:r>
      <w:r w:rsidR="0018725F">
        <w:fldChar w:fldCharType="begin"/>
      </w:r>
      <w:r w:rsidR="003C18A1">
        <w:instrText xml:space="preserve"> REF _Ref338329002 \h </w:instrText>
      </w:r>
      <w:r w:rsidR="0018725F">
        <w:fldChar w:fldCharType="separate"/>
      </w:r>
      <w:r w:rsidR="00353B23">
        <w:t xml:space="preserve">Figure </w:t>
      </w:r>
      <w:r w:rsidR="00353B23">
        <w:rPr>
          <w:noProof/>
        </w:rPr>
        <w:t>3</w:t>
      </w:r>
      <w:r w:rsidR="0018725F">
        <w:fldChar w:fldCharType="end"/>
      </w:r>
      <w:r w:rsidR="003C18A1">
        <w:t xml:space="preserve">, </w:t>
      </w:r>
      <w:r w:rsidR="00225A3E">
        <w:t xml:space="preserve">less optimistic technology assumptions lead to an increase in primary energy in many of the scenarios. This is simply an artifact of the fact that the </w:t>
      </w:r>
      <w:r w:rsidR="002A5BF0">
        <w:t>pessimistic</w:t>
      </w:r>
      <w:r w:rsidR="00225A3E">
        <w:t xml:space="preserve"> technology assumptions lead to less nuclear and renewable electricity, which is replaced by fossil fuels. With direct equivalent accounting, fossil electricity represents higher primary energy than nuclear and renewable electricity. </w:t>
      </w:r>
    </w:p>
    <w:p w:rsidR="00177E7D" w:rsidRDefault="00225A3E" w:rsidP="00640895">
      <w:r>
        <w:t>More generally, a notable characteristic of all the reference scenarios is that fossil fuels continue to dominate the energy system and the electricity system in specific even under the more optimistic technology</w:t>
      </w:r>
      <w:r w:rsidR="00A44CD9">
        <w:t xml:space="preserve"> </w:t>
      </w:r>
      <w:r>
        <w:t xml:space="preserve">assumptions. </w:t>
      </w:r>
      <w:r w:rsidR="00FB4827">
        <w:t>N</w:t>
      </w:r>
      <w:r>
        <w:t>one of the models indicate that these assumptions will be sufficient to bring about the changes necessary to reduce emissions on the order of 50% or 80% as explored in this study.</w:t>
      </w:r>
      <w:r w:rsidR="00FB4827">
        <w:t xml:space="preserve"> In addition, the mix of fossil fuels is more dependent on the model </w:t>
      </w:r>
      <w:r w:rsidR="00640895">
        <w:t xml:space="preserve">and its attendant assumptions </w:t>
      </w:r>
      <w:r w:rsidR="00FB4827">
        <w:t xml:space="preserve">than on the assumptions that were employed to capture different levels of low-carbon supply technology. That is, particular models tend to lead to a particular mix of fossil fuels that remains similar across technology </w:t>
      </w:r>
      <w:r w:rsidR="00807F22">
        <w:t>assumptions</w:t>
      </w:r>
      <w:r w:rsidR="00FB4827">
        <w:t>.</w:t>
      </w:r>
      <w:r w:rsidR="00A44CD9">
        <w:t xml:space="preserve"> </w:t>
      </w:r>
      <w:r w:rsidR="00177E7D">
        <w:t xml:space="preserve">Both the quantity of fossil energy and the mix of fossil energy are fundamental to the determination of </w:t>
      </w:r>
      <w:r w:rsidR="001E436C">
        <w:t xml:space="preserve">reference scenario </w:t>
      </w:r>
      <w:r w:rsidR="00177E7D">
        <w:t>CO</w:t>
      </w:r>
      <w:r w:rsidR="00177E7D" w:rsidRPr="009A7EA9">
        <w:rPr>
          <w:vertAlign w:val="subscript"/>
        </w:rPr>
        <w:t>2</w:t>
      </w:r>
      <w:r w:rsidR="00177E7D">
        <w:t xml:space="preserve"> emissions. All other things being equal, models with higher </w:t>
      </w:r>
      <w:r w:rsidR="00177E7D">
        <w:lastRenderedPageBreak/>
        <w:t xml:space="preserve">quantities of coal lead to higher emissions. Of interest, few models </w:t>
      </w:r>
      <w:r w:rsidR="007B366A">
        <w:t xml:space="preserve">project </w:t>
      </w:r>
      <w:r w:rsidR="00177E7D">
        <w:t xml:space="preserve">a dramatic expansion of natural gas in the scenarios. One might expect an evolution in </w:t>
      </w:r>
      <w:r w:rsidR="001E436C">
        <w:t xml:space="preserve">reference </w:t>
      </w:r>
      <w:r w:rsidR="00177E7D">
        <w:t xml:space="preserve">scenarios </w:t>
      </w:r>
      <w:r w:rsidR="00FB4827">
        <w:t xml:space="preserve">produced </w:t>
      </w:r>
      <w:r w:rsidR="00177E7D">
        <w:t xml:space="preserve">over the coming years </w:t>
      </w:r>
      <w:r w:rsidR="00FB4827">
        <w:t xml:space="preserve">by the models in this study </w:t>
      </w:r>
      <w:r w:rsidR="003743D4">
        <w:t xml:space="preserve">toward natural gas </w:t>
      </w:r>
      <w:r w:rsidR="00177E7D">
        <w:t xml:space="preserve">if U.S. gas potential </w:t>
      </w:r>
      <w:r w:rsidR="007B366A">
        <w:t xml:space="preserve">and production </w:t>
      </w:r>
      <w:r w:rsidR="00177E7D">
        <w:t xml:space="preserve">continues to play out at the scales that are being suggested. </w:t>
      </w:r>
    </w:p>
    <w:p w:rsidR="008A640D" w:rsidRDefault="008A640D" w:rsidP="003067F5">
      <w:pPr>
        <w:ind w:firstLine="0"/>
        <w:jc w:val="center"/>
      </w:pPr>
    </w:p>
    <w:p w:rsidR="008A640D" w:rsidRDefault="00A617FC" w:rsidP="003067F5">
      <w:pPr>
        <w:ind w:firstLine="0"/>
        <w:jc w:val="center"/>
      </w:pPr>
      <w:r w:rsidRPr="00A617FC">
        <w:rPr>
          <w:noProof/>
        </w:rPr>
        <w:drawing>
          <wp:inline distT="0" distB="0" distL="0" distR="0" wp14:anchorId="0E707859" wp14:editId="0BC59CCB">
            <wp:extent cx="4114800" cy="31953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14800" cy="3195320"/>
                    </a:xfrm>
                    <a:prstGeom prst="rect">
                      <a:avLst/>
                    </a:prstGeom>
                    <a:noFill/>
                    <a:ln>
                      <a:noFill/>
                    </a:ln>
                  </pic:spPr>
                </pic:pic>
              </a:graphicData>
            </a:graphic>
          </wp:inline>
        </w:drawing>
      </w:r>
    </w:p>
    <w:p w:rsidR="00441DD2" w:rsidRDefault="00441DD2" w:rsidP="00A44CD9">
      <w:pPr>
        <w:pStyle w:val="Caption"/>
      </w:pPr>
      <w:bookmarkStart w:id="16" w:name="_Ref338329002"/>
      <w:proofErr w:type="gramStart"/>
      <w:r>
        <w:t xml:space="preserve">Figure </w:t>
      </w:r>
      <w:fldSimple w:instr=" SEQ Figure \* ARABIC ">
        <w:r w:rsidR="00C2254E">
          <w:rPr>
            <w:noProof/>
          </w:rPr>
          <w:t>3</w:t>
        </w:r>
      </w:fldSimple>
      <w:bookmarkEnd w:id="16"/>
      <w:r>
        <w:t>.</w:t>
      </w:r>
      <w:proofErr w:type="gramEnd"/>
      <w:r w:rsidR="00840F45">
        <w:t xml:space="preserve"> </w:t>
      </w:r>
      <w:r w:rsidR="00284742">
        <w:t>Total primary e</w:t>
      </w:r>
      <w:r w:rsidRPr="0030614E">
        <w:t xml:space="preserve">nergy </w:t>
      </w:r>
      <w:r w:rsidR="000B1F21">
        <w:t xml:space="preserve">consumption (direct equivalents) </w:t>
      </w:r>
      <w:r w:rsidR="001315DF">
        <w:t xml:space="preserve">in reference scenarios in 2050 </w:t>
      </w:r>
      <w:r w:rsidRPr="0030614E">
        <w:t xml:space="preserve">by </w:t>
      </w:r>
      <w:r w:rsidR="00284742">
        <w:t xml:space="preserve">source and </w:t>
      </w:r>
      <w:r w:rsidRPr="0030614E">
        <w:t xml:space="preserve">technology </w:t>
      </w:r>
      <w:r w:rsidR="001315DF">
        <w:t>assumptions</w:t>
      </w:r>
      <w:r w:rsidR="00030A11">
        <w:t xml:space="preserve">. </w:t>
      </w:r>
    </w:p>
    <w:p w:rsidR="006F71EB" w:rsidRPr="006F71EB" w:rsidRDefault="003C7C5B" w:rsidP="00D321E3">
      <w:pPr>
        <w:ind w:firstLine="0"/>
      </w:pPr>
      <w:bookmarkStart w:id="17" w:name="_Ref340338314"/>
      <w:r w:rsidRPr="003C7C5B">
        <w:rPr>
          <w:noProof/>
        </w:rPr>
        <w:drawing>
          <wp:inline distT="0" distB="0" distL="0" distR="0" wp14:anchorId="78BD95CF" wp14:editId="1C290CDA">
            <wp:extent cx="4114800" cy="319532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114800" cy="3195320"/>
                    </a:xfrm>
                    <a:prstGeom prst="rect">
                      <a:avLst/>
                    </a:prstGeom>
                    <a:noFill/>
                    <a:ln>
                      <a:noFill/>
                    </a:ln>
                  </pic:spPr>
                </pic:pic>
              </a:graphicData>
            </a:graphic>
          </wp:inline>
        </w:drawing>
      </w:r>
    </w:p>
    <w:p w:rsidR="00441DD2" w:rsidRDefault="00441DD2" w:rsidP="00A44CD9">
      <w:pPr>
        <w:pStyle w:val="Caption"/>
      </w:pPr>
      <w:bookmarkStart w:id="18" w:name="_Ref362857139"/>
      <w:proofErr w:type="gramStart"/>
      <w:r>
        <w:t xml:space="preserve">Figure </w:t>
      </w:r>
      <w:fldSimple w:instr=" SEQ Figure \* ARABIC ">
        <w:r w:rsidR="00C2254E">
          <w:rPr>
            <w:noProof/>
          </w:rPr>
          <w:t>4</w:t>
        </w:r>
      </w:fldSimple>
      <w:bookmarkEnd w:id="17"/>
      <w:bookmarkEnd w:id="18"/>
      <w:r>
        <w:t>.</w:t>
      </w:r>
      <w:proofErr w:type="gramEnd"/>
      <w:r w:rsidR="00271E47">
        <w:t xml:space="preserve"> </w:t>
      </w:r>
      <w:proofErr w:type="gramStart"/>
      <w:r w:rsidRPr="00BF3679">
        <w:t>Electricity generation</w:t>
      </w:r>
      <w:r w:rsidR="001C558A">
        <w:t xml:space="preserve"> in </w:t>
      </w:r>
      <w:r w:rsidR="001315DF">
        <w:t xml:space="preserve">reference scenarios in 2050 by </w:t>
      </w:r>
      <w:r w:rsidRPr="00BF3679">
        <w:t xml:space="preserve">technology </w:t>
      </w:r>
      <w:r w:rsidR="00C43463">
        <w:t>assumptions</w:t>
      </w:r>
      <w:r w:rsidR="000B1F21">
        <w:t>.</w:t>
      </w:r>
      <w:proofErr w:type="gramEnd"/>
      <w:r w:rsidR="00A44CD9">
        <w:t xml:space="preserve"> </w:t>
      </w:r>
    </w:p>
    <w:p w:rsidR="00331942" w:rsidRPr="006662EC" w:rsidRDefault="00043734" w:rsidP="00C71E25">
      <w:pPr>
        <w:pStyle w:val="Heading2"/>
      </w:pPr>
      <w:r>
        <w:lastRenderedPageBreak/>
        <w:t xml:space="preserve">Greenhouse Gas </w:t>
      </w:r>
      <w:r w:rsidR="00F54125">
        <w:t>Emissions</w:t>
      </w:r>
    </w:p>
    <w:p w:rsidR="00715464" w:rsidRPr="003067F5" w:rsidRDefault="00D72114" w:rsidP="003067F5">
      <w:r>
        <w:t xml:space="preserve">Consistent with the lack of low-carbon penetration into the energy sector discussed in Section </w:t>
      </w:r>
      <w:r w:rsidR="0018725F">
        <w:fldChar w:fldCharType="begin"/>
      </w:r>
      <w:r>
        <w:instrText xml:space="preserve"> REF _Ref365731418 \r \h </w:instrText>
      </w:r>
      <w:r w:rsidR="0018725F">
        <w:fldChar w:fldCharType="separate"/>
      </w:r>
      <w:r w:rsidR="00353B23">
        <w:t>3.2</w:t>
      </w:r>
      <w:r w:rsidR="0018725F">
        <w:fldChar w:fldCharType="end"/>
      </w:r>
      <w:r>
        <w:t>, n</w:t>
      </w:r>
      <w:r w:rsidR="009157D8">
        <w:t xml:space="preserve">o reference scenario </w:t>
      </w:r>
      <w:r w:rsidR="00AF1F08">
        <w:t xml:space="preserve">in this study </w:t>
      </w:r>
      <w:r w:rsidR="009157D8">
        <w:t>meets the mitigation goals of the</w:t>
      </w:r>
      <w:r w:rsidR="00AF25DF">
        <w:t xml:space="preserve"> study. Even </w:t>
      </w:r>
      <w:r w:rsidR="00807F22">
        <w:t>under</w:t>
      </w:r>
      <w:r w:rsidR="00AF25DF">
        <w:t xml:space="preserve"> </w:t>
      </w:r>
      <w:r w:rsidR="009376EA">
        <w:t xml:space="preserve">Optimistic </w:t>
      </w:r>
      <w:r w:rsidR="00807F22">
        <w:t>Technology assumptions</w:t>
      </w:r>
      <w:r w:rsidR="00AF25DF">
        <w:t xml:space="preserve">, the most aggressive emissions reduction </w:t>
      </w:r>
      <w:r w:rsidR="00AC0B12">
        <w:t xml:space="preserve">from any of the models is </w:t>
      </w:r>
      <w:r w:rsidR="00AF25DF">
        <w:t>-0.19% per year</w:t>
      </w:r>
      <w:r w:rsidR="00803D03">
        <w:t xml:space="preserve"> through 2050</w:t>
      </w:r>
      <w:r w:rsidR="00AF1F08">
        <w:t xml:space="preserve"> (</w:t>
      </w:r>
      <w:r w:rsidR="003743D4">
        <w:fldChar w:fldCharType="begin"/>
      </w:r>
      <w:r w:rsidR="003743D4">
        <w:instrText xml:space="preserve"> REF _Ref340354465 \h </w:instrText>
      </w:r>
      <w:r w:rsidR="003743D4">
        <w:fldChar w:fldCharType="separate"/>
      </w:r>
      <w:r w:rsidR="003743D4">
        <w:t xml:space="preserve">Figure </w:t>
      </w:r>
      <w:r w:rsidR="003743D4">
        <w:rPr>
          <w:noProof/>
        </w:rPr>
        <w:t>5</w:t>
      </w:r>
      <w:r w:rsidR="003743D4">
        <w:fldChar w:fldCharType="end"/>
      </w:r>
      <w:r w:rsidR="003743D4">
        <w:t xml:space="preserve"> and </w:t>
      </w:r>
      <w:r w:rsidR="00803D03">
        <w:t>Figure S.1</w:t>
      </w:r>
      <w:r w:rsidR="003743D4">
        <w:t xml:space="preserve"> in the supplementary material for this paper</w:t>
      </w:r>
      <w:r w:rsidR="00AF1F08">
        <w:t>)</w:t>
      </w:r>
      <w:r w:rsidR="00AF25DF">
        <w:t xml:space="preserve">. Although </w:t>
      </w:r>
      <w:r w:rsidR="0091167E">
        <w:t>self-evident</w:t>
      </w:r>
      <w:r w:rsidR="00AF25DF">
        <w:t xml:space="preserve">, this observation is important because it further reinforces the notion that </w:t>
      </w:r>
      <w:r w:rsidR="003743D4">
        <w:t xml:space="preserve">it </w:t>
      </w:r>
      <w:r w:rsidR="0091167E">
        <w:t xml:space="preserve">is unlikely that </w:t>
      </w:r>
      <w:r w:rsidR="00AF25DF">
        <w:t xml:space="preserve">technology alone will </w:t>
      </w:r>
      <w:r w:rsidR="0091167E">
        <w:t xml:space="preserve">be sufficient to meet </w:t>
      </w:r>
      <w:r w:rsidR="00AF25DF">
        <w:t>aggressive climate goals. Climate policy is needed to reduce emissions in a meaningful way.</w:t>
      </w:r>
      <w:r w:rsidR="00A44CD9">
        <w:t xml:space="preserve"> </w:t>
      </w:r>
      <w:r w:rsidR="0091167E">
        <w:t>In the results from this particular study, the benefit of t</w:t>
      </w:r>
      <w:r w:rsidR="002A21B7">
        <w:t xml:space="preserve">echnology </w:t>
      </w:r>
      <w:r w:rsidR="0091167E">
        <w:t xml:space="preserve">is largely to </w:t>
      </w:r>
      <w:r w:rsidR="002A21B7">
        <w:t xml:space="preserve">alter the challenge of meeting long-term </w:t>
      </w:r>
      <w:r w:rsidR="003743D4">
        <w:t xml:space="preserve">mitigation </w:t>
      </w:r>
      <w:r w:rsidR="002A21B7">
        <w:t>goals.</w:t>
      </w:r>
    </w:p>
    <w:p w:rsidR="003067F5" w:rsidRDefault="003067F5" w:rsidP="003067F5">
      <w:r>
        <w:t xml:space="preserve">The variation in reference </w:t>
      </w:r>
      <w:r w:rsidR="001E436C">
        <w:t xml:space="preserve">scenario </w:t>
      </w:r>
      <w:r>
        <w:t xml:space="preserve">emissions tends to follow the variation in energy production quite closely, and therefore follows the same logic. That is, the end-use assumptions have the largest influence on reference </w:t>
      </w:r>
      <w:r w:rsidR="001E436C">
        <w:t xml:space="preserve">scenario </w:t>
      </w:r>
      <w:r>
        <w:t>emissions and there is substantial variation across models in</w:t>
      </w:r>
      <w:r w:rsidR="001E436C">
        <w:t xml:space="preserve"> terms of reference scenario </w:t>
      </w:r>
      <w:r>
        <w:t xml:space="preserve">emissions. Although not shown here, the variation in supply technology assumptions does not lead to as large a variation in emissions as the variation in the models and their attendant assumptions. </w:t>
      </w:r>
      <w:proofErr w:type="gramStart"/>
      <w:r>
        <w:t>The electricity and transportation sectors together account for over half of total emissions by 2050 in all models, as is the case today (</w:t>
      </w:r>
      <w:r>
        <w:fldChar w:fldCharType="begin"/>
      </w:r>
      <w:r>
        <w:instrText xml:space="preserve"> REF _Ref340354465 \h </w:instrText>
      </w:r>
      <w:r>
        <w:fldChar w:fldCharType="separate"/>
      </w:r>
      <w:r w:rsidR="00E83CA8">
        <w:t xml:space="preserve">Figure </w:t>
      </w:r>
      <w:r w:rsidR="00E83CA8">
        <w:rPr>
          <w:noProof/>
        </w:rPr>
        <w:t>5</w:t>
      </w:r>
      <w:r>
        <w:fldChar w:fldCharType="end"/>
      </w:r>
      <w:r>
        <w:t>).</w:t>
      </w:r>
      <w:proofErr w:type="gramEnd"/>
      <w:r>
        <w:t xml:space="preserve"> This is an artifact of the fact that the building sector and the industrial sector both make extensive use of electricity, which means that much of the emissions consequences of these sectors are mediated through electricity production.</w:t>
      </w:r>
    </w:p>
    <w:p w:rsidR="003067F5" w:rsidRDefault="003067F5" w:rsidP="003067F5">
      <w:r>
        <w:t xml:space="preserve">In addition to the different sizes and characters of the energy systems across models and scenarios, one reason for variation in 2050 among the models is that they begin at different starting points in 2010. A large portion of the variation is due to differences in the gases covered by the different models. Those models that track only CO2 emissions fall well below those that track additional GHGs. A second reason for the difference is that models start from different points in time (see </w:t>
      </w:r>
      <w:r>
        <w:fldChar w:fldCharType="begin"/>
      </w:r>
      <w:r>
        <w:instrText xml:space="preserve"> REF _Ref342908589 \h </w:instrText>
      </w:r>
      <w:r>
        <w:fldChar w:fldCharType="separate"/>
      </w:r>
      <w:r w:rsidR="00E83CA8">
        <w:t xml:space="preserve">Table </w:t>
      </w:r>
      <w:r w:rsidR="00E83CA8">
        <w:rPr>
          <w:noProof/>
        </w:rPr>
        <w:t>3</w:t>
      </w:r>
      <w:r>
        <w:fldChar w:fldCharType="end"/>
      </w:r>
      <w:r>
        <w:t>), so that 2010 is a projection year for all models in this study</w:t>
      </w:r>
      <w:r w:rsidRPr="00715464">
        <w:t>. In general, none of the models effectively represented the recent reduction in CO2 emissions.</w:t>
      </w:r>
    </w:p>
    <w:p w:rsidR="00803D03" w:rsidRPr="00A44CD9" w:rsidRDefault="00803D03" w:rsidP="003067F5"/>
    <w:p w:rsidR="009D0764" w:rsidRDefault="00306870" w:rsidP="0006786B">
      <w:pPr>
        <w:ind w:firstLine="0"/>
        <w:jc w:val="center"/>
      </w:pPr>
      <w:bookmarkStart w:id="19" w:name="_Ref353194359"/>
      <w:r w:rsidRPr="00306870">
        <w:rPr>
          <w:noProof/>
        </w:rPr>
        <w:lastRenderedPageBreak/>
        <w:drawing>
          <wp:inline distT="0" distB="0" distL="0" distR="0" wp14:anchorId="474D1859" wp14:editId="73ABEBEA">
            <wp:extent cx="4114800" cy="31937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14800" cy="3193733"/>
                    </a:xfrm>
                    <a:prstGeom prst="rect">
                      <a:avLst/>
                    </a:prstGeom>
                    <a:noFill/>
                    <a:ln>
                      <a:noFill/>
                    </a:ln>
                  </pic:spPr>
                </pic:pic>
              </a:graphicData>
            </a:graphic>
          </wp:inline>
        </w:drawing>
      </w:r>
    </w:p>
    <w:p w:rsidR="009D0764" w:rsidRDefault="009D0764" w:rsidP="0006786B">
      <w:pPr>
        <w:pStyle w:val="Caption"/>
      </w:pPr>
      <w:bookmarkStart w:id="20" w:name="_Ref340354465"/>
      <w:proofErr w:type="gramStart"/>
      <w:r>
        <w:t xml:space="preserve">Figure </w:t>
      </w:r>
      <w:fldSimple w:instr=" SEQ Figure \* ARABIC ">
        <w:r w:rsidR="00E83CA8">
          <w:rPr>
            <w:noProof/>
          </w:rPr>
          <w:t>5</w:t>
        </w:r>
      </w:fldSimple>
      <w:bookmarkEnd w:id="20"/>
      <w:r>
        <w:t>.</w:t>
      </w:r>
      <w:proofErr w:type="gramEnd"/>
      <w:r w:rsidR="00271E47">
        <w:t xml:space="preserve"> </w:t>
      </w:r>
      <w:proofErr w:type="gramStart"/>
      <w:r w:rsidRPr="001821E9">
        <w:t xml:space="preserve">GHG emissions </w:t>
      </w:r>
      <w:r w:rsidR="004B14C5">
        <w:t xml:space="preserve">in reference scenarios in 2050 by </w:t>
      </w:r>
      <w:r w:rsidRPr="001821E9">
        <w:t xml:space="preserve">sector </w:t>
      </w:r>
      <w:r w:rsidR="004B14C5">
        <w:t>and by technology assumptions.</w:t>
      </w:r>
      <w:proofErr w:type="gramEnd"/>
    </w:p>
    <w:p w:rsidR="00C2265F" w:rsidRDefault="00E8323D" w:rsidP="00C71E25">
      <w:pPr>
        <w:pStyle w:val="Heading1"/>
      </w:pPr>
      <w:r>
        <w:t xml:space="preserve">Climate Policy </w:t>
      </w:r>
      <w:r w:rsidR="00FF6445">
        <w:t>Scenarios</w:t>
      </w:r>
      <w:bookmarkEnd w:id="19"/>
    </w:p>
    <w:p w:rsidR="00E8323D" w:rsidRPr="00701D49" w:rsidRDefault="006353A4" w:rsidP="00C71E25">
      <w:pPr>
        <w:pStyle w:val="Heading2"/>
      </w:pPr>
      <w:r>
        <w:t>Emissions pathways</w:t>
      </w:r>
      <w:r w:rsidR="00A44CD9">
        <w:t xml:space="preserve"> </w:t>
      </w:r>
      <w:r w:rsidR="00E8323D" w:rsidRPr="00701D49">
        <w:t xml:space="preserve">and </w:t>
      </w:r>
      <w:r w:rsidR="00E8323D">
        <w:t>the feasibility of emissions reductions targets</w:t>
      </w:r>
    </w:p>
    <w:p w:rsidR="00EC1C61" w:rsidRDefault="006353A4" w:rsidP="00483A6D">
      <w:r>
        <w:t>A broadly important result of the mitigation scenarios is that every mod</w:t>
      </w:r>
      <w:r w:rsidR="00EC1C61">
        <w:t>el could produce every scenario in the study. This means that they were able to meet 50% reductions even under the most pessimistic assumptions about technology. It also means that every model was able to produce the 80% reduction scenarios without nuclear and CCS</w:t>
      </w:r>
      <w:r w:rsidR="0028349F">
        <w:t xml:space="preserve">; </w:t>
      </w:r>
      <w:r w:rsidR="00483A6D">
        <w:t xml:space="preserve">that is, relying exclusively on renewable energy and </w:t>
      </w:r>
      <w:r w:rsidR="00437CD2">
        <w:t>end-use</w:t>
      </w:r>
      <w:r w:rsidR="00483A6D">
        <w:t xml:space="preserve"> measures</w:t>
      </w:r>
      <w:r w:rsidR="0028349F">
        <w:t>. C</w:t>
      </w:r>
      <w:r w:rsidR="00EC1C61">
        <w:t xml:space="preserve">onversely, </w:t>
      </w:r>
      <w:r w:rsidR="0028349F">
        <w:t xml:space="preserve">every model could produce all </w:t>
      </w:r>
      <w:r w:rsidR="003743D4">
        <w:t xml:space="preserve">mitigation </w:t>
      </w:r>
      <w:r w:rsidR="0028349F">
        <w:t xml:space="preserve">the scenarios based on </w:t>
      </w:r>
      <w:r w:rsidR="00EC1C61">
        <w:t>less optimistic assumptions about renewable energy.</w:t>
      </w:r>
      <w:r w:rsidR="003023F4">
        <w:t xml:space="preserve"> To be clear, however, this</w:t>
      </w:r>
      <w:r w:rsidR="003743D4">
        <w:t xml:space="preserve"> ability of models to produce scenarios</w:t>
      </w:r>
      <w:r w:rsidR="003023F4">
        <w:t xml:space="preserve"> </w:t>
      </w:r>
      <w:r w:rsidR="0028349F">
        <w:t xml:space="preserve">is not sufficient to draw conclusions about the </w:t>
      </w:r>
      <w:r w:rsidR="003023F4">
        <w:t>“feasib</w:t>
      </w:r>
      <w:r w:rsidR="0028349F">
        <w:t>ility</w:t>
      </w:r>
      <w:r w:rsidR="003023F4">
        <w:t xml:space="preserve">” </w:t>
      </w:r>
      <w:r w:rsidR="003743D4">
        <w:t>of these scenarios in a more applied sense</w:t>
      </w:r>
      <w:r w:rsidR="003023F4">
        <w:t xml:space="preserve">. </w:t>
      </w:r>
      <w:r w:rsidR="00592371">
        <w:t xml:space="preserve">The </w:t>
      </w:r>
      <w:r w:rsidR="00633EE4">
        <w:t xml:space="preserve">ability or </w:t>
      </w:r>
      <w:r w:rsidR="00592371">
        <w:t>inability of models to produce scenarios is a useful input to discussions of feasibility</w:t>
      </w:r>
      <w:r w:rsidR="00633EE4">
        <w:t xml:space="preserve">. However, </w:t>
      </w:r>
      <w:r w:rsidR="00592371">
        <w:t xml:space="preserve">judgments of feasibility are </w:t>
      </w:r>
      <w:r w:rsidR="00633EE4">
        <w:t xml:space="preserve">ultimately </w:t>
      </w:r>
      <w:r w:rsidR="00592371">
        <w:t xml:space="preserve">bound up in subjective assessments of whether the U.S. (in this case) would be willing and capable of </w:t>
      </w:r>
      <w:r w:rsidR="00633EE4">
        <w:t xml:space="preserve">taking on the transformation required to meet the mitigation goals, including bearing the associated macroeconomic costs and undergoing </w:t>
      </w:r>
      <w:r w:rsidR="0028349F">
        <w:t xml:space="preserve">the required </w:t>
      </w:r>
      <w:r w:rsidR="00633EE4">
        <w:t>technological, institutional, and social transitions</w:t>
      </w:r>
      <w:r w:rsidR="00A34A92">
        <w:t>.</w:t>
      </w:r>
    </w:p>
    <w:p w:rsidR="00D34723" w:rsidRDefault="00592371" w:rsidP="00483A6D">
      <w:r>
        <w:t xml:space="preserve">Three important questions regarding mitigation are (1) </w:t>
      </w:r>
      <w:r w:rsidR="0028349F">
        <w:t xml:space="preserve">from which sectors </w:t>
      </w:r>
      <w:r>
        <w:t xml:space="preserve">will emissions reductions come from in an economically-efficient approach to mitigation, (2) which sectors might undergo the largest transitions, and (3) which sectors might ultimately prove the most challenging </w:t>
      </w:r>
      <w:r w:rsidR="0028349F">
        <w:t xml:space="preserve">for </w:t>
      </w:r>
      <w:r>
        <w:t>mitigat</w:t>
      </w:r>
      <w:r w:rsidR="0028349F">
        <w:t>ion</w:t>
      </w:r>
      <w:r>
        <w:t xml:space="preserve">. The relative distribution of emissions reductions </w:t>
      </w:r>
      <w:r w:rsidR="0028349F">
        <w:t xml:space="preserve">across sectors </w:t>
      </w:r>
      <w:r>
        <w:t>(</w:t>
      </w:r>
      <w:r w:rsidR="0018725F">
        <w:fldChar w:fldCharType="begin"/>
      </w:r>
      <w:r w:rsidR="00C723DA">
        <w:instrText xml:space="preserve"> REF _Ref339367427 \h </w:instrText>
      </w:r>
      <w:r w:rsidR="0018725F">
        <w:fldChar w:fldCharType="separate"/>
      </w:r>
      <w:r w:rsidR="004B14C5">
        <w:t xml:space="preserve">Figure </w:t>
      </w:r>
      <w:r w:rsidR="004B14C5">
        <w:rPr>
          <w:noProof/>
        </w:rPr>
        <w:t>6</w:t>
      </w:r>
      <w:r w:rsidR="0018725F">
        <w:fldChar w:fldCharType="end"/>
      </w:r>
      <w:r w:rsidR="004662CC">
        <w:t xml:space="preserve"> and </w:t>
      </w:r>
      <w:r w:rsidR="0018725F">
        <w:fldChar w:fldCharType="begin"/>
      </w:r>
      <w:r w:rsidR="004662CC">
        <w:instrText xml:space="preserve"> REF _Ref353271916 \h </w:instrText>
      </w:r>
      <w:r w:rsidR="0018725F">
        <w:fldChar w:fldCharType="separate"/>
      </w:r>
      <w:r w:rsidR="004B14C5">
        <w:t xml:space="preserve">Figure </w:t>
      </w:r>
      <w:r w:rsidR="004B14C5">
        <w:rPr>
          <w:noProof/>
        </w:rPr>
        <w:t>7</w:t>
      </w:r>
      <w:r w:rsidR="0018725F">
        <w:fldChar w:fldCharType="end"/>
      </w:r>
      <w:r>
        <w:t>) provide</w:t>
      </w:r>
      <w:r w:rsidR="00C723DA">
        <w:t>s a</w:t>
      </w:r>
      <w:r>
        <w:t xml:space="preserve"> window into these questions. Across </w:t>
      </w:r>
      <w:r>
        <w:lastRenderedPageBreak/>
        <w:t xml:space="preserve">scenarios, electricity constitutes the largest </w:t>
      </w:r>
      <w:r w:rsidR="0028349F">
        <w:t xml:space="preserve">single </w:t>
      </w:r>
      <w:r>
        <w:t xml:space="preserve">contributor to emissions mitigation </w:t>
      </w:r>
      <w:r w:rsidR="00080339">
        <w:t>across models</w:t>
      </w:r>
      <w:r w:rsidR="00EF52B2">
        <w:t>, and electricity undergoes a substantial transformation through 2050</w:t>
      </w:r>
      <w:r w:rsidR="00080339">
        <w:t xml:space="preserve">. </w:t>
      </w:r>
      <w:r w:rsidR="00EF52B2">
        <w:t>For example, m</w:t>
      </w:r>
      <w:r w:rsidR="00A57458">
        <w:t xml:space="preserve">ost models </w:t>
      </w:r>
      <w:r w:rsidR="00D34723">
        <w:t xml:space="preserve">reduce electricity by 75% or more </w:t>
      </w:r>
      <w:r w:rsidR="00A57458">
        <w:t>by 2050</w:t>
      </w:r>
      <w:r w:rsidR="00D34723">
        <w:t xml:space="preserve"> in the 50% reduction scenarios</w:t>
      </w:r>
      <w:r w:rsidR="00A44CD9">
        <w:t xml:space="preserve"> </w:t>
      </w:r>
      <w:r w:rsidR="003743D4">
        <w:t>under</w:t>
      </w:r>
      <w:r w:rsidR="00EF52B2">
        <w:t xml:space="preserve"> </w:t>
      </w:r>
      <w:r w:rsidR="009376EA">
        <w:t xml:space="preserve">Pessimistic </w:t>
      </w:r>
      <w:r w:rsidR="00EF52B2">
        <w:t xml:space="preserve">Renewable </w:t>
      </w:r>
      <w:r w:rsidR="003743D4">
        <w:t>assumptions</w:t>
      </w:r>
      <w:r w:rsidR="00A57458">
        <w:t>.</w:t>
      </w:r>
      <w:r w:rsidR="00A44CD9">
        <w:t xml:space="preserve"> </w:t>
      </w:r>
      <w:r w:rsidR="00EF52B2">
        <w:t xml:space="preserve">The role of electricity in these scenarios supports the notion that electricity is the least-challenging sector to decarbonize directly </w:t>
      </w:r>
      <w:r w:rsidR="00B67443">
        <w:t>so it takes on the largest initial emission</w:t>
      </w:r>
      <w:r w:rsidR="00A44CD9">
        <w:t xml:space="preserve"> </w:t>
      </w:r>
      <w:r w:rsidR="00B67443">
        <w:t>reductions</w:t>
      </w:r>
      <w:r w:rsidR="00EF52B2">
        <w:t xml:space="preserve"> (</w:t>
      </w:r>
      <w:r w:rsidR="00101A3F">
        <w:t>see, for example, Edmonds et al., 2006</w:t>
      </w:r>
      <w:r w:rsidR="00EF52B2">
        <w:t>).</w:t>
      </w:r>
      <w:r w:rsidR="00B67443">
        <w:t xml:space="preserve"> However, it is also important to remember that not all these reductions arise from changing to low-carbon supply options. The price on carbon also leads to reductions in electricity use</w:t>
      </w:r>
      <w:r w:rsidR="003743D4">
        <w:t xml:space="preserve"> in end uses</w:t>
      </w:r>
      <w:r w:rsidR="00B67443">
        <w:t xml:space="preserve">, which lowers electricity sector emissions (technology transitions in the electricity sector are discussed in Section </w:t>
      </w:r>
      <w:r w:rsidR="0018725F">
        <w:fldChar w:fldCharType="begin"/>
      </w:r>
      <w:r w:rsidR="00B67443">
        <w:instrText xml:space="preserve"> REF _Ref365822110 \r \h </w:instrText>
      </w:r>
      <w:r w:rsidR="0018725F">
        <w:fldChar w:fldCharType="separate"/>
      </w:r>
      <w:r w:rsidR="004B14C5">
        <w:t>4.3</w:t>
      </w:r>
      <w:r w:rsidR="0018725F">
        <w:fldChar w:fldCharType="end"/>
      </w:r>
      <w:r w:rsidR="00B67443">
        <w:t>).</w:t>
      </w:r>
    </w:p>
    <w:p w:rsidR="00592371" w:rsidRDefault="00EF52B2" w:rsidP="00483A6D">
      <w:r>
        <w:t xml:space="preserve">Because emissions from electricity are so substantially reduced in the 50% scenarios, there is relatively little remaining </w:t>
      </w:r>
      <w:r w:rsidR="00A34A92">
        <w:t>room</w:t>
      </w:r>
      <w:r>
        <w:t xml:space="preserve"> for additional emissions reductions </w:t>
      </w:r>
      <w:r w:rsidR="00A34A92">
        <w:t xml:space="preserve">from that sector </w:t>
      </w:r>
      <w:r>
        <w:t>to meet the 80% goal</w:t>
      </w:r>
      <w:r w:rsidR="00B67443">
        <w:t xml:space="preserve"> in most models</w:t>
      </w:r>
      <w:r>
        <w:t xml:space="preserve">. For this reason, the </w:t>
      </w:r>
      <w:r w:rsidR="00812CE9">
        <w:t>bulk of the additional emiss</w:t>
      </w:r>
      <w:r w:rsidR="00A57458">
        <w:t>ions reductions come from non-electric sectors</w:t>
      </w:r>
      <w:r w:rsidR="00B67443">
        <w:t>, which require increasingly higher costs</w:t>
      </w:r>
      <w:r w:rsidR="00812CE9">
        <w:t xml:space="preserve">. </w:t>
      </w:r>
      <w:r w:rsidR="007835ED">
        <w:t xml:space="preserve">Exceptions to this include </w:t>
      </w:r>
      <w:r w:rsidR="0006786B">
        <w:t xml:space="preserve">FARM and GCAM, which rely upon </w:t>
      </w:r>
      <w:r w:rsidR="00A57458">
        <w:t>bioenergy coupled with CCS in the electric sector. With this technology, the electric sector serves as a carbon sink moving from the 50% to the 80% scenario</w:t>
      </w:r>
      <w:r w:rsidR="00B67443">
        <w:t>; that is, emissions are reduced beyond 100%</w:t>
      </w:r>
      <w:r w:rsidR="00A57458">
        <w:t>. This limits the necessity to reduce emissions from other sectors at deeper levels of emissions reduction.</w:t>
      </w:r>
      <w:r w:rsidR="007835ED">
        <w:t xml:space="preserve"> </w:t>
      </w:r>
      <w:r w:rsidR="00306870">
        <w:t xml:space="preserve">Under </w:t>
      </w:r>
      <w:r w:rsidR="007835ED">
        <w:t xml:space="preserve">the </w:t>
      </w:r>
      <w:r w:rsidR="009376EA">
        <w:t xml:space="preserve">Pessimistic </w:t>
      </w:r>
      <w:r w:rsidR="00306870">
        <w:t>CCS/</w:t>
      </w:r>
      <w:proofErr w:type="spellStart"/>
      <w:r w:rsidR="00306870">
        <w:t>Nuc</w:t>
      </w:r>
      <w:proofErr w:type="spellEnd"/>
      <w:r w:rsidR="007835ED">
        <w:t xml:space="preserve"> </w:t>
      </w:r>
      <w:r w:rsidR="00306870">
        <w:t>assumptions</w:t>
      </w:r>
      <w:r w:rsidR="007835ED">
        <w:t xml:space="preserve">, ADAGE, </w:t>
      </w:r>
      <w:proofErr w:type="spellStart"/>
      <w:r w:rsidR="007835ED">
        <w:t>NewERA</w:t>
      </w:r>
      <w:proofErr w:type="spellEnd"/>
      <w:r w:rsidR="007835ED">
        <w:t xml:space="preserve"> and USREP also find additional, substantial reductions from the power sector.</w:t>
      </w:r>
    </w:p>
    <w:p w:rsidR="00AB1753" w:rsidRDefault="00AB1753" w:rsidP="00483A6D"/>
    <w:p w:rsidR="003C2933" w:rsidRDefault="00D321E3" w:rsidP="00A44CD9">
      <w:pPr>
        <w:ind w:firstLine="0"/>
      </w:pPr>
      <w:r w:rsidRPr="00D321E3">
        <w:rPr>
          <w:noProof/>
        </w:rPr>
        <w:drawing>
          <wp:inline distT="0" distB="0" distL="0" distR="0" wp14:anchorId="5CD70C2B" wp14:editId="40FABC11">
            <wp:extent cx="4123944" cy="3200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123944" cy="3200400"/>
                    </a:xfrm>
                    <a:prstGeom prst="rect">
                      <a:avLst/>
                    </a:prstGeom>
                    <a:noFill/>
                    <a:ln>
                      <a:noFill/>
                    </a:ln>
                  </pic:spPr>
                </pic:pic>
              </a:graphicData>
            </a:graphic>
          </wp:inline>
        </w:drawing>
      </w:r>
    </w:p>
    <w:p w:rsidR="00B42E69" w:rsidRDefault="00B42E69" w:rsidP="00A44CD9">
      <w:pPr>
        <w:pStyle w:val="Caption"/>
      </w:pPr>
      <w:bookmarkStart w:id="21" w:name="_Ref339367427"/>
      <w:proofErr w:type="gramStart"/>
      <w:r>
        <w:t xml:space="preserve">Figure </w:t>
      </w:r>
      <w:fldSimple w:instr=" SEQ Figure \* ARABIC ">
        <w:r w:rsidR="004B14C5">
          <w:rPr>
            <w:noProof/>
          </w:rPr>
          <w:t>6</w:t>
        </w:r>
      </w:fldSimple>
      <w:bookmarkEnd w:id="21"/>
      <w:r>
        <w:t>.</w:t>
      </w:r>
      <w:proofErr w:type="gramEnd"/>
      <w:r w:rsidR="00637C97">
        <w:t xml:space="preserve"> </w:t>
      </w:r>
      <w:proofErr w:type="gramStart"/>
      <w:r w:rsidR="00D0674B">
        <w:t xml:space="preserve">Emission reductions from </w:t>
      </w:r>
      <w:r w:rsidR="001E436C">
        <w:t xml:space="preserve">the corresponding reference scenario </w:t>
      </w:r>
      <w:r w:rsidR="00D321E3">
        <w:t xml:space="preserve">in 2050 </w:t>
      </w:r>
      <w:r w:rsidR="00D0674B">
        <w:t>by secto</w:t>
      </w:r>
      <w:r w:rsidR="00D676DA">
        <w:t xml:space="preserve">r </w:t>
      </w:r>
      <w:r w:rsidR="00D0674B">
        <w:t>in 50% and 80% scenarios for</w:t>
      </w:r>
      <w:r w:rsidR="00D0674B" w:rsidRPr="00D676DA">
        <w:t xml:space="preserve"> </w:t>
      </w:r>
      <w:r w:rsidR="009376EA">
        <w:t xml:space="preserve">Pessimistic </w:t>
      </w:r>
      <w:r w:rsidR="00306870">
        <w:t>CCS/</w:t>
      </w:r>
      <w:proofErr w:type="spellStart"/>
      <w:r w:rsidR="00306870">
        <w:t>Nuc</w:t>
      </w:r>
      <w:proofErr w:type="spellEnd"/>
      <w:r w:rsidR="00D0674B" w:rsidRPr="00D676DA">
        <w:t xml:space="preserve"> and </w:t>
      </w:r>
      <w:r w:rsidR="009376EA">
        <w:t xml:space="preserve">Pessimistic </w:t>
      </w:r>
      <w:r w:rsidR="00D0674B">
        <w:t xml:space="preserve">Renew </w:t>
      </w:r>
      <w:r w:rsidR="00C43463">
        <w:t>technology assumptions</w:t>
      </w:r>
      <w:r w:rsidR="00A44CD9">
        <w:t>.</w:t>
      </w:r>
      <w:proofErr w:type="gramEnd"/>
    </w:p>
    <w:p w:rsidR="004662CC" w:rsidRDefault="00AA6921" w:rsidP="0006786B">
      <w:pPr>
        <w:ind w:firstLine="0"/>
        <w:jc w:val="center"/>
      </w:pPr>
      <w:r w:rsidRPr="00AA6921">
        <w:rPr>
          <w:noProof/>
        </w:rPr>
        <w:lastRenderedPageBreak/>
        <w:drawing>
          <wp:inline distT="0" distB="0" distL="0" distR="0" wp14:anchorId="0D0C939A" wp14:editId="36873491">
            <wp:extent cx="4114800" cy="26877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114800" cy="2687755"/>
                    </a:xfrm>
                    <a:prstGeom prst="rect">
                      <a:avLst/>
                    </a:prstGeom>
                    <a:noFill/>
                    <a:ln>
                      <a:noFill/>
                    </a:ln>
                  </pic:spPr>
                </pic:pic>
              </a:graphicData>
            </a:graphic>
          </wp:inline>
        </w:drawing>
      </w:r>
    </w:p>
    <w:p w:rsidR="004662CC" w:rsidRPr="004662CC" w:rsidRDefault="004662CC" w:rsidP="00A44CD9">
      <w:pPr>
        <w:pStyle w:val="Caption"/>
      </w:pPr>
      <w:bookmarkStart w:id="22" w:name="_Ref353271916"/>
      <w:proofErr w:type="gramStart"/>
      <w:r>
        <w:t xml:space="preserve">Figure </w:t>
      </w:r>
      <w:fldSimple w:instr=" SEQ Figure \* ARABIC ">
        <w:r w:rsidR="004B14C5">
          <w:rPr>
            <w:noProof/>
          </w:rPr>
          <w:t>7</w:t>
        </w:r>
      </w:fldSimple>
      <w:bookmarkEnd w:id="22"/>
      <w:r>
        <w:t>.</w:t>
      </w:r>
      <w:proofErr w:type="gramEnd"/>
      <w:r>
        <w:t xml:space="preserve"> Direct emissions reductions </w:t>
      </w:r>
      <w:r w:rsidR="00AA6921">
        <w:t xml:space="preserve">in 2050 </w:t>
      </w:r>
      <w:r>
        <w:t xml:space="preserve">by sector </w:t>
      </w:r>
      <w:r w:rsidR="00AA6921">
        <w:t xml:space="preserve">under </w:t>
      </w:r>
      <w:r w:rsidR="009376EA">
        <w:t xml:space="preserve">Pessimistic </w:t>
      </w:r>
      <w:r w:rsidR="003C2933">
        <w:t>Renewables</w:t>
      </w:r>
      <w:r w:rsidR="00AA6921">
        <w:t xml:space="preserve"> assumptions. Solid bars represent sectoral reductions for the 50% cap; hashed bars represent the additional </w:t>
      </w:r>
      <w:r w:rsidR="00C43463">
        <w:t>reductions for the 80% cap</w:t>
      </w:r>
      <w:r>
        <w:t>.</w:t>
      </w:r>
    </w:p>
    <w:p w:rsidR="005E7586" w:rsidRDefault="005E7586" w:rsidP="00ED67A5"/>
    <w:p w:rsidR="008D6F43" w:rsidRDefault="008D6F43" w:rsidP="00ED67A5">
      <w:r>
        <w:t xml:space="preserve">A salient question for understanding the strategy for mitigation in the U.S. is </w:t>
      </w:r>
      <w:r w:rsidR="00E83BC0">
        <w:t xml:space="preserve">whether mitigation in the energy sector takes place more through reductions in the emissions intensity of energy or reductions in the energy intensity of GDP. The relationship between these provides a perspective on the relative roles of </w:t>
      </w:r>
      <w:r w:rsidR="00437CD2">
        <w:t>end-use</w:t>
      </w:r>
      <w:r w:rsidR="00E83BC0">
        <w:t xml:space="preserve"> energy reduction (associated with  the change energy intensity of GDP) and the deployment of low-carbon energy and fuel switching to better utilize lower carbon fuels (reflected in the change in </w:t>
      </w:r>
      <w:r w:rsidR="00A225E9">
        <w:t xml:space="preserve">emissions intensity of energy). </w:t>
      </w:r>
      <w:r>
        <w:t xml:space="preserve">Historically, evolution </w:t>
      </w:r>
      <w:r w:rsidR="00A225E9">
        <w:t xml:space="preserve">in the energy sector </w:t>
      </w:r>
      <w:r w:rsidR="0067364B">
        <w:t>over the last fif</w:t>
      </w:r>
      <w:r w:rsidR="00A44CD9">
        <w:t>ty years</w:t>
      </w:r>
      <w:r>
        <w:t xml:space="preserve"> largely involved reductions in the energy intensity of GDP, with only modest reductions in the carbon intensity of energy</w:t>
      </w:r>
      <w:r w:rsidR="00E83BC0">
        <w:t xml:space="preserve"> (</w:t>
      </w:r>
      <w:r w:rsidR="0018725F">
        <w:fldChar w:fldCharType="begin"/>
      </w:r>
      <w:r w:rsidR="00E83BC0">
        <w:instrText xml:space="preserve"> REF _Ref346966875 \h </w:instrText>
      </w:r>
      <w:r w:rsidR="0018725F">
        <w:fldChar w:fldCharType="separate"/>
      </w:r>
      <w:r w:rsidR="004B14C5">
        <w:t xml:space="preserve">Figure </w:t>
      </w:r>
      <w:r w:rsidR="004B14C5">
        <w:rPr>
          <w:noProof/>
        </w:rPr>
        <w:t>8</w:t>
      </w:r>
      <w:r w:rsidR="0018725F">
        <w:fldChar w:fldCharType="end"/>
      </w:r>
      <w:r w:rsidR="00E90B34">
        <w:t xml:space="preserve"> and </w:t>
      </w:r>
      <w:r w:rsidR="00C96A5B">
        <w:t xml:space="preserve">Figure </w:t>
      </w:r>
      <w:r w:rsidR="00E90B34">
        <w:t>S</w:t>
      </w:r>
      <w:r w:rsidR="00C96A5B">
        <w:t>2 in the Supplementary Material</w:t>
      </w:r>
      <w:r w:rsidR="00E83BC0">
        <w:t>)</w:t>
      </w:r>
      <w:r>
        <w:t xml:space="preserve">. The </w:t>
      </w:r>
      <w:r w:rsidR="001E436C">
        <w:t xml:space="preserve">reference </w:t>
      </w:r>
      <w:r>
        <w:t xml:space="preserve">scenarios continue this trend, exhibiting </w:t>
      </w:r>
      <w:r w:rsidR="00424AEB">
        <w:t xml:space="preserve">a </w:t>
      </w:r>
      <w:r w:rsidR="002562E7">
        <w:t xml:space="preserve">decline in the energy intensity of economic activity from about 8 MJ/$ today to between </w:t>
      </w:r>
      <w:r w:rsidR="00424AEB">
        <w:t>3-5 MJ/$ in 2050</w:t>
      </w:r>
      <w:r>
        <w:t xml:space="preserve"> with very little change in the e</w:t>
      </w:r>
      <w:r w:rsidR="00424AEB">
        <w:t>missions intensity of energy over this time.</w:t>
      </w:r>
    </w:p>
    <w:p w:rsidR="00A57458" w:rsidRPr="005F32F6" w:rsidRDefault="00A225E9" w:rsidP="00ED67A5">
      <w:r>
        <w:t>T</w:t>
      </w:r>
      <w:r w:rsidR="008D6F43">
        <w:t>his behavior is largely reversed</w:t>
      </w:r>
      <w:r>
        <w:t xml:space="preserve"> in the mitigation scenarios. T</w:t>
      </w:r>
      <w:r w:rsidR="008D6F43">
        <w:t xml:space="preserve">he primary means of additional emissions reductions is to alter the mix of primary energy. </w:t>
      </w:r>
      <w:r w:rsidR="00424AEB">
        <w:t>Under</w:t>
      </w:r>
      <w:r w:rsidR="00807F22">
        <w:t xml:space="preserve"> Pessimistic Technology and Optimistic Technology assumptions </w:t>
      </w:r>
      <w:r w:rsidR="008318AF">
        <w:t>with a 50% emissions reduction, the energy intensity falls to 2-4 MJ/$. Emissions intensity of energy co</w:t>
      </w:r>
      <w:r w:rsidR="00840F45">
        <w:t xml:space="preserve">nsumption declines </w:t>
      </w:r>
      <w:proofErr w:type="gramStart"/>
      <w:r w:rsidR="00840F45">
        <w:t xml:space="preserve">from roughly </w:t>
      </w:r>
      <w:r w:rsidR="008318AF">
        <w:t xml:space="preserve">60 kgCO2/GJ to between 20 </w:t>
      </w:r>
      <w:r>
        <w:t xml:space="preserve">and </w:t>
      </w:r>
      <w:r w:rsidR="008318AF">
        <w:t>50 kgCO2/GJ</w:t>
      </w:r>
      <w:proofErr w:type="gramEnd"/>
      <w:r w:rsidR="008318AF">
        <w:t xml:space="preserve">. To put those numbers in the context of fossil fuels, the </w:t>
      </w:r>
      <w:r w:rsidR="00D316A3">
        <w:t xml:space="preserve">average </w:t>
      </w:r>
      <w:r w:rsidR="008318AF">
        <w:t>carbon content</w:t>
      </w:r>
      <w:r w:rsidR="00D316A3">
        <w:t xml:space="preserve"> of energy consumption would be similar to natural gas and up to </w:t>
      </w:r>
      <w:r w:rsidR="00C96A5B">
        <w:t xml:space="preserve">roughly </w:t>
      </w:r>
      <w:r w:rsidR="00D316A3">
        <w:t>50% lower.</w:t>
      </w:r>
    </w:p>
    <w:p w:rsidR="00B11D7E" w:rsidRDefault="00B11D7E" w:rsidP="00ED67A5">
      <w:pPr>
        <w:jc w:val="center"/>
      </w:pPr>
    </w:p>
    <w:p w:rsidR="009B0989" w:rsidRDefault="00637C97" w:rsidP="00C93667">
      <w:pPr>
        <w:ind w:firstLine="0"/>
        <w:jc w:val="center"/>
      </w:pPr>
      <w:r>
        <w:rPr>
          <w:noProof/>
        </w:rPr>
        <w:lastRenderedPageBreak/>
        <w:drawing>
          <wp:inline distT="0" distB="0" distL="0" distR="0" wp14:anchorId="2331F20C" wp14:editId="4E1F790C">
            <wp:extent cx="4087368" cy="2889504"/>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087368" cy="2889504"/>
                    </a:xfrm>
                    <a:prstGeom prst="rect">
                      <a:avLst/>
                    </a:prstGeom>
                    <a:noFill/>
                  </pic:spPr>
                </pic:pic>
              </a:graphicData>
            </a:graphic>
          </wp:inline>
        </w:drawing>
      </w:r>
    </w:p>
    <w:p w:rsidR="00671506" w:rsidRDefault="00C100BA" w:rsidP="00671506">
      <w:pPr>
        <w:pStyle w:val="Caption"/>
      </w:pPr>
      <w:bookmarkStart w:id="23" w:name="_Ref346966875"/>
      <w:bookmarkStart w:id="24" w:name="_Ref346966853"/>
      <w:proofErr w:type="gramStart"/>
      <w:r>
        <w:t xml:space="preserve">Figure </w:t>
      </w:r>
      <w:fldSimple w:instr=" SEQ Figure \* ARABIC ">
        <w:r w:rsidR="004B14C5">
          <w:rPr>
            <w:noProof/>
          </w:rPr>
          <w:t>8</w:t>
        </w:r>
      </w:fldSimple>
      <w:bookmarkEnd w:id="23"/>
      <w:r>
        <w:t>.</w:t>
      </w:r>
      <w:proofErr w:type="gramEnd"/>
      <w:r w:rsidR="00ED67DA">
        <w:t xml:space="preserve"> </w:t>
      </w:r>
      <w:proofErr w:type="gramStart"/>
      <w:r w:rsidR="00D0674B">
        <w:t>Energy intensity of GDP vs. emissions intensity of energy in 2050 (fossil equivalents)</w:t>
      </w:r>
      <w:bookmarkEnd w:id="24"/>
      <w:r w:rsidR="00AA6921">
        <w:t xml:space="preserve"> for different technology assumptions and emissions reduction levels.</w:t>
      </w:r>
      <w:proofErr w:type="gramEnd"/>
    </w:p>
    <w:p w:rsidR="00671506" w:rsidRPr="00A44CD9" w:rsidRDefault="00474803" w:rsidP="00271E47">
      <w:pPr>
        <w:ind w:firstLine="0"/>
      </w:pPr>
      <w:r>
        <w:t xml:space="preserve">In addition to affecting emissions pathways across sectors and energy and emission intensities, technology availability also alters the emission </w:t>
      </w:r>
      <w:r w:rsidR="00271E47">
        <w:t xml:space="preserve">reductions </w:t>
      </w:r>
      <w:r>
        <w:t>pathways over time</w:t>
      </w:r>
      <w:r w:rsidR="00271E47">
        <w:t xml:space="preserve"> (Figure </w:t>
      </w:r>
      <w:r w:rsidR="00C96A5B">
        <w:t>S3 and Figure S4 in the Supplementary Material</w:t>
      </w:r>
      <w:r w:rsidR="00271E47">
        <w:t>)</w:t>
      </w:r>
      <w:r>
        <w:t xml:space="preserve">. </w:t>
      </w:r>
      <w:r w:rsidR="00271E47">
        <w:t xml:space="preserve">The effect of technology on banking behavior is of particular interest. </w:t>
      </w:r>
      <w:r w:rsidR="00007016">
        <w:t>Recall that the cumulative reduction targets are based on a straight-line emissions pathway. The ability to bank emissions</w:t>
      </w:r>
      <w:r w:rsidR="00F63FD6">
        <w:t xml:space="preserve"> </w:t>
      </w:r>
      <w:r w:rsidR="00007016">
        <w:t>lower</w:t>
      </w:r>
      <w:r w:rsidR="00F63FD6">
        <w:t>s</w:t>
      </w:r>
      <w:r w:rsidR="006104DA">
        <w:t xml:space="preserve"> overall policy costs </w:t>
      </w:r>
      <w:r w:rsidR="0062589A">
        <w:t xml:space="preserve">by equalizing the marginal reduction costs over time. A bank of emission permits is built in the near-term when the policy target is less stringent and marginal reduction costs are lower. As the emissions constraint becomes more stringent </w:t>
      </w:r>
      <w:r w:rsidR="004107F5">
        <w:t xml:space="preserve">over time </w:t>
      </w:r>
      <w:r w:rsidR="0062589A">
        <w:t xml:space="preserve">and marginal reduction costs rise, </w:t>
      </w:r>
      <w:r w:rsidR="004107F5">
        <w:t>banked permits are used to meet part of the reduction target.</w:t>
      </w:r>
      <w:r w:rsidR="00920CF3">
        <w:t xml:space="preserve"> The level of banking differs substantially across models. However, b</w:t>
      </w:r>
      <w:r w:rsidR="004107F5">
        <w:t xml:space="preserve">anking is greater across all of the models under </w:t>
      </w:r>
      <w:r w:rsidR="009376EA">
        <w:t xml:space="preserve">Pessimistic </w:t>
      </w:r>
      <w:r w:rsidR="004107F5">
        <w:t>Tech</w:t>
      </w:r>
      <w:r w:rsidR="00920CF3">
        <w:t xml:space="preserve"> assumptions than under Optimistic Technology </w:t>
      </w:r>
      <w:proofErr w:type="spellStart"/>
      <w:r w:rsidR="00920CF3">
        <w:t>sssumptions</w:t>
      </w:r>
      <w:proofErr w:type="spellEnd"/>
      <w:r w:rsidR="004107F5">
        <w:t xml:space="preserve">. With fewer low-cost mitigation options in the future, the models rely more heavily on near-term reductions as a strategy to lower overall costs. </w:t>
      </w:r>
      <w:r w:rsidR="00683A8A">
        <w:t>Banking is also greater in the 80% reduction scenarios</w:t>
      </w:r>
      <w:r w:rsidR="00920CF3">
        <w:t xml:space="preserve"> than in the 50% reduction scenarios. </w:t>
      </w:r>
    </w:p>
    <w:p w:rsidR="007D375F" w:rsidRDefault="003D09B4" w:rsidP="00C71E25">
      <w:pPr>
        <w:pStyle w:val="Heading2"/>
      </w:pPr>
      <w:r>
        <w:t>Technology and the costs of mitigation</w:t>
      </w:r>
    </w:p>
    <w:p w:rsidR="003B0C89" w:rsidRDefault="00D65F36" w:rsidP="0084552D">
      <w:pPr>
        <w:ind w:firstLine="0"/>
      </w:pPr>
      <w:r w:rsidRPr="00CF4E40">
        <w:t xml:space="preserve">The costs of mitigation are influenced not only by the mitigation goals, but also by </w:t>
      </w:r>
      <w:r w:rsidR="00A225E9">
        <w:t xml:space="preserve">the </w:t>
      </w:r>
      <w:r w:rsidRPr="00CF4E40">
        <w:t>technologies available for mitigation.</w:t>
      </w:r>
      <w:r w:rsidR="005441EA">
        <w:t xml:space="preserve"> </w:t>
      </w:r>
      <w:r w:rsidR="002C5DB0" w:rsidRPr="00CF4E40">
        <w:t xml:space="preserve">One </w:t>
      </w:r>
      <w:r w:rsidR="00DC2268">
        <w:t xml:space="preserve">common </w:t>
      </w:r>
      <w:r w:rsidR="00A225E9">
        <w:t xml:space="preserve">economic </w:t>
      </w:r>
      <w:r w:rsidR="002C5DB0" w:rsidRPr="00CF4E40">
        <w:t>indicator of cost is the price of carbon at different points of time (</w:t>
      </w:r>
      <w:r w:rsidR="0084552D">
        <w:fldChar w:fldCharType="begin"/>
      </w:r>
      <w:r w:rsidR="0084552D">
        <w:instrText xml:space="preserve"> REF _Ref375826000 \h </w:instrText>
      </w:r>
      <w:r w:rsidR="0084552D">
        <w:fldChar w:fldCharType="separate"/>
      </w:r>
      <w:r w:rsidR="0084552D">
        <w:t xml:space="preserve">Figure </w:t>
      </w:r>
      <w:r w:rsidR="0084552D">
        <w:rPr>
          <w:noProof/>
        </w:rPr>
        <w:t>9</w:t>
      </w:r>
      <w:r w:rsidR="0084552D">
        <w:fldChar w:fldCharType="end"/>
      </w:r>
      <w:r w:rsidR="002C5DB0" w:rsidRPr="00CF4E40">
        <w:t xml:space="preserve">). </w:t>
      </w:r>
      <w:r w:rsidR="00DC2268">
        <w:t xml:space="preserve">An </w:t>
      </w:r>
      <w:r w:rsidR="00A31DC6">
        <w:t xml:space="preserve">important caveat in interpreting the carbon price is that it </w:t>
      </w:r>
      <w:r w:rsidR="002C5DB0" w:rsidRPr="00CF4E40">
        <w:t xml:space="preserve">is not an actual metric of </w:t>
      </w:r>
      <w:r w:rsidR="00DC2268">
        <w:t xml:space="preserve">total </w:t>
      </w:r>
      <w:r w:rsidR="002C5DB0" w:rsidRPr="00CF4E40">
        <w:t xml:space="preserve">costs. </w:t>
      </w:r>
      <w:r w:rsidR="00A31DC6">
        <w:t>I</w:t>
      </w:r>
      <w:r w:rsidR="002C5DB0" w:rsidRPr="00CF4E40">
        <w:t xml:space="preserve">t gives only the marginal cost, and depending on the shape of the marginal abatement costs function, the variation in prices with different levels of mitigation could be very different than the variation in total costs. </w:t>
      </w:r>
      <w:r w:rsidR="00DC2268">
        <w:t>M</w:t>
      </w:r>
      <w:r w:rsidR="002C5DB0" w:rsidRPr="00CF4E40">
        <w:t xml:space="preserve">easures of economic impacts </w:t>
      </w:r>
      <w:r w:rsidR="00DC2268">
        <w:t xml:space="preserve">that are more reflective of total costs </w:t>
      </w:r>
      <w:r w:rsidR="002C5DB0" w:rsidRPr="00CF4E40">
        <w:t xml:space="preserve">include effects on economic output or mitigation cost expressed </w:t>
      </w:r>
      <w:r w:rsidR="00EB70AD">
        <w:t>as</w:t>
      </w:r>
      <w:r w:rsidR="00EB70AD" w:rsidRPr="00CF4E40">
        <w:t xml:space="preserve"> </w:t>
      </w:r>
      <w:r w:rsidR="002C5DB0" w:rsidRPr="00CF4E40">
        <w:t>consumption loss, equivalent variation, or area under the ma</w:t>
      </w:r>
      <w:r w:rsidR="00671506">
        <w:t>rginal abatement cost function</w:t>
      </w:r>
      <w:r w:rsidR="00DD7292">
        <w:t xml:space="preserve"> (</w:t>
      </w:r>
      <w:r w:rsidR="0084552D" w:rsidRPr="0084552D">
        <w:fldChar w:fldCharType="begin"/>
      </w:r>
      <w:r w:rsidR="0084552D" w:rsidRPr="0084552D">
        <w:instrText xml:space="preserve"> REF _Ref376351118 \h </w:instrText>
      </w:r>
      <w:r w:rsidR="0084552D" w:rsidRPr="00C43463">
        <w:instrText xml:space="preserve"> \* MERGEFORMAT </w:instrText>
      </w:r>
      <w:r w:rsidR="0084552D" w:rsidRPr="0084552D">
        <w:fldChar w:fldCharType="separate"/>
      </w:r>
      <w:r w:rsidR="0084552D" w:rsidRPr="00C43463">
        <w:t xml:space="preserve">Figure </w:t>
      </w:r>
      <w:r w:rsidR="0084552D" w:rsidRPr="00C43463">
        <w:rPr>
          <w:noProof/>
        </w:rPr>
        <w:t>10</w:t>
      </w:r>
      <w:r w:rsidR="0084552D" w:rsidRPr="0084552D">
        <w:fldChar w:fldCharType="end"/>
      </w:r>
      <w:r w:rsidR="0084552D">
        <w:t xml:space="preserve"> and </w:t>
      </w:r>
      <w:r w:rsidR="003B0C89">
        <w:lastRenderedPageBreak/>
        <w:t>Table S1</w:t>
      </w:r>
      <w:r w:rsidR="001E436C">
        <w:t xml:space="preserve">, </w:t>
      </w:r>
      <w:r w:rsidR="003B0C89">
        <w:t>Figure S</w:t>
      </w:r>
      <w:r w:rsidR="0084552D">
        <w:t>5</w:t>
      </w:r>
      <w:r w:rsidR="001E436C">
        <w:t>, and Figure S6</w:t>
      </w:r>
      <w:r w:rsidR="003B0C89">
        <w:t xml:space="preserve"> in the Supplementary Material</w:t>
      </w:r>
      <w:r w:rsidR="003B0C89" w:rsidRPr="00CF4E40">
        <w:t>). Models have different capabilities to calculate these various metrics, so an assessment of costs generally must include different metrics across models.</w:t>
      </w:r>
    </w:p>
    <w:p w:rsidR="00671506" w:rsidRDefault="00671506" w:rsidP="00353B23"/>
    <w:p w:rsidR="00525049" w:rsidRDefault="00525049" w:rsidP="00992006">
      <w:pPr>
        <w:ind w:left="270" w:firstLine="0"/>
      </w:pPr>
      <w:r w:rsidRPr="00525049">
        <w:rPr>
          <w:noProof/>
        </w:rPr>
        <w:drawing>
          <wp:inline distT="0" distB="0" distL="0" distR="0" wp14:anchorId="704C4226" wp14:editId="3892AD35">
            <wp:extent cx="3895344" cy="202082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895344" cy="2020824"/>
                    </a:xfrm>
                    <a:prstGeom prst="rect">
                      <a:avLst/>
                    </a:prstGeom>
                    <a:noFill/>
                    <a:ln>
                      <a:noFill/>
                    </a:ln>
                  </pic:spPr>
                </pic:pic>
              </a:graphicData>
            </a:graphic>
          </wp:inline>
        </w:drawing>
      </w:r>
    </w:p>
    <w:p w:rsidR="00671506" w:rsidRDefault="00525049" w:rsidP="00992006">
      <w:pPr>
        <w:ind w:left="270" w:firstLine="0"/>
      </w:pPr>
      <w:r w:rsidRPr="00525049">
        <w:rPr>
          <w:noProof/>
        </w:rPr>
        <w:drawing>
          <wp:inline distT="0" distB="0" distL="0" distR="0" wp14:anchorId="6E0B9867" wp14:editId="4DE29291">
            <wp:extent cx="3895344" cy="20116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895344" cy="2011680"/>
                    </a:xfrm>
                    <a:prstGeom prst="rect">
                      <a:avLst/>
                    </a:prstGeom>
                    <a:noFill/>
                    <a:ln>
                      <a:noFill/>
                    </a:ln>
                  </pic:spPr>
                </pic:pic>
              </a:graphicData>
            </a:graphic>
          </wp:inline>
        </w:drawing>
      </w:r>
    </w:p>
    <w:p w:rsidR="00671506" w:rsidRDefault="00671506" w:rsidP="00C2254E">
      <w:pPr>
        <w:ind w:firstLine="0"/>
        <w:jc w:val="center"/>
      </w:pPr>
    </w:p>
    <w:p w:rsidR="00B51CA2" w:rsidRDefault="00C2254E" w:rsidP="00C2254E">
      <w:pPr>
        <w:pStyle w:val="Caption"/>
      </w:pPr>
      <w:bookmarkStart w:id="25" w:name="_Ref375826000"/>
      <w:proofErr w:type="gramStart"/>
      <w:r>
        <w:t xml:space="preserve">Figure </w:t>
      </w:r>
      <w:fldSimple w:instr=" SEQ Figure \* ARABIC ">
        <w:r w:rsidR="000702B9">
          <w:rPr>
            <w:noProof/>
          </w:rPr>
          <w:t>9</w:t>
        </w:r>
      </w:fldSimple>
      <w:bookmarkEnd w:id="25"/>
      <w:r>
        <w:t>.</w:t>
      </w:r>
      <w:proofErr w:type="gramEnd"/>
      <w:r>
        <w:t xml:space="preserve"> </w:t>
      </w:r>
      <w:r w:rsidR="00992006">
        <w:t>Emission</w:t>
      </w:r>
      <w:r>
        <w:t xml:space="preserve"> prices across models and scenarios</w:t>
      </w:r>
      <w:r w:rsidR="00525049">
        <w:t xml:space="preserve"> </w:t>
      </w:r>
      <w:r>
        <w:t>in 2020 (</w:t>
      </w:r>
      <w:r w:rsidR="00525049">
        <w:t>top panel</w:t>
      </w:r>
      <w:r>
        <w:t>) and</w:t>
      </w:r>
      <w:r w:rsidR="00992006">
        <w:t xml:space="preserve"> </w:t>
      </w:r>
      <w:r>
        <w:t>2050 (</w:t>
      </w:r>
      <w:r w:rsidR="00525049">
        <w:t>bottom panel</w:t>
      </w:r>
      <w:r>
        <w:t>)</w:t>
      </w:r>
    </w:p>
    <w:p w:rsidR="0084552D" w:rsidRDefault="0084552D" w:rsidP="0084552D">
      <w:pPr>
        <w:ind w:firstLine="0"/>
      </w:pPr>
      <w:bookmarkStart w:id="26" w:name="_Ref338339270"/>
      <w:r w:rsidRPr="00525049">
        <w:rPr>
          <w:noProof/>
        </w:rPr>
        <w:drawing>
          <wp:inline distT="0" distB="0" distL="0" distR="0" wp14:anchorId="081D94ED" wp14:editId="71E7102D">
            <wp:extent cx="4114800" cy="2130487"/>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14800" cy="2130487"/>
                    </a:xfrm>
                    <a:prstGeom prst="rect">
                      <a:avLst/>
                    </a:prstGeom>
                    <a:noFill/>
                    <a:ln>
                      <a:noFill/>
                    </a:ln>
                  </pic:spPr>
                </pic:pic>
              </a:graphicData>
            </a:graphic>
          </wp:inline>
        </w:drawing>
      </w:r>
    </w:p>
    <w:p w:rsidR="0084552D" w:rsidRPr="0084552D" w:rsidRDefault="0084552D" w:rsidP="0084552D">
      <w:pPr>
        <w:rPr>
          <w:b/>
        </w:rPr>
      </w:pPr>
      <w:bookmarkStart w:id="27" w:name="_Ref376351118"/>
      <w:bookmarkEnd w:id="26"/>
      <w:proofErr w:type="gramStart"/>
      <w:r w:rsidRPr="0084552D">
        <w:rPr>
          <w:b/>
        </w:rPr>
        <w:t xml:space="preserve">Figure </w:t>
      </w:r>
      <w:r w:rsidRPr="0084552D">
        <w:rPr>
          <w:b/>
        </w:rPr>
        <w:fldChar w:fldCharType="begin"/>
      </w:r>
      <w:r w:rsidRPr="0084552D">
        <w:rPr>
          <w:b/>
        </w:rPr>
        <w:instrText xml:space="preserve"> SEQ Figure \* ARABIC </w:instrText>
      </w:r>
      <w:r w:rsidRPr="0084552D">
        <w:rPr>
          <w:b/>
        </w:rPr>
        <w:fldChar w:fldCharType="separate"/>
      </w:r>
      <w:r w:rsidRPr="0084552D">
        <w:rPr>
          <w:b/>
          <w:noProof/>
        </w:rPr>
        <w:t>10</w:t>
      </w:r>
      <w:r w:rsidRPr="0084552D">
        <w:rPr>
          <w:b/>
          <w:noProof/>
        </w:rPr>
        <w:fldChar w:fldCharType="end"/>
      </w:r>
      <w:bookmarkEnd w:id="27"/>
      <w:r w:rsidRPr="0084552D">
        <w:rPr>
          <w:b/>
        </w:rPr>
        <w:t>.</w:t>
      </w:r>
      <w:proofErr w:type="gramEnd"/>
      <w:r w:rsidRPr="0084552D">
        <w:rPr>
          <w:b/>
        </w:rPr>
        <w:t xml:space="preserve"> Net present value of mitigation costs from 2010 to 2050.</w:t>
      </w:r>
    </w:p>
    <w:p w:rsidR="00DC2268" w:rsidRDefault="00A31DC6" w:rsidP="006662EC">
      <w:r>
        <w:t>It is important to note that all of these cost metrics are influenced by the presence or absence of other policies. For example, the presence of regulatory policies to reduce energy consumption will lower the carbon price</w:t>
      </w:r>
      <w:r w:rsidR="00EA62C9">
        <w:t xml:space="preserve"> </w:t>
      </w:r>
      <w:r>
        <w:t xml:space="preserve">below what </w:t>
      </w:r>
      <w:r w:rsidR="0084552D">
        <w:t xml:space="preserve">it </w:t>
      </w:r>
      <w:r>
        <w:lastRenderedPageBreak/>
        <w:t xml:space="preserve">would be in the absence of these </w:t>
      </w:r>
      <w:r w:rsidR="00DC2268">
        <w:t xml:space="preserve">additional </w:t>
      </w:r>
      <w:r>
        <w:t>p</w:t>
      </w:r>
      <w:r w:rsidR="00DC2268">
        <w:t xml:space="preserve">olicies. </w:t>
      </w:r>
      <w:r w:rsidR="0084552D">
        <w:t xml:space="preserve">It will also lower the total costs of mitigation if the costs of these additional policies are not included in the total cost calculations. </w:t>
      </w:r>
      <w:r w:rsidR="00DC2268">
        <w:t xml:space="preserve">A proper cost accounting </w:t>
      </w:r>
      <w:r w:rsidR="00983C1F">
        <w:t xml:space="preserve">should </w:t>
      </w:r>
      <w:r w:rsidR="00DC2268">
        <w:t>take into account the costs of the</w:t>
      </w:r>
      <w:r w:rsidR="00983C1F">
        <w:t xml:space="preserve">se additional </w:t>
      </w:r>
      <w:r w:rsidR="00DC2268">
        <w:t>policies as well (</w:t>
      </w:r>
      <w:r w:rsidR="00DC2268" w:rsidRPr="00CF4E40">
        <w:t>see Fawcett et al.</w:t>
      </w:r>
      <w:r w:rsidR="00DC2268">
        <w:t>, 2013</w:t>
      </w:r>
      <w:r w:rsidR="00DC2268" w:rsidRPr="00CF4E40">
        <w:t>, this volume for a further discussion of the implications of combining carbon prices with other policy measures)</w:t>
      </w:r>
      <w:r w:rsidR="00DC2268">
        <w:t xml:space="preserve">. </w:t>
      </w:r>
      <w:r w:rsidR="00983C1F">
        <w:t xml:space="preserve">The interpretation of </w:t>
      </w:r>
      <w:r w:rsidR="00DC2268">
        <w:t xml:space="preserve">the difference between scenarios with </w:t>
      </w:r>
      <w:r w:rsidR="002A5BF0">
        <w:t xml:space="preserve">pessimistic </w:t>
      </w:r>
      <w:r w:rsidR="00437CD2">
        <w:t>end-use</w:t>
      </w:r>
      <w:r w:rsidR="00DC2268">
        <w:t xml:space="preserve"> assumption</w:t>
      </w:r>
      <w:r w:rsidR="00EB70AD">
        <w:t>s</w:t>
      </w:r>
      <w:r w:rsidR="00DC2268">
        <w:t xml:space="preserve"> and those with </w:t>
      </w:r>
      <w:r w:rsidR="002A5BF0">
        <w:t>optimistic</w:t>
      </w:r>
      <w:r w:rsidR="00DC2268">
        <w:t xml:space="preserve"> </w:t>
      </w:r>
      <w:r w:rsidR="00437CD2">
        <w:t>end-use</w:t>
      </w:r>
      <w:r w:rsidR="00DC2268">
        <w:t xml:space="preserve"> assumptions</w:t>
      </w:r>
      <w:r w:rsidR="00983C1F">
        <w:t xml:space="preserve"> is </w:t>
      </w:r>
      <w:r w:rsidR="00EA62C9">
        <w:t xml:space="preserve">particularly </w:t>
      </w:r>
      <w:r w:rsidR="00983C1F">
        <w:t>ambiguous in this regard</w:t>
      </w:r>
      <w:r w:rsidR="00DC2268">
        <w:t xml:space="preserve">. Because the means of obtaining these </w:t>
      </w:r>
      <w:r w:rsidR="00437CD2">
        <w:t>end-use</w:t>
      </w:r>
      <w:r w:rsidR="00DC2268">
        <w:t xml:space="preserve"> reductions is not specified, the change in the carbon price and the total cost metrics </w:t>
      </w:r>
      <w:r w:rsidR="00983C1F">
        <w:t xml:space="preserve">associated with the different levels of </w:t>
      </w:r>
      <w:r w:rsidR="00437CD2">
        <w:t>end-use</w:t>
      </w:r>
      <w:r w:rsidR="00983C1F">
        <w:t xml:space="preserve"> technology </w:t>
      </w:r>
      <w:r w:rsidR="00DC2268">
        <w:t xml:space="preserve">may not be reflective of the full cost of those scenarios. </w:t>
      </w:r>
      <w:r w:rsidR="00983C1F">
        <w:t>I</w:t>
      </w:r>
      <w:r w:rsidR="00DC2268">
        <w:t xml:space="preserve">f the </w:t>
      </w:r>
      <w:r w:rsidR="00EA62C9">
        <w:t xml:space="preserve">improvement in </w:t>
      </w:r>
      <w:r w:rsidR="00437CD2">
        <w:t>end-use</w:t>
      </w:r>
      <w:r w:rsidR="00EA62C9">
        <w:t xml:space="preserve"> technology is </w:t>
      </w:r>
      <w:r w:rsidR="00DC2268">
        <w:t xml:space="preserve">assumed to </w:t>
      </w:r>
      <w:r w:rsidR="00983C1F">
        <w:t xml:space="preserve">result </w:t>
      </w:r>
      <w:r w:rsidR="00DC2268">
        <w:t>exclusivel</w:t>
      </w:r>
      <w:r w:rsidR="00983C1F">
        <w:t xml:space="preserve">y from improvements to technology, as opposed to policies that lead to their deployment, then cost metrics will be </w:t>
      </w:r>
      <w:r w:rsidR="00DC2268">
        <w:t xml:space="preserve">reflective of the total impact of obtaining these energy reductions. (Note, as well, and as </w:t>
      </w:r>
      <w:r w:rsidR="000C329C">
        <w:t xml:space="preserve">discussed </w:t>
      </w:r>
      <w:r w:rsidR="00DC2268">
        <w:t xml:space="preserve">in Section </w:t>
      </w:r>
      <w:r w:rsidR="0018725F">
        <w:fldChar w:fldCharType="begin"/>
      </w:r>
      <w:r w:rsidR="00DC2268">
        <w:instrText xml:space="preserve"> REF _Ref365823767 \r \h </w:instrText>
      </w:r>
      <w:r w:rsidR="0018725F">
        <w:fldChar w:fldCharType="separate"/>
      </w:r>
      <w:r w:rsidR="00353B23">
        <w:t>2.1</w:t>
      </w:r>
      <w:r w:rsidR="0018725F">
        <w:fldChar w:fldCharType="end"/>
      </w:r>
      <w:r w:rsidR="00DC2268">
        <w:t xml:space="preserve">, </w:t>
      </w:r>
      <w:r w:rsidR="00983C1F">
        <w:t xml:space="preserve">that </w:t>
      </w:r>
      <w:r w:rsidR="00DC2268">
        <w:t>the costs of improving technology, for example through R&amp;D, are not included in any of the results presented here</w:t>
      </w:r>
      <w:r w:rsidR="00983C1F">
        <w:t xml:space="preserve"> and also that there are a range of market failures in markets for technology adoption in </w:t>
      </w:r>
      <w:r w:rsidR="00437CD2">
        <w:t>end-use</w:t>
      </w:r>
      <w:r w:rsidR="00983C1F">
        <w:t xml:space="preserve">s that make interpretation of cost implications of </w:t>
      </w:r>
      <w:r w:rsidR="00437CD2">
        <w:t>end-use</w:t>
      </w:r>
      <w:r w:rsidR="00983C1F">
        <w:t xml:space="preserve"> policies challenging.</w:t>
      </w:r>
      <w:r w:rsidR="00DC2268">
        <w:t>)</w:t>
      </w:r>
      <w:r w:rsidR="00A64AEE">
        <w:t xml:space="preserve"> </w:t>
      </w:r>
      <w:r w:rsidR="00F52CD4">
        <w:t xml:space="preserve">More broadly, the issue of complementary policies </w:t>
      </w:r>
      <w:r w:rsidR="00DC2268">
        <w:t>is relevant to all scenarios in this study to the extent that existing policies, such as building standards and CAFE standards, are already in place and influencing energy demand.</w:t>
      </w:r>
      <w:r w:rsidR="005441EA">
        <w:t xml:space="preserve"> </w:t>
      </w:r>
      <w:r w:rsidR="00F52CD4">
        <w:t xml:space="preserve">The </w:t>
      </w:r>
      <w:r w:rsidR="00983C1F">
        <w:t xml:space="preserve">cost metrics in this study reflect </w:t>
      </w:r>
      <w:r w:rsidR="00F52CD4">
        <w:t xml:space="preserve">only </w:t>
      </w:r>
      <w:r w:rsidR="00983C1F">
        <w:t>the costs in addition to those from policies already in place.</w:t>
      </w:r>
    </w:p>
    <w:p w:rsidR="00F118B5" w:rsidRDefault="00EA62C9" w:rsidP="006662EC">
      <w:r>
        <w:t>These caveats notwithstanding</w:t>
      </w:r>
      <w:r w:rsidR="00273231" w:rsidRPr="00CF4E40">
        <w:t>, several insights emerge from the scenarios.</w:t>
      </w:r>
      <w:r w:rsidR="005441EA">
        <w:t xml:space="preserve"> </w:t>
      </w:r>
      <w:r w:rsidR="00D95F76">
        <w:t>First, t</w:t>
      </w:r>
      <w:r w:rsidR="00273231" w:rsidRPr="00CF4E40">
        <w:t>he models provide very different estimates of both prices and costs, and this variation across models is large</w:t>
      </w:r>
      <w:r w:rsidR="00D95F76">
        <w:t>r</w:t>
      </w:r>
      <w:r w:rsidR="00273231" w:rsidRPr="00CF4E40">
        <w:t xml:space="preserve"> than the variation in costs within models and across technologies. Th</w:t>
      </w:r>
      <w:r w:rsidR="00F118B5">
        <w:t>e</w:t>
      </w:r>
      <w:r w:rsidR="00273231" w:rsidRPr="00CF4E40">
        <w:t xml:space="preserve"> variation in economic metrics across models is an outcome of every multi-modeling study</w:t>
      </w:r>
      <w:r w:rsidR="005441EA">
        <w:t xml:space="preserve"> </w:t>
      </w:r>
      <w:r w:rsidR="00F118B5">
        <w:t xml:space="preserve">to date </w:t>
      </w:r>
      <w:r w:rsidR="00B9304A">
        <w:t>(</w:t>
      </w:r>
      <w:r w:rsidR="00F118B5">
        <w:t xml:space="preserve">see, for example, </w:t>
      </w:r>
      <w:r w:rsidR="00B9304A">
        <w:t>Calvin et al., 20</w:t>
      </w:r>
      <w:r w:rsidR="009368E8">
        <w:t>12, Clarke et al., 2009, and Clarke et al., 2007, among others)</w:t>
      </w:r>
      <w:r w:rsidR="00F118B5">
        <w:t>. It has proven challenging to disentangle the relative roles of model structure and model assumptions in leading</w:t>
      </w:r>
      <w:r w:rsidR="005441EA">
        <w:t xml:space="preserve"> </w:t>
      </w:r>
      <w:r w:rsidR="00F118B5">
        <w:t xml:space="preserve">to this variation. </w:t>
      </w:r>
      <w:r w:rsidR="00CB3E93">
        <w:t xml:space="preserve">Diagnosing the reasons for the substantial differences in the economic indicators from models more generally is an important area of continuing research. </w:t>
      </w:r>
      <w:r w:rsidR="00F118B5">
        <w:t>What is clear from this study is that controlling for several key technology assumptions, such as limiting the deployment of nuclear power and CCS, is not sufficient to obtain convergence in model estimates of costs.</w:t>
      </w:r>
    </w:p>
    <w:p w:rsidR="00273231" w:rsidRDefault="00273231" w:rsidP="006662EC">
      <w:r w:rsidRPr="00CF4E40">
        <w:t>That said</w:t>
      </w:r>
      <w:r w:rsidR="00EA62C9">
        <w:t xml:space="preserve">, </w:t>
      </w:r>
      <w:r w:rsidR="00EA5037">
        <w:t xml:space="preserve">for the 50% reduction scenarios, and </w:t>
      </w:r>
      <w:r w:rsidR="00F118B5">
        <w:rPr>
          <w:rFonts w:cs="Times New Roman"/>
        </w:rPr>
        <w:t xml:space="preserve">under the most pessimistic (most optimistic) assumptions about technology, carbon prices in 2020 fall </w:t>
      </w:r>
      <w:r w:rsidR="00EA5037">
        <w:rPr>
          <w:rFonts w:cs="Times New Roman"/>
        </w:rPr>
        <w:t>between $20/tCO2 and</w:t>
      </w:r>
      <w:r w:rsidR="00F118B5">
        <w:rPr>
          <w:rFonts w:cs="Times New Roman"/>
        </w:rPr>
        <w:t xml:space="preserve"> $80/tCO2 ($10/tCO2 </w:t>
      </w:r>
      <w:r w:rsidR="00EA5037">
        <w:rPr>
          <w:rFonts w:cs="Times New Roman"/>
        </w:rPr>
        <w:t>and</w:t>
      </w:r>
      <w:r w:rsidR="00F118B5">
        <w:rPr>
          <w:rFonts w:cs="Times New Roman"/>
        </w:rPr>
        <w:t xml:space="preserve"> $40/CO2) in most models.</w:t>
      </w:r>
      <w:r w:rsidR="005441EA">
        <w:rPr>
          <w:rFonts w:cs="Times New Roman"/>
        </w:rPr>
        <w:t xml:space="preserve"> </w:t>
      </w:r>
      <w:r w:rsidR="00443E9E">
        <w:rPr>
          <w:rFonts w:cs="Times New Roman"/>
        </w:rPr>
        <w:t xml:space="preserve">As a comparison, the carbon </w:t>
      </w:r>
      <w:r w:rsidR="009368E8">
        <w:rPr>
          <w:rFonts w:cs="Times New Roman"/>
        </w:rPr>
        <w:t xml:space="preserve">prices in 2020 for a similar 50% reduction policy target in the EMF 22 study (Fawcett et al., 2009) were between $25/tCO2 and $70/tCO2. </w:t>
      </w:r>
      <w:proofErr w:type="gramStart"/>
      <w:r w:rsidR="00F118B5">
        <w:rPr>
          <w:rFonts w:cs="Times New Roman"/>
        </w:rPr>
        <w:t xml:space="preserve">The net present value of economic costs through 2050 under the most pessimistic (most optimistic) assumptions about technology fall </w:t>
      </w:r>
      <w:r w:rsidR="00EA5037">
        <w:rPr>
          <w:rFonts w:cs="Times New Roman"/>
        </w:rPr>
        <w:t xml:space="preserve">between </w:t>
      </w:r>
      <w:r w:rsidR="00F118B5">
        <w:rPr>
          <w:rFonts w:cs="Times New Roman"/>
        </w:rPr>
        <w:t xml:space="preserve">$1 trillion </w:t>
      </w:r>
      <w:r w:rsidR="00EA5037">
        <w:rPr>
          <w:rFonts w:cs="Times New Roman"/>
        </w:rPr>
        <w:t xml:space="preserve">and </w:t>
      </w:r>
      <w:r w:rsidR="00F118B5">
        <w:rPr>
          <w:rFonts w:cs="Times New Roman"/>
        </w:rPr>
        <w:t>$2 trillion (less than $1 trillion) in most models.</w:t>
      </w:r>
      <w:proofErr w:type="gramEnd"/>
      <w:r w:rsidR="005441EA">
        <w:rPr>
          <w:rFonts w:cs="Times New Roman"/>
        </w:rPr>
        <w:t xml:space="preserve"> </w:t>
      </w:r>
      <w:r w:rsidR="00F118B5">
        <w:rPr>
          <w:rFonts w:cs="Times New Roman"/>
        </w:rPr>
        <w:t xml:space="preserve">GDP in 2050 is reduced by between </w:t>
      </w:r>
      <w:r w:rsidR="0036651C" w:rsidRPr="00CF4E40">
        <w:t xml:space="preserve">2% to 4% </w:t>
      </w:r>
      <w:r w:rsidR="00EA5037">
        <w:t xml:space="preserve">(0.5% to 1.5%) below what it would otherwise be </w:t>
      </w:r>
      <w:r w:rsidR="00F118B5">
        <w:t>in most models that produce this metric</w:t>
      </w:r>
      <w:r w:rsidR="00EA5037">
        <w:t xml:space="preserve"> under the most pessimistic (most optimistic) assumptions about technology</w:t>
      </w:r>
      <w:r w:rsidR="0036651C" w:rsidRPr="00CF4E40">
        <w:t xml:space="preserve">. </w:t>
      </w:r>
      <w:r w:rsidR="009C1AFA" w:rsidRPr="00CF4E40">
        <w:t xml:space="preserve">For the 80% scenario with either </w:t>
      </w:r>
      <w:r w:rsidR="00465F9B">
        <w:t>P</w:t>
      </w:r>
      <w:r w:rsidR="002A5BF0">
        <w:t xml:space="preserve">essimistic </w:t>
      </w:r>
      <w:r w:rsidR="00306870">
        <w:t>CCS/</w:t>
      </w:r>
      <w:proofErr w:type="spellStart"/>
      <w:r w:rsidR="00306870">
        <w:t>Nuc</w:t>
      </w:r>
      <w:proofErr w:type="spellEnd"/>
      <w:r w:rsidR="009C1AFA" w:rsidRPr="00CF4E40">
        <w:t xml:space="preserve"> assumptions or </w:t>
      </w:r>
      <w:r w:rsidR="00465F9B">
        <w:t>P</w:t>
      </w:r>
      <w:r w:rsidR="002A5BF0">
        <w:t xml:space="preserve">essimistic </w:t>
      </w:r>
      <w:r w:rsidR="009C1AFA" w:rsidRPr="00CF4E40">
        <w:t xml:space="preserve">Renewable assumptions, carbon prices in 2020 </w:t>
      </w:r>
      <w:r w:rsidR="00DA024F">
        <w:t xml:space="preserve">in most models </w:t>
      </w:r>
      <w:r w:rsidR="00EA5037">
        <w:t xml:space="preserve">fall between </w:t>
      </w:r>
      <w:r w:rsidR="009C1AFA" w:rsidRPr="00CF4E40">
        <w:t xml:space="preserve">$20/tCO2 and $120/tCO2, </w:t>
      </w:r>
      <w:r w:rsidR="009C1AFA" w:rsidRPr="00CF4E40">
        <w:lastRenderedPageBreak/>
        <w:t xml:space="preserve">total mitigation costs through 2050 </w:t>
      </w:r>
      <w:r w:rsidR="00DA024F">
        <w:t xml:space="preserve">fall between </w:t>
      </w:r>
      <w:r w:rsidR="009C1AFA" w:rsidRPr="00CF4E40">
        <w:t xml:space="preserve">$1 trillion </w:t>
      </w:r>
      <w:r w:rsidR="00DA024F">
        <w:t>and</w:t>
      </w:r>
      <w:r w:rsidR="009C1AFA" w:rsidRPr="00CF4E40">
        <w:t>$4 trillion</w:t>
      </w:r>
      <w:r w:rsidR="00DA024F">
        <w:t xml:space="preserve">, and GDP is </w:t>
      </w:r>
      <w:r w:rsidR="0036651C" w:rsidRPr="00CF4E40">
        <w:t>3% to 5% lower than it would otherwise be.</w:t>
      </w:r>
    </w:p>
    <w:p w:rsidR="0036651C" w:rsidRPr="00CF4E40" w:rsidRDefault="00D95F76" w:rsidP="006662EC">
      <w:r>
        <w:t xml:space="preserve">Given the variation in absolute costs among models, </w:t>
      </w:r>
      <w:r w:rsidR="00273231" w:rsidRPr="00CF4E40">
        <w:t xml:space="preserve">it is useful to explore how costs change within models across </w:t>
      </w:r>
      <w:r w:rsidR="00EA62C9">
        <w:t xml:space="preserve">technology </w:t>
      </w:r>
      <w:r w:rsidR="00807F22">
        <w:t>assumptions</w:t>
      </w:r>
      <w:r w:rsidR="00807F22" w:rsidRPr="00CF4E40">
        <w:t xml:space="preserve"> </w:t>
      </w:r>
      <w:r w:rsidR="00EA62C9">
        <w:t xml:space="preserve">and mitigation goals </w:t>
      </w:r>
      <w:r w:rsidR="00273231" w:rsidRPr="00CF4E40">
        <w:t>as a way to understand the relative importance of different technologies in the mitigation portfolio</w:t>
      </w:r>
      <w:r w:rsidR="00A86BE4">
        <w:t xml:space="preserve"> (</w:t>
      </w:r>
      <w:r w:rsidR="0018725F">
        <w:fldChar w:fldCharType="begin"/>
      </w:r>
      <w:r w:rsidR="00A86BE4">
        <w:instrText xml:space="preserve"> REF _Ref347434977 \h </w:instrText>
      </w:r>
      <w:r w:rsidR="0018725F">
        <w:fldChar w:fldCharType="end"/>
      </w:r>
      <w:r w:rsidR="0084552D">
        <w:fldChar w:fldCharType="begin"/>
      </w:r>
      <w:r w:rsidR="0084552D">
        <w:instrText xml:space="preserve"> REF _Ref347434977 \h </w:instrText>
      </w:r>
      <w:r w:rsidR="0084552D">
        <w:fldChar w:fldCharType="separate"/>
      </w:r>
      <w:r w:rsidR="0084552D">
        <w:t xml:space="preserve">Figure </w:t>
      </w:r>
      <w:r w:rsidR="0084552D">
        <w:rPr>
          <w:noProof/>
        </w:rPr>
        <w:t>11</w:t>
      </w:r>
      <w:r w:rsidR="0084552D">
        <w:fldChar w:fldCharType="end"/>
      </w:r>
      <w:r w:rsidR="00A86BE4">
        <w:t xml:space="preserve"> and</w:t>
      </w:r>
      <w:r w:rsidR="009D172A">
        <w:t xml:space="preserve"> </w:t>
      </w:r>
      <w:r w:rsidR="0084552D">
        <w:fldChar w:fldCharType="begin"/>
      </w:r>
      <w:r w:rsidR="0084552D">
        <w:instrText xml:space="preserve"> REF _Ref376351360 \h </w:instrText>
      </w:r>
      <w:r w:rsidR="0084552D">
        <w:fldChar w:fldCharType="separate"/>
      </w:r>
      <w:r w:rsidR="0084552D">
        <w:t xml:space="preserve">Figure </w:t>
      </w:r>
      <w:r w:rsidR="0084552D">
        <w:rPr>
          <w:noProof/>
        </w:rPr>
        <w:t>12</w:t>
      </w:r>
      <w:r w:rsidR="0084552D">
        <w:fldChar w:fldCharType="end"/>
      </w:r>
      <w:r w:rsidR="00A86BE4">
        <w:t>)</w:t>
      </w:r>
      <w:r w:rsidR="00273231" w:rsidRPr="00CF4E40">
        <w:t xml:space="preserve">. </w:t>
      </w:r>
      <w:r w:rsidR="00A86BE4">
        <w:t xml:space="preserve">Moving from the </w:t>
      </w:r>
      <w:r w:rsidR="00D65C57">
        <w:t>Pessimistic Technology</w:t>
      </w:r>
      <w:r w:rsidR="00A86BE4">
        <w:t xml:space="preserve"> portfolio to the </w:t>
      </w:r>
      <w:r w:rsidR="00D65C57">
        <w:t>Optimistic Technology</w:t>
      </w:r>
      <w:r w:rsidR="00A86BE4">
        <w:t xml:space="preserve"> portfolio </w:t>
      </w:r>
      <w:r w:rsidR="00273231" w:rsidRPr="00CF4E40">
        <w:t>reduce</w:t>
      </w:r>
      <w:r w:rsidR="00A86BE4">
        <w:t>s</w:t>
      </w:r>
      <w:r w:rsidR="00273231" w:rsidRPr="00CF4E40">
        <w:t xml:space="preserve"> </w:t>
      </w:r>
      <w:r w:rsidR="0084552D">
        <w:t xml:space="preserve">carbon prices associated with meeting a 50% goal by roughly 20% to 70%; it reduces the total </w:t>
      </w:r>
      <w:r w:rsidR="00273231" w:rsidRPr="00CF4E40">
        <w:t xml:space="preserve">costs of meeting a 50% constraint by </w:t>
      </w:r>
      <w:r w:rsidR="00BC74BF">
        <w:t xml:space="preserve">about </w:t>
      </w:r>
      <w:r w:rsidR="00273231" w:rsidRPr="00CF4E40">
        <w:t xml:space="preserve">20% to over 90%. </w:t>
      </w:r>
      <w:r w:rsidR="00BC74BF">
        <w:t xml:space="preserve">Moving to the 80% reduction goal increases </w:t>
      </w:r>
      <w:r w:rsidR="0084552D">
        <w:t xml:space="preserve">carbon prices </w:t>
      </w:r>
      <w:r w:rsidR="00BC74BF">
        <w:t>costs substantially.</w:t>
      </w:r>
    </w:p>
    <w:p w:rsidR="00440C6F" w:rsidRPr="00B41206" w:rsidRDefault="00525049" w:rsidP="00C93667">
      <w:pPr>
        <w:ind w:firstLine="0"/>
      </w:pPr>
      <w:r w:rsidRPr="00525049">
        <w:rPr>
          <w:noProof/>
        </w:rPr>
        <w:drawing>
          <wp:inline distT="0" distB="0" distL="0" distR="0" wp14:anchorId="2DB34EB1" wp14:editId="52DEB40A">
            <wp:extent cx="4114800" cy="213800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14800" cy="2138003"/>
                    </a:xfrm>
                    <a:prstGeom prst="rect">
                      <a:avLst/>
                    </a:prstGeom>
                    <a:noFill/>
                    <a:ln>
                      <a:noFill/>
                    </a:ln>
                  </pic:spPr>
                </pic:pic>
              </a:graphicData>
            </a:graphic>
          </wp:inline>
        </w:drawing>
      </w:r>
    </w:p>
    <w:p w:rsidR="00B41206" w:rsidRPr="00B41206" w:rsidRDefault="00B41206" w:rsidP="00A44CD9">
      <w:pPr>
        <w:pStyle w:val="Caption"/>
      </w:pPr>
      <w:bookmarkStart w:id="28" w:name="_Ref347434977"/>
      <w:r>
        <w:t xml:space="preserve">Figure </w:t>
      </w:r>
      <w:fldSimple w:instr=" SEQ Figure \* ARABIC ">
        <w:r w:rsidR="0084552D">
          <w:rPr>
            <w:noProof/>
          </w:rPr>
          <w:t>11</w:t>
        </w:r>
      </w:fldSimple>
      <w:bookmarkEnd w:id="28"/>
      <w:r>
        <w:t xml:space="preserve">.Emissions prices across scenarios in 2020 relative to prices </w:t>
      </w:r>
      <w:r w:rsidR="00525049">
        <w:t xml:space="preserve">under </w:t>
      </w:r>
      <w:r w:rsidR="00F24D18">
        <w:t>Pessimistic T</w:t>
      </w:r>
      <w:r>
        <w:t>ech</w:t>
      </w:r>
      <w:r w:rsidR="00525049">
        <w:t>nology assumptions and</w:t>
      </w:r>
      <w:r>
        <w:t xml:space="preserve"> </w:t>
      </w:r>
      <w:r w:rsidR="00525049">
        <w:t xml:space="preserve">for a </w:t>
      </w:r>
      <w:r>
        <w:t>50</w:t>
      </w:r>
      <w:r w:rsidR="00525049">
        <w:t>% emissions reduction.</w:t>
      </w:r>
    </w:p>
    <w:p w:rsidR="006960D3" w:rsidRPr="006960D3" w:rsidRDefault="00525049" w:rsidP="00C93667">
      <w:pPr>
        <w:ind w:firstLine="0"/>
      </w:pPr>
      <w:r w:rsidRPr="00525049">
        <w:rPr>
          <w:noProof/>
        </w:rPr>
        <w:drawing>
          <wp:inline distT="0" distB="0" distL="0" distR="0" wp14:anchorId="6C5459C0" wp14:editId="7B041CE6">
            <wp:extent cx="4114800" cy="215647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14800" cy="2156475"/>
                    </a:xfrm>
                    <a:prstGeom prst="rect">
                      <a:avLst/>
                    </a:prstGeom>
                    <a:noFill/>
                    <a:ln>
                      <a:noFill/>
                    </a:ln>
                  </pic:spPr>
                </pic:pic>
              </a:graphicData>
            </a:graphic>
          </wp:inline>
        </w:drawing>
      </w:r>
    </w:p>
    <w:p w:rsidR="00441DD2" w:rsidRDefault="0084552D" w:rsidP="00A44CD9">
      <w:pPr>
        <w:pStyle w:val="Caption"/>
      </w:pPr>
      <w:bookmarkStart w:id="29" w:name="_Ref376351360"/>
      <w:proofErr w:type="gramStart"/>
      <w:r>
        <w:t xml:space="preserve">Figure </w:t>
      </w:r>
      <w:fldSimple w:instr=" SEQ Figure \* ARABIC ">
        <w:r>
          <w:rPr>
            <w:noProof/>
          </w:rPr>
          <w:t>12</w:t>
        </w:r>
      </w:fldSimple>
      <w:bookmarkEnd w:id="29"/>
      <w:r w:rsidR="00C93667">
        <w:rPr>
          <w:noProof/>
        </w:rPr>
        <w:t>.</w:t>
      </w:r>
      <w:proofErr w:type="gramEnd"/>
      <w:r w:rsidR="00C93667">
        <w:rPr>
          <w:noProof/>
        </w:rPr>
        <w:t xml:space="preserve"> </w:t>
      </w:r>
      <w:r w:rsidR="00441DD2">
        <w:t xml:space="preserve">Percent </w:t>
      </w:r>
      <w:r w:rsidR="00E90F3E">
        <w:t xml:space="preserve">change in NPV of mitigation costs </w:t>
      </w:r>
      <w:r w:rsidR="00525049">
        <w:t>relative to costs under Pessimistic Technology assumptions and for a 50% emissions reduction.</w:t>
      </w:r>
    </w:p>
    <w:p w:rsidR="00904EF7" w:rsidRPr="00904EF7" w:rsidRDefault="00904EF7" w:rsidP="00904EF7"/>
    <w:p w:rsidR="0084552D" w:rsidRPr="00CF4E40" w:rsidRDefault="0084552D" w:rsidP="0084552D">
      <w:r>
        <w:t>A</w:t>
      </w:r>
      <w:r w:rsidRPr="00CF4E40">
        <w:t>t the levels of reduction considered in this study and with the models used in the study, there does not appear to be any clear technological winner among the different options. Removing nuclear energy, removing CCS, or taking on less optimistic assumptions about renewable energy all have comparable effects on costs</w:t>
      </w:r>
      <w:r>
        <w:t>, depending on the model</w:t>
      </w:r>
      <w:r w:rsidRPr="00CF4E40">
        <w:t xml:space="preserve">. To a large degree, this reflects the notion that there are multiple options for mitigation in the electricity </w:t>
      </w:r>
      <w:r w:rsidRPr="00CF4E40">
        <w:lastRenderedPageBreak/>
        <w:t>sector, the most important sector for mitigation</w:t>
      </w:r>
      <w:r>
        <w:t xml:space="preserve"> in the 2050 window</w:t>
      </w:r>
      <w:r w:rsidRPr="00CF4E40">
        <w:t>, particularly in the 50% scenarios, as discussed above, so the removal of any single option can be made up for by bringing more of other options on line.</w:t>
      </w:r>
      <w:r>
        <w:t xml:space="preserve"> This result could be different were the study design to call for even deeper reductions than it does. For example, there is evidence that bioenergy coupled with CCS is a disproportionately valuable technology for global mitigation scenarios leading to ambitious goals such as 450 ppmv CO2-e by allowing concentrations to exceed (“overshoot”) the long-term goal and that require extraordinarily deep and rapid emissions reductions, particularly in the second half of the century (see, for example, Clarke et al., 2009).</w:t>
      </w:r>
    </w:p>
    <w:p w:rsidR="001014B0" w:rsidRDefault="00EB2F2F" w:rsidP="001014B0">
      <w:r>
        <w:t>One of the key factors that might influence mitigation costs i</w:t>
      </w:r>
      <w:r w:rsidR="00521319">
        <w:t xml:space="preserve">s the level of emissions in the </w:t>
      </w:r>
      <w:r w:rsidR="001E436C">
        <w:t>reference scenarios</w:t>
      </w:r>
      <w:r w:rsidR="00521319">
        <w:t xml:space="preserve">. Higher emissions </w:t>
      </w:r>
      <w:r w:rsidR="001E436C">
        <w:t xml:space="preserve">in reference scenarios </w:t>
      </w:r>
      <w:r w:rsidR="00521319">
        <w:t xml:space="preserve">require deeper reductions to meet the goals in this study, because these goals are expressed relative to 2005 rather than relative to </w:t>
      </w:r>
      <w:r w:rsidR="001E436C">
        <w:t>reference scenario emissions</w:t>
      </w:r>
      <w:r w:rsidR="00521319">
        <w:t xml:space="preserve">. </w:t>
      </w:r>
      <w:r w:rsidR="004662CC">
        <w:t xml:space="preserve">This behavior can be </w:t>
      </w:r>
      <w:r w:rsidR="0084552D">
        <w:t xml:space="preserve">partially </w:t>
      </w:r>
      <w:r w:rsidR="004662CC">
        <w:t>visualized in the context of marginal abatement cost functions (</w:t>
      </w:r>
      <w:r w:rsidR="009D172A">
        <w:fldChar w:fldCharType="begin"/>
      </w:r>
      <w:r w:rsidR="009D172A">
        <w:instrText xml:space="preserve"> REF _Ref375835825 \h </w:instrText>
      </w:r>
      <w:r w:rsidR="009D172A">
        <w:fldChar w:fldCharType="separate"/>
      </w:r>
      <w:r w:rsidR="00525049">
        <w:t xml:space="preserve">Figure </w:t>
      </w:r>
      <w:r w:rsidR="00525049">
        <w:rPr>
          <w:noProof/>
        </w:rPr>
        <w:t>13</w:t>
      </w:r>
      <w:r w:rsidR="009D172A">
        <w:fldChar w:fldCharType="end"/>
      </w:r>
      <w:r w:rsidR="0084552D">
        <w:t xml:space="preserve"> – see also the companion paper, Fawcett et al., this volume for more on this topic</w:t>
      </w:r>
      <w:r w:rsidR="004662CC">
        <w:t>). In general, the scenarios indicate that</w:t>
      </w:r>
      <w:r w:rsidR="001E436C">
        <w:t xml:space="preserve"> reference scenario </w:t>
      </w:r>
      <w:r w:rsidR="004662CC">
        <w:t xml:space="preserve">emissions have an important influence on the </w:t>
      </w:r>
      <w:r w:rsidR="0084552D">
        <w:t xml:space="preserve">carbon prices and associated costs </w:t>
      </w:r>
      <w:r w:rsidR="004662CC">
        <w:t xml:space="preserve">of abatement, in </w:t>
      </w:r>
      <w:r w:rsidR="0050625E">
        <w:t xml:space="preserve">the trivial sense that for any given model, larger reductions are associated with larger </w:t>
      </w:r>
      <w:r w:rsidR="0084552D">
        <w:t>prices</w:t>
      </w:r>
      <w:r w:rsidR="0050625E">
        <w:t xml:space="preserve">. However, </w:t>
      </w:r>
      <w:r w:rsidR="004662CC">
        <w:t xml:space="preserve">the variation among models in ability to reduce emissions is of far larger concern. For example, </w:t>
      </w:r>
      <w:r w:rsidR="0084552D">
        <w:t xml:space="preserve">under Pessimistic </w:t>
      </w:r>
      <w:r w:rsidR="00306870">
        <w:t>CCS/</w:t>
      </w:r>
      <w:proofErr w:type="spellStart"/>
      <w:r w:rsidR="00306870">
        <w:t>Nuc</w:t>
      </w:r>
      <w:proofErr w:type="spellEnd"/>
      <w:r w:rsidR="0084552D">
        <w:t xml:space="preserve"> assumptions, </w:t>
      </w:r>
      <w:r w:rsidR="004662CC">
        <w:t>the model with the highest reduction</w:t>
      </w:r>
      <w:r w:rsidR="001E436C">
        <w:t xml:space="preserve"> from reference emissions</w:t>
      </w:r>
      <w:r w:rsidR="004662CC">
        <w:t xml:space="preserve"> in the 80% scenario has only the fourth highest </w:t>
      </w:r>
      <w:r w:rsidR="0084552D">
        <w:t xml:space="preserve">carbon price associated with </w:t>
      </w:r>
      <w:r w:rsidR="004662CC">
        <w:t xml:space="preserve">meeting the target. </w:t>
      </w:r>
      <w:r w:rsidR="0084552D">
        <w:t xml:space="preserve">There is substantial variation in carbon prices for any given level </w:t>
      </w:r>
      <w:r w:rsidR="00044395">
        <w:t xml:space="preserve">of reduction from </w:t>
      </w:r>
      <w:r w:rsidR="001E436C">
        <w:t>reference scenario</w:t>
      </w:r>
      <w:r w:rsidR="00044395">
        <w:t xml:space="preserve"> emis</w:t>
      </w:r>
      <w:r w:rsidR="0084552D">
        <w:t>s</w:t>
      </w:r>
      <w:r w:rsidR="00044395">
        <w:t>i</w:t>
      </w:r>
      <w:r w:rsidR="0084552D">
        <w:t>ons.</w:t>
      </w:r>
    </w:p>
    <w:p w:rsidR="00C66A4C" w:rsidRDefault="00C66A4C" w:rsidP="001014B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3348"/>
      </w:tblGrid>
      <w:tr w:rsidR="005957BB" w:rsidTr="00C93667">
        <w:tc>
          <w:tcPr>
            <w:tcW w:w="4834" w:type="dxa"/>
          </w:tcPr>
          <w:p w:rsidR="005957BB" w:rsidRPr="00C66A4C" w:rsidRDefault="00C66A4C" w:rsidP="00C66A4C">
            <w:pPr>
              <w:ind w:firstLine="0"/>
              <w:jc w:val="center"/>
              <w:rPr>
                <w:b/>
              </w:rPr>
            </w:pPr>
            <w:r w:rsidRPr="00C66A4C">
              <w:rPr>
                <w:b/>
              </w:rPr>
              <w:t>Pessimistic Renewables</w:t>
            </w:r>
          </w:p>
          <w:p w:rsidR="00C66A4C" w:rsidRDefault="00C66A4C" w:rsidP="00C93667">
            <w:pPr>
              <w:ind w:firstLine="0"/>
            </w:pPr>
            <w:r>
              <w:rPr>
                <w:noProof/>
              </w:rPr>
              <w:drawing>
                <wp:inline distT="0" distB="0" distL="0" distR="0" wp14:anchorId="4CC0F9BB" wp14:editId="22396329">
                  <wp:extent cx="2011680" cy="150876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11680" cy="1508760"/>
                          </a:xfrm>
                          <a:prstGeom prst="rect">
                            <a:avLst/>
                          </a:prstGeom>
                          <a:noFill/>
                          <a:ln>
                            <a:noFill/>
                          </a:ln>
                        </pic:spPr>
                      </pic:pic>
                    </a:graphicData>
                  </a:graphic>
                </wp:inline>
              </w:drawing>
            </w:r>
          </w:p>
        </w:tc>
        <w:tc>
          <w:tcPr>
            <w:tcW w:w="4742" w:type="dxa"/>
          </w:tcPr>
          <w:p w:rsidR="005957BB" w:rsidRPr="00C66A4C" w:rsidRDefault="00C66A4C" w:rsidP="00C66A4C">
            <w:pPr>
              <w:ind w:firstLine="0"/>
              <w:jc w:val="center"/>
              <w:rPr>
                <w:b/>
                <w:noProof/>
              </w:rPr>
            </w:pPr>
            <w:r w:rsidRPr="00C66A4C">
              <w:rPr>
                <w:b/>
                <w:noProof/>
              </w:rPr>
              <w:t xml:space="preserve">Pessimistic </w:t>
            </w:r>
            <w:r w:rsidR="00306870">
              <w:rPr>
                <w:b/>
                <w:noProof/>
              </w:rPr>
              <w:t>CCS/Nuc</w:t>
            </w:r>
          </w:p>
          <w:p w:rsidR="00C66A4C" w:rsidRDefault="00C66A4C" w:rsidP="00C93667">
            <w:pPr>
              <w:ind w:firstLine="0"/>
            </w:pPr>
            <w:r>
              <w:rPr>
                <w:noProof/>
              </w:rPr>
              <w:drawing>
                <wp:inline distT="0" distB="0" distL="0" distR="0" wp14:anchorId="0F6ECE56" wp14:editId="28EE7C01">
                  <wp:extent cx="2011680" cy="15087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011680" cy="1508760"/>
                          </a:xfrm>
                          <a:prstGeom prst="rect">
                            <a:avLst/>
                          </a:prstGeom>
                          <a:noFill/>
                          <a:ln>
                            <a:noFill/>
                          </a:ln>
                        </pic:spPr>
                      </pic:pic>
                    </a:graphicData>
                  </a:graphic>
                </wp:inline>
              </w:drawing>
            </w:r>
          </w:p>
        </w:tc>
      </w:tr>
      <w:tr w:rsidR="00A473EC" w:rsidTr="00C93667">
        <w:tc>
          <w:tcPr>
            <w:tcW w:w="9576" w:type="dxa"/>
            <w:gridSpan w:val="2"/>
          </w:tcPr>
          <w:p w:rsidR="00A473EC" w:rsidRDefault="003B1110" w:rsidP="00C93667">
            <w:pPr>
              <w:ind w:firstLine="0"/>
            </w:pPr>
            <w:r>
              <w:rPr>
                <w:noProof/>
              </w:rPr>
              <w:drawing>
                <wp:inline distT="0" distB="0" distL="0" distR="0" wp14:anchorId="60180622" wp14:editId="14B0230A">
                  <wp:extent cx="4112260" cy="28956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12260" cy="289560"/>
                          </a:xfrm>
                          <a:prstGeom prst="rect">
                            <a:avLst/>
                          </a:prstGeom>
                          <a:noFill/>
                          <a:ln>
                            <a:noFill/>
                          </a:ln>
                        </pic:spPr>
                      </pic:pic>
                    </a:graphicData>
                  </a:graphic>
                </wp:inline>
              </w:drawing>
            </w:r>
          </w:p>
        </w:tc>
      </w:tr>
    </w:tbl>
    <w:p w:rsidR="009D172A" w:rsidRDefault="001014B0" w:rsidP="00A44CD9">
      <w:pPr>
        <w:pStyle w:val="Caption"/>
      </w:pPr>
      <w:bookmarkStart w:id="30" w:name="_Ref353271978"/>
      <w:bookmarkStart w:id="31" w:name="_Ref375835825"/>
      <w:proofErr w:type="gramStart"/>
      <w:r>
        <w:t xml:space="preserve">Figure </w:t>
      </w:r>
      <w:fldSimple w:instr=" SEQ Figure \* ARABIC ">
        <w:r w:rsidR="00525049">
          <w:rPr>
            <w:noProof/>
          </w:rPr>
          <w:t>13</w:t>
        </w:r>
      </w:fldSimple>
      <w:bookmarkEnd w:id="30"/>
      <w:bookmarkEnd w:id="31"/>
      <w:r w:rsidR="009D0764">
        <w:rPr>
          <w:noProof/>
        </w:rPr>
        <w:t>.</w:t>
      </w:r>
      <w:proofErr w:type="gramEnd"/>
      <w:r w:rsidR="00904EF7">
        <w:rPr>
          <w:noProof/>
        </w:rPr>
        <w:t xml:space="preserve"> </w:t>
      </w:r>
      <w:r>
        <w:t>Emission</w:t>
      </w:r>
      <w:r w:rsidR="003B1110">
        <w:t xml:space="preserve">s prices in 2050 relative to percentage emissions reductions from the reference scenario </w:t>
      </w:r>
      <w:r w:rsidR="00C66A4C">
        <w:t xml:space="preserve">under Pessimistic Renewable and Pessimistic </w:t>
      </w:r>
      <w:r w:rsidR="00306870">
        <w:t>CCS/</w:t>
      </w:r>
      <w:proofErr w:type="spellStart"/>
      <w:r w:rsidR="00306870">
        <w:t>Nuc</w:t>
      </w:r>
      <w:proofErr w:type="spellEnd"/>
      <w:r w:rsidR="00C66A4C">
        <w:t xml:space="preserve"> technology assumptions.</w:t>
      </w:r>
      <w:r w:rsidR="003B1110">
        <w:t xml:space="preserve"> </w:t>
      </w:r>
      <w:r w:rsidR="0084552D" w:rsidRPr="00C43463">
        <w:rPr>
          <w:b w:val="0"/>
        </w:rPr>
        <w:t>The first dot for each line represents emissions reductions and prices for the 50% reduction scenario. The second dot represents the emissions reductions and prices for the 80% reduction scenario.</w:t>
      </w:r>
    </w:p>
    <w:p w:rsidR="003D09B4" w:rsidRDefault="003D09B4" w:rsidP="00C71E25">
      <w:pPr>
        <w:pStyle w:val="Heading2"/>
      </w:pPr>
      <w:bookmarkStart w:id="32" w:name="_Ref365822110"/>
      <w:r>
        <w:t>Technology and the evolution of the energy system</w:t>
      </w:r>
      <w:bookmarkEnd w:id="32"/>
    </w:p>
    <w:p w:rsidR="00092A29" w:rsidRDefault="00E06FD5" w:rsidP="00AE69A9">
      <w:r>
        <w:t xml:space="preserve">Mitigation will </w:t>
      </w:r>
      <w:r w:rsidR="006F4AFB">
        <w:t xml:space="preserve">potentially </w:t>
      </w:r>
      <w:r>
        <w:t xml:space="preserve">require a substantial scale-up in low-carbon energy from today’s levels </w:t>
      </w:r>
      <w:r w:rsidR="00535260">
        <w:t>(</w:t>
      </w:r>
      <w:r w:rsidR="00535260">
        <w:fldChar w:fldCharType="begin"/>
      </w:r>
      <w:r w:rsidR="00535260">
        <w:instrText xml:space="preserve"> REF _Ref347429899 \h </w:instrText>
      </w:r>
      <w:r w:rsidR="00535260">
        <w:fldChar w:fldCharType="separate"/>
      </w:r>
      <w:r w:rsidR="00535260">
        <w:t xml:space="preserve">Figure </w:t>
      </w:r>
      <w:r w:rsidR="00535260">
        <w:rPr>
          <w:noProof/>
        </w:rPr>
        <w:t>14</w:t>
      </w:r>
      <w:r w:rsidR="00535260">
        <w:fldChar w:fldCharType="end"/>
      </w:r>
      <w:r w:rsidR="00535260">
        <w:t xml:space="preserve"> and </w:t>
      </w:r>
      <w:r w:rsidR="00535260">
        <w:fldChar w:fldCharType="begin"/>
      </w:r>
      <w:r w:rsidR="00535260">
        <w:instrText xml:space="preserve"> REF _Ref340356718 \h </w:instrText>
      </w:r>
      <w:r w:rsidR="00535260">
        <w:fldChar w:fldCharType="separate"/>
      </w:r>
      <w:r w:rsidR="00535260">
        <w:t xml:space="preserve">Figure </w:t>
      </w:r>
      <w:r w:rsidR="00535260">
        <w:rPr>
          <w:noProof/>
        </w:rPr>
        <w:t>15</w:t>
      </w:r>
      <w:r w:rsidR="00535260">
        <w:fldChar w:fldCharType="end"/>
      </w:r>
      <w:r w:rsidR="00535260">
        <w:t>)</w:t>
      </w:r>
      <w:r>
        <w:t>.</w:t>
      </w:r>
      <w:r w:rsidR="00092A29">
        <w:t xml:space="preserve">The degree of scale-up depends heavily on the size of the energy system in the reference scenario and </w:t>
      </w:r>
      <w:r w:rsidR="00092A29">
        <w:lastRenderedPageBreak/>
        <w:t>the degree of energy reductions in the mitigation</w:t>
      </w:r>
      <w:r w:rsidR="00C93667">
        <w:t xml:space="preserve"> </w:t>
      </w:r>
      <w:r w:rsidR="00092A29">
        <w:t xml:space="preserve">scenarios. </w:t>
      </w:r>
      <w:r w:rsidR="006F4AFB">
        <w:t xml:space="preserve">On the higher end of this spectrum, the amount of low-carbon energy by 2050 is upwards of 4 times today’s levels for the 50% and the 80% reduction goals. On the other end of the spectrum, </w:t>
      </w:r>
      <w:r w:rsidR="00610FF7">
        <w:t xml:space="preserve">with substantial demand reductions, low-carbon energy is kept at roughly 2010 levels in 2050, even in the 80% reduction scenarios. It is important to note that the scenarios with lower low-carbon energy deployment levels are all scenarios with roughly 50% reductions or more in primary energy consumption relative to </w:t>
      </w:r>
      <w:r w:rsidR="001E436C">
        <w:t xml:space="preserve">reference </w:t>
      </w:r>
      <w:r w:rsidR="00610FF7">
        <w:t xml:space="preserve">scenarios without the </w:t>
      </w:r>
      <w:r w:rsidR="00F24D18">
        <w:t xml:space="preserve">Optimistic </w:t>
      </w:r>
      <w:r w:rsidR="00807F22">
        <w:t xml:space="preserve">Technology </w:t>
      </w:r>
      <w:r w:rsidR="00610FF7">
        <w:t xml:space="preserve">assumptions for energy </w:t>
      </w:r>
      <w:r w:rsidR="00437CD2">
        <w:t>end-use</w:t>
      </w:r>
      <w:r w:rsidR="00610FF7">
        <w:t xml:space="preserve">, with one scenario reaching roughly 75% reductions in primary energy consumption. </w:t>
      </w:r>
    </w:p>
    <w:p w:rsidR="00D95F76" w:rsidRDefault="00CF4E40" w:rsidP="00AE69A9">
      <w:r>
        <w:t xml:space="preserve">In general, the presence of CCS and nuclear energy leads to somewhat higher primary energy on a direct equivalent basis than is the case without these technologies and more optimistic assumptions about renewable power. However, as with economic costs, the largest different between scenarios is generally among models rather than among scenarios within a model. Some models rely heavily on </w:t>
      </w:r>
      <w:r w:rsidR="00437CD2">
        <w:t>end-use</w:t>
      </w:r>
      <w:r>
        <w:t xml:space="preserve"> reduction, whereas others rely more heavily on the use low carbon energy. </w:t>
      </w:r>
      <w:r w:rsidR="00044395">
        <w:t xml:space="preserve">Two </w:t>
      </w:r>
      <w:r>
        <w:t>model</w:t>
      </w:r>
      <w:r w:rsidR="00044395">
        <w:t xml:space="preserve">s rely </w:t>
      </w:r>
      <w:r>
        <w:t>heavily on the use of bioenergy coupled with CCS to produce negative emissions.</w:t>
      </w:r>
      <w:r w:rsidR="00C93667">
        <w:t xml:space="preserve"> </w:t>
      </w:r>
      <w:r w:rsidR="00AC6DE4">
        <w:t>Not surprisingly, without CCS or new nuclear power, scenarios rely more heavily on renewable energy. Conversely, with CCS and nuclear power, but with less optimistic assumptions about renewable energy, the scenarios rely more heavily on CCS and nuclear power.</w:t>
      </w:r>
      <w:r w:rsidR="00610FF7">
        <w:t xml:space="preserve"> Consistent with previous studies (</w:t>
      </w:r>
      <w:r w:rsidR="005738AF">
        <w:t>Edmonds et al., 2006</w:t>
      </w:r>
      <w:r w:rsidR="00610FF7">
        <w:t xml:space="preserve">), several studies find that mitigation increases electricity production as low-carbon electricity substitutes for liquid, solid, and gaseous fuels in </w:t>
      </w:r>
      <w:r w:rsidR="00437CD2">
        <w:t>end-use</w:t>
      </w:r>
      <w:r w:rsidR="00610FF7">
        <w:t>s.</w:t>
      </w:r>
    </w:p>
    <w:p w:rsidR="004C77B0" w:rsidRDefault="00AC6DE4" w:rsidP="00AE69A9">
      <w:r>
        <w:t xml:space="preserve">More generally, the variation in energy system response among models reaffirms two important characteristics of our understanding of energy system responses to climate mitigation. The first is that there are many different pathways that can lead to the same long-term mitigation goal. The second is that </w:t>
      </w:r>
      <w:r w:rsidR="004C77B0">
        <w:t>there is sufficient uncertainty about technology</w:t>
      </w:r>
      <w:r w:rsidR="00C93667">
        <w:t xml:space="preserve"> </w:t>
      </w:r>
      <w:r w:rsidR="004C77B0">
        <w:t xml:space="preserve">and relative mitigation potential among sectors that modelers can come to very different conclusions. Key areas where modelers have made different choices include the ability to switch fuels in </w:t>
      </w:r>
      <w:r w:rsidR="00437CD2">
        <w:t>end-use</w:t>
      </w:r>
      <w:r w:rsidR="004C77B0">
        <w:t xml:space="preserve">s, the options for energy use reductions including both reductions in service and the potential for improved efficiency, the relative costs and performance of supply technologies, the manner in which intermittent technologies can be incorporated into the grid, </w:t>
      </w:r>
      <w:r w:rsidR="00044395">
        <w:t xml:space="preserve">and </w:t>
      </w:r>
      <w:r w:rsidR="004C77B0">
        <w:t>societal perceptions regarding specific technologies such as nuclear power. Many of these assumptions are explicit in assumptions about technologies or elasticities that are entered into the models, but others are more implicit in the structures of the models or the parameters that result from their calibration or constraints that are entered into the models. It was beyond the charter of the EMF 24 study to attempt to collect this information; however, more sophisticated diagnostics of the representation of technology</w:t>
      </w:r>
      <w:r w:rsidR="00C93667">
        <w:t xml:space="preserve"> </w:t>
      </w:r>
      <w:r w:rsidR="004C77B0">
        <w:t xml:space="preserve">is an important area for future research. </w:t>
      </w:r>
    </w:p>
    <w:p w:rsidR="00AC6DE4" w:rsidRDefault="004C77B0" w:rsidP="00A444E2">
      <w:r>
        <w:t>It is also important to emphasize that these models are searching for a pathway that will minimize the costs</w:t>
      </w:r>
      <w:r w:rsidR="00C93667">
        <w:t xml:space="preserve"> </w:t>
      </w:r>
      <w:r>
        <w:t>of mitigation.</w:t>
      </w:r>
      <w:r w:rsidR="00C93667">
        <w:t xml:space="preserve"> </w:t>
      </w:r>
      <w:r>
        <w:t>On</w:t>
      </w:r>
      <w:r w:rsidR="00A444E2">
        <w:t>e</w:t>
      </w:r>
      <w:r>
        <w:t xml:space="preserve"> hypothesis is </w:t>
      </w:r>
      <w:r w:rsidR="002378B3">
        <w:t xml:space="preserve">the </w:t>
      </w:r>
      <w:r>
        <w:t>different pathways, as represented within any single</w:t>
      </w:r>
      <w:r w:rsidR="00C93667">
        <w:t xml:space="preserve"> </w:t>
      </w:r>
      <w:r>
        <w:t xml:space="preserve">modeling framework, may not have costs that are all that different; that is, there is a flat optimum. To some degree this hypothesis is confirmed by the fact that modest changes in the set of available </w:t>
      </w:r>
      <w:r w:rsidR="00A444E2">
        <w:t xml:space="preserve">supply-side technologies – say between the </w:t>
      </w:r>
      <w:r w:rsidR="00306870">
        <w:t>P</w:t>
      </w:r>
      <w:r w:rsidR="002A5BF0">
        <w:t xml:space="preserve">essimistic </w:t>
      </w:r>
      <w:r w:rsidR="00306870">
        <w:t>R</w:t>
      </w:r>
      <w:r w:rsidR="00A444E2">
        <w:t xml:space="preserve">enewable and </w:t>
      </w:r>
      <w:r w:rsidR="00306870">
        <w:t>P</w:t>
      </w:r>
      <w:r w:rsidR="002A5BF0">
        <w:t xml:space="preserve">essimistic </w:t>
      </w:r>
      <w:r w:rsidR="00306870">
        <w:t>CCS/</w:t>
      </w:r>
      <w:proofErr w:type="spellStart"/>
      <w:r w:rsidR="00306870">
        <w:t>Nuc</w:t>
      </w:r>
      <w:proofErr w:type="spellEnd"/>
      <w:r w:rsidR="00A444E2">
        <w:t xml:space="preserve"> </w:t>
      </w:r>
      <w:r w:rsidR="00306870">
        <w:t xml:space="preserve">assumptions </w:t>
      </w:r>
      <w:r w:rsidR="00A444E2">
        <w:t xml:space="preserve">– did not result in dramatic changes in the </w:t>
      </w:r>
      <w:r w:rsidR="00A444E2">
        <w:lastRenderedPageBreak/>
        <w:t xml:space="preserve">costs of abatement or the carbon price in many models. If the competition is close between technologies, then other societal priorities (e.g., energy security, local environmental concerns) may have an outsized influence on </w:t>
      </w:r>
      <w:r w:rsidR="009F5AA8">
        <w:t>the precise choice of energy system configuration (Clarke et al., 2012, Krey et al., 2013).</w:t>
      </w:r>
    </w:p>
    <w:p w:rsidR="005936D9" w:rsidRDefault="005936D9" w:rsidP="006662EC"/>
    <w:p w:rsidR="007873AC" w:rsidRDefault="00535260" w:rsidP="00353B23">
      <w:pPr>
        <w:ind w:firstLine="0"/>
        <w:jc w:val="center"/>
      </w:pPr>
      <w:r w:rsidRPr="00535260">
        <w:rPr>
          <w:noProof/>
        </w:rPr>
        <w:drawing>
          <wp:inline distT="0" distB="0" distL="0" distR="0" wp14:anchorId="2E6F1F26" wp14:editId="780ACF9D">
            <wp:extent cx="4114800" cy="3193349"/>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14800" cy="3193349"/>
                    </a:xfrm>
                    <a:prstGeom prst="rect">
                      <a:avLst/>
                    </a:prstGeom>
                    <a:noFill/>
                    <a:ln>
                      <a:noFill/>
                    </a:ln>
                  </pic:spPr>
                </pic:pic>
              </a:graphicData>
            </a:graphic>
          </wp:inline>
        </w:drawing>
      </w:r>
    </w:p>
    <w:p w:rsidR="000C1946" w:rsidRDefault="002642AC" w:rsidP="00A44CD9">
      <w:pPr>
        <w:pStyle w:val="Caption"/>
      </w:pPr>
      <w:bookmarkStart w:id="33" w:name="_Ref347429899"/>
      <w:proofErr w:type="gramStart"/>
      <w:r>
        <w:t xml:space="preserve">Figure </w:t>
      </w:r>
      <w:fldSimple w:instr=" SEQ Figure \* ARABIC ">
        <w:r w:rsidR="00535260">
          <w:rPr>
            <w:noProof/>
          </w:rPr>
          <w:t>14</w:t>
        </w:r>
      </w:fldSimple>
      <w:bookmarkEnd w:id="33"/>
      <w:r w:rsidR="000C1946">
        <w:t>.</w:t>
      </w:r>
      <w:proofErr w:type="gramEnd"/>
      <w:r w:rsidR="00443E9E">
        <w:t xml:space="preserve"> </w:t>
      </w:r>
      <w:r w:rsidR="00610FF7">
        <w:t>Primary e</w:t>
      </w:r>
      <w:r w:rsidR="000C1946" w:rsidRPr="00903D2F">
        <w:t xml:space="preserve">nergy consumption </w:t>
      </w:r>
      <w:r w:rsidR="001D5E71">
        <w:t>in 2050 in the 50% and 80% reduction scenarios</w:t>
      </w:r>
      <w:r w:rsidR="000D2A8F">
        <w:t xml:space="preserve"> for Pessimistic </w:t>
      </w:r>
      <w:r w:rsidR="00306870">
        <w:t>CCS/</w:t>
      </w:r>
      <w:proofErr w:type="spellStart"/>
      <w:r w:rsidR="00306870">
        <w:t>Nuc</w:t>
      </w:r>
      <w:proofErr w:type="spellEnd"/>
      <w:r w:rsidR="000D2A8F">
        <w:t xml:space="preserve"> and Pessimistic Renewable</w:t>
      </w:r>
      <w:r w:rsidR="00E06BEE">
        <w:t xml:space="preserve"> technology assumptions</w:t>
      </w:r>
      <w:r w:rsidR="000D2A8F">
        <w:t>.</w:t>
      </w:r>
    </w:p>
    <w:p w:rsidR="006617D2" w:rsidRDefault="000D2A8F" w:rsidP="00353B23">
      <w:pPr>
        <w:ind w:firstLine="0"/>
        <w:jc w:val="center"/>
      </w:pPr>
      <w:r w:rsidRPr="000D2A8F">
        <w:rPr>
          <w:noProof/>
        </w:rPr>
        <w:drawing>
          <wp:inline distT="0" distB="0" distL="0" distR="0" wp14:anchorId="5B6DAC3C" wp14:editId="19756698">
            <wp:extent cx="4114800" cy="31953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14800" cy="3195320"/>
                    </a:xfrm>
                    <a:prstGeom prst="rect">
                      <a:avLst/>
                    </a:prstGeom>
                    <a:noFill/>
                    <a:ln>
                      <a:noFill/>
                    </a:ln>
                  </pic:spPr>
                </pic:pic>
              </a:graphicData>
            </a:graphic>
          </wp:inline>
        </w:drawing>
      </w:r>
    </w:p>
    <w:p w:rsidR="000C1946" w:rsidRDefault="000C1946" w:rsidP="00A44CD9">
      <w:pPr>
        <w:pStyle w:val="Caption"/>
      </w:pPr>
      <w:bookmarkStart w:id="34" w:name="_Ref340356718"/>
      <w:proofErr w:type="gramStart"/>
      <w:r>
        <w:t xml:space="preserve">Figure </w:t>
      </w:r>
      <w:fldSimple w:instr=" SEQ Figure \* ARABIC ">
        <w:r w:rsidR="00535260">
          <w:rPr>
            <w:noProof/>
          </w:rPr>
          <w:t>15</w:t>
        </w:r>
      </w:fldSimple>
      <w:bookmarkEnd w:id="34"/>
      <w:r>
        <w:t>.</w:t>
      </w:r>
      <w:proofErr w:type="gramEnd"/>
      <w:r w:rsidR="00443E9E">
        <w:t xml:space="preserve"> </w:t>
      </w:r>
      <w:r w:rsidR="000D2A8F">
        <w:t>Electricity Generation</w:t>
      </w:r>
      <w:r w:rsidR="000D2A8F" w:rsidRPr="00903D2F">
        <w:t xml:space="preserve"> </w:t>
      </w:r>
      <w:r w:rsidR="000D2A8F">
        <w:t xml:space="preserve">in 2050 in the 50% and 80% reduction scenarios for Pessimistic </w:t>
      </w:r>
      <w:r w:rsidR="00306870">
        <w:t>CCS/</w:t>
      </w:r>
      <w:proofErr w:type="spellStart"/>
      <w:r w:rsidR="00306870">
        <w:t>Nuc</w:t>
      </w:r>
      <w:proofErr w:type="spellEnd"/>
      <w:r w:rsidR="000D2A8F">
        <w:t xml:space="preserve"> and Pessimistic Renewable </w:t>
      </w:r>
      <w:r w:rsidR="00E06BEE">
        <w:t>technology assumptions</w:t>
      </w:r>
      <w:r w:rsidR="000D2A8F">
        <w:t>.</w:t>
      </w:r>
    </w:p>
    <w:p w:rsidR="006662EC" w:rsidRDefault="006662EC" w:rsidP="00C71E25">
      <w:pPr>
        <w:pStyle w:val="Heading1"/>
      </w:pPr>
      <w:bookmarkStart w:id="35" w:name="_Ref365728276"/>
      <w:r>
        <w:lastRenderedPageBreak/>
        <w:t>Conclusions</w:t>
      </w:r>
      <w:bookmarkEnd w:id="35"/>
    </w:p>
    <w:p w:rsidR="00F30D5E" w:rsidRDefault="00AE69A9" w:rsidP="00483A6D">
      <w:r>
        <w:t>The EMF 24 scenarios were motivated by the goal of exploring the implications of technology on the energy transitions and the macroeconomic costs of mitigation in the U.S. They were also motivated by the question of whether it is possible to achieve aggressive mitigation goals, s</w:t>
      </w:r>
      <w:r w:rsidR="00896ACA">
        <w:t>uch as an 80% reduction in emis</w:t>
      </w:r>
      <w:r>
        <w:t>s</w:t>
      </w:r>
      <w:r w:rsidR="00896ACA">
        <w:t>i</w:t>
      </w:r>
      <w:r>
        <w:t xml:space="preserve">ons by 2050, using </w:t>
      </w:r>
      <w:r w:rsidR="00896ACA">
        <w:t>only limited technology portfolios.</w:t>
      </w:r>
      <w:r w:rsidR="00D55EDB">
        <w:t xml:space="preserve"> All told, the scenarios generally confirm a range of insights that are not necessarily new to this study: costs will be higher with fewer available technologies</w:t>
      </w:r>
      <w:r w:rsidR="00EA65B5">
        <w:t>;</w:t>
      </w:r>
      <w:r w:rsidR="00D55EDB">
        <w:t xml:space="preserve"> a large-scale transformation of the energy system will be needed to meet long-term climate goals</w:t>
      </w:r>
      <w:r w:rsidR="00EA65B5">
        <w:t>;</w:t>
      </w:r>
      <w:r w:rsidR="00D55EDB">
        <w:t xml:space="preserve"> the variation in costs and energy system configurations among models can be larger than the variation across scenarios</w:t>
      </w:r>
      <w:r w:rsidR="00EA65B5">
        <w:t>;</w:t>
      </w:r>
      <w:r w:rsidR="00443E9E">
        <w:t xml:space="preserve"> </w:t>
      </w:r>
      <w:r w:rsidR="005E59D7">
        <w:t xml:space="preserve">the </w:t>
      </w:r>
      <w:r w:rsidR="00D55EDB">
        <w:t xml:space="preserve">electricity </w:t>
      </w:r>
      <w:r w:rsidR="005E59D7">
        <w:t xml:space="preserve">sector accounts for a disproportionate percentage </w:t>
      </w:r>
      <w:r w:rsidR="00D55EDB">
        <w:t xml:space="preserve">of fossil and industrial emissions </w:t>
      </w:r>
      <w:r w:rsidR="00EA65B5">
        <w:t xml:space="preserve">reductions </w:t>
      </w:r>
      <w:r w:rsidR="00D55EDB">
        <w:t>over the next fifty years</w:t>
      </w:r>
      <w:r w:rsidR="00EA65B5">
        <w:t>;</w:t>
      </w:r>
      <w:r w:rsidR="00D55EDB">
        <w:t xml:space="preserve"> and there is a wide variety of technology pathways for meeting long-term mitigation goals. As with many things, the devil is in the details </w:t>
      </w:r>
      <w:r w:rsidR="00044395">
        <w:t xml:space="preserve">with regards to emissions pathways, mitigation </w:t>
      </w:r>
      <w:r w:rsidR="00D55EDB">
        <w:t>costs</w:t>
      </w:r>
      <w:r w:rsidR="00044395">
        <w:t>,</w:t>
      </w:r>
      <w:r w:rsidR="00D55EDB">
        <w:t xml:space="preserve"> and the energy system transformations, and these are provided in a range of figures and tables in this paper and the supplementary material, as well as the database for the study which is available online.</w:t>
      </w:r>
    </w:p>
    <w:p w:rsidR="00D55EDB" w:rsidRDefault="00D55EDB" w:rsidP="00483A6D">
      <w:r>
        <w:t xml:space="preserve">Beyond these generic insights, we would like to highlight </w:t>
      </w:r>
      <w:r w:rsidR="00044395">
        <w:t xml:space="preserve">three </w:t>
      </w:r>
      <w:r>
        <w:t xml:space="preserve">themes </w:t>
      </w:r>
      <w:r w:rsidR="00C70A3D">
        <w:t xml:space="preserve">about technology and the interpretation of modeling results </w:t>
      </w:r>
      <w:r>
        <w:t xml:space="preserve">that emerge from the study. First, we find that there is no clear conclusion about whether one energy production technology is of more value than the others for the 50% reduction scenarios. There are several important reasons for this. For one, there was a large emphasis on electricity generating technologies in this study. Given the breadth of possibilities to produce low-carbon electricity, limitations on any single option can be overcome by using other options. However, for deeper reductions or longer-term scenarios, this particular behavior could break down. In particular, the ability to use bioenergy with CCS has been shown to be more valuable than other technologies in many studies where </w:t>
      </w:r>
      <w:r w:rsidR="0065381F">
        <w:t xml:space="preserve">even </w:t>
      </w:r>
      <w:r>
        <w:t>deep</w:t>
      </w:r>
      <w:r w:rsidR="0065381F">
        <w:t>er</w:t>
      </w:r>
      <w:r>
        <w:t xml:space="preserve"> emissions reductions</w:t>
      </w:r>
      <w:r w:rsidR="0065381F">
        <w:t>, including moving the entire economy to negative emissions,</w:t>
      </w:r>
      <w:r>
        <w:t xml:space="preserve"> are required (see, for example, Krey et al., 2013). But with a focus only through 2050, this does not prove to be the case.</w:t>
      </w:r>
    </w:p>
    <w:p w:rsidR="009F4E80" w:rsidRDefault="00C70A3D" w:rsidP="00483A6D">
      <w:r>
        <w:t xml:space="preserve">Second, even without limitations on particular technologies, the models assume very different energy system configurations for meeting the mitigation goals in this study. This is not a new result, but it remains an important one for understanding the role of studies such as this in articulating the “right” emissions pathway to mitigation. To some degree this variation is simply a matter of our lack of understanding of the potential availability, cost, and performance of power generation technologies in the future. On the other hand, it also </w:t>
      </w:r>
      <w:r w:rsidR="0065381F">
        <w:t xml:space="preserve">supports the hypothesis </w:t>
      </w:r>
      <w:r>
        <w:t xml:space="preserve">that the competition between </w:t>
      </w:r>
      <w:r w:rsidR="0065381F">
        <w:t>different configu</w:t>
      </w:r>
      <w:r w:rsidR="00C3194B">
        <w:t>r</w:t>
      </w:r>
      <w:r w:rsidR="0065381F">
        <w:t xml:space="preserve">ations </w:t>
      </w:r>
      <w:r>
        <w:t xml:space="preserve">is tight – </w:t>
      </w:r>
      <w:r w:rsidR="0065381F">
        <w:t>different configurations may have similar macroeconomic implications</w:t>
      </w:r>
      <w:r w:rsidR="00C93667">
        <w:t xml:space="preserve">. This, in turn, highlights the fact that </w:t>
      </w:r>
      <w:r w:rsidR="009F4E80">
        <w:t xml:space="preserve">economics will not be the </w:t>
      </w:r>
      <w:r w:rsidR="00C93667">
        <w:t xml:space="preserve">only </w:t>
      </w:r>
      <w:r w:rsidR="009F4E80">
        <w:t xml:space="preserve">deciding factor in which energy technology system we ultimately might rely on should the U.S. choose to substantially reduce greenhouse gas emissions. The fact that the costs of mitigation were largely unaffected by the removal of any single production technology corroborates this general result. Instead, other factors might exert the largest influence on the choice of the power system configuration. These might include energy security </w:t>
      </w:r>
      <w:r w:rsidR="009F4E80">
        <w:lastRenderedPageBreak/>
        <w:t>concerns, related environmental concerns such as those associated with nuclear waste or CO2 storage or even the effects of wind power on bird populations, or regulatory challenges in implementing important infrastructure, such as new transmission lines for renewable energy or a CO2 pipeline infrastructure.</w:t>
      </w:r>
    </w:p>
    <w:p w:rsidR="009F4E80" w:rsidRDefault="00664662" w:rsidP="00483A6D">
      <w:r>
        <w:t>Third</w:t>
      </w:r>
      <w:r w:rsidR="009F4E80">
        <w:t xml:space="preserve">, this paper has focused heavily on supply side technology solutions, and particularly on those associated with electric power. Yet, </w:t>
      </w:r>
      <w:r w:rsidR="00437CD2">
        <w:t>end-use</w:t>
      </w:r>
      <w:r w:rsidR="009F4E80">
        <w:t xml:space="preserve"> technologies may be at the heart of many transformation pathways for climate mitigation. This goes beyond simply </w:t>
      </w:r>
      <w:r w:rsidR="00437CD2">
        <w:t>end-use</w:t>
      </w:r>
      <w:r w:rsidR="009F4E80">
        <w:t xml:space="preserve"> </w:t>
      </w:r>
      <w:r w:rsidR="00044395">
        <w:t xml:space="preserve">energy </w:t>
      </w:r>
      <w:r w:rsidR="009F4E80">
        <w:t>reduction</w:t>
      </w:r>
      <w:r w:rsidR="00044395">
        <w:t>s</w:t>
      </w:r>
      <w:r w:rsidR="009F4E80">
        <w:t xml:space="preserve">, which was the focus of the </w:t>
      </w:r>
      <w:r w:rsidR="00437CD2">
        <w:t>end-use</w:t>
      </w:r>
      <w:r w:rsidR="009F4E80">
        <w:t xml:space="preserve"> component of this study. Opportunities for fuel switching may be a critical determinant of future energy system conf</w:t>
      </w:r>
      <w:r w:rsidR="0034235E">
        <w:t xml:space="preserve">igurations. For example, improvements in batteries could lead to the widespread use of electricity in transportation, which is </w:t>
      </w:r>
      <w:r w:rsidR="0065381F">
        <w:t xml:space="preserve">often considered to be </w:t>
      </w:r>
      <w:r w:rsidR="0034235E">
        <w:t xml:space="preserve">the hardest sector to decarbonize. Even with </w:t>
      </w:r>
      <w:r w:rsidR="00437CD2">
        <w:t>end-use</w:t>
      </w:r>
      <w:r w:rsidR="0034235E">
        <w:t xml:space="preserve"> reductions, there are very broad questions about the potential for reductions, the welfare implications of reductions, and the relative implications of price-based and regulatory approaches to achieving </w:t>
      </w:r>
      <w:r w:rsidR="00437CD2">
        <w:t>end-use</w:t>
      </w:r>
      <w:r w:rsidR="0034235E">
        <w:t xml:space="preserve"> reductions. We would therefore like to encourage future studies to move beyond the focus on supply side options and toward a treatment not just of energy use reductions, but also of the possibility for changes in the types of fuels that we use at the </w:t>
      </w:r>
      <w:r w:rsidR="00437CD2">
        <w:t>end-use</w:t>
      </w:r>
      <w:r w:rsidR="0034235E">
        <w:t xml:space="preserve"> and the associated technologies.</w:t>
      </w:r>
    </w:p>
    <w:p w:rsidR="00317AE3" w:rsidRDefault="00317AE3" w:rsidP="00483A6D"/>
    <w:p w:rsidR="00AE727E" w:rsidRPr="00C93667" w:rsidRDefault="00E07989" w:rsidP="00C93667">
      <w:pPr>
        <w:ind w:firstLine="0"/>
        <w:rPr>
          <w:b/>
          <w:sz w:val="24"/>
        </w:rPr>
      </w:pPr>
      <w:r w:rsidRPr="00C93667">
        <w:rPr>
          <w:b/>
          <w:sz w:val="24"/>
        </w:rPr>
        <w:t>References</w:t>
      </w:r>
    </w:p>
    <w:p w:rsidR="00C93667" w:rsidRPr="00DD3015" w:rsidRDefault="00C93667" w:rsidP="00DD3015">
      <w:pPr>
        <w:rPr>
          <w:b/>
          <w:sz w:val="28"/>
        </w:rPr>
      </w:pPr>
    </w:p>
    <w:p w:rsidR="006776C9" w:rsidRDefault="006776C9" w:rsidP="00C93667">
      <w:pPr>
        <w:spacing w:after="120"/>
        <w:ind w:left="187" w:hanging="187"/>
        <w:rPr>
          <w:rFonts w:cstheme="minorHAnsi"/>
        </w:rPr>
      </w:pPr>
      <w:proofErr w:type="gramStart"/>
      <w:r w:rsidRPr="006776C9">
        <w:rPr>
          <w:rFonts w:cstheme="minorHAnsi"/>
        </w:rPr>
        <w:t>Blanford</w:t>
      </w:r>
      <w:r>
        <w:rPr>
          <w:rFonts w:cstheme="minorHAnsi"/>
        </w:rPr>
        <w:t xml:space="preserve">, G., J. </w:t>
      </w:r>
      <w:r w:rsidRPr="006776C9">
        <w:rPr>
          <w:rFonts w:cstheme="minorHAnsi"/>
        </w:rPr>
        <w:t>Merrick</w:t>
      </w:r>
      <w:r>
        <w:rPr>
          <w:rFonts w:cstheme="minorHAnsi"/>
        </w:rPr>
        <w:t>, D. Young, 2013, Economic and environmental i</w:t>
      </w:r>
      <w:r w:rsidRPr="006776C9">
        <w:rPr>
          <w:rFonts w:cstheme="minorHAnsi"/>
        </w:rPr>
        <w:t xml:space="preserve">mpacts </w:t>
      </w:r>
      <w:proofErr w:type="spellStart"/>
      <w:r w:rsidRPr="006776C9">
        <w:rPr>
          <w:rFonts w:cstheme="minorHAnsi"/>
        </w:rPr>
        <w:t>of</w:t>
      </w:r>
      <w:r>
        <w:rPr>
          <w:rFonts w:cstheme="minorHAnsi"/>
        </w:rPr>
        <w:t>a</w:t>
      </w:r>
      <w:proofErr w:type="spellEnd"/>
      <w:r>
        <w:rPr>
          <w:rFonts w:cstheme="minorHAnsi"/>
        </w:rPr>
        <w:t xml:space="preserve"> clean energy standard in the United </w:t>
      </w:r>
      <w:proofErr w:type="spellStart"/>
      <w:r>
        <w:rPr>
          <w:rFonts w:cstheme="minorHAnsi"/>
        </w:rPr>
        <w:t>States.</w:t>
      </w:r>
      <w:r w:rsidRPr="002C0CE7">
        <w:rPr>
          <w:rFonts w:cstheme="minorHAnsi"/>
          <w:i/>
        </w:rPr>
        <w:t>Energy</w:t>
      </w:r>
      <w:proofErr w:type="spellEnd"/>
      <w:r w:rsidRPr="002C0CE7">
        <w:rPr>
          <w:rFonts w:cstheme="minorHAnsi"/>
          <w:i/>
        </w:rPr>
        <w:t xml:space="preserve"> Journal</w:t>
      </w:r>
      <w:r>
        <w:rPr>
          <w:rFonts w:cstheme="minorHAnsi"/>
        </w:rPr>
        <w:t>, this volume.</w:t>
      </w:r>
      <w:proofErr w:type="gramEnd"/>
    </w:p>
    <w:p w:rsidR="009368E8" w:rsidRDefault="009368E8" w:rsidP="00C93667">
      <w:pPr>
        <w:spacing w:after="120"/>
        <w:ind w:left="187" w:hanging="187"/>
        <w:rPr>
          <w:rFonts w:cstheme="minorHAnsi"/>
        </w:rPr>
      </w:pPr>
      <w:r w:rsidRPr="009368E8">
        <w:rPr>
          <w:rFonts w:cstheme="minorHAnsi"/>
        </w:rPr>
        <w:t xml:space="preserve">Calvin, KV, A Fawcett, K Jiang. 2012. “Comparing Model Results to National Climate Policy Goals: Results from the Asia Modeling Exercise.” </w:t>
      </w:r>
      <w:r w:rsidR="0018725F" w:rsidRPr="00C93667">
        <w:rPr>
          <w:rFonts w:cstheme="minorHAnsi"/>
          <w:i/>
        </w:rPr>
        <w:t>Energy Economics</w:t>
      </w:r>
      <w:r w:rsidRPr="009368E8">
        <w:rPr>
          <w:rFonts w:cstheme="minorHAnsi"/>
        </w:rPr>
        <w:t xml:space="preserve"> 34: S306-S315.</w:t>
      </w:r>
    </w:p>
    <w:p w:rsidR="001B666D" w:rsidRDefault="001B666D" w:rsidP="00C93667">
      <w:pPr>
        <w:spacing w:after="120"/>
        <w:ind w:left="187" w:hanging="187"/>
        <w:rPr>
          <w:rFonts w:cstheme="minorHAnsi"/>
        </w:rPr>
      </w:pPr>
      <w:r w:rsidRPr="001B666D">
        <w:rPr>
          <w:rFonts w:cstheme="minorHAnsi"/>
        </w:rPr>
        <w:t xml:space="preserve">Clarke, L., J. Edmonds, V. Krey, R. Richels, S. Rose, M. Tavoni, 2009, International Climate Policy Architectures: Overview of the EMF 22 International Scenarios, </w:t>
      </w:r>
      <w:r w:rsidRPr="006D1729">
        <w:rPr>
          <w:rFonts w:cstheme="minorHAnsi"/>
          <w:i/>
        </w:rPr>
        <w:t>Energy Economics</w:t>
      </w:r>
      <w:r w:rsidRPr="001B666D">
        <w:rPr>
          <w:rFonts w:cstheme="minorHAnsi"/>
        </w:rPr>
        <w:t xml:space="preserve">, </w:t>
      </w:r>
      <w:proofErr w:type="gramStart"/>
      <w:r w:rsidRPr="001B666D">
        <w:rPr>
          <w:rFonts w:cstheme="minorHAnsi"/>
        </w:rPr>
        <w:t>31</w:t>
      </w:r>
      <w:proofErr w:type="gramEnd"/>
      <w:r w:rsidRPr="001B666D">
        <w:rPr>
          <w:rFonts w:cstheme="minorHAnsi"/>
        </w:rPr>
        <w:t xml:space="preserve"> S64–S81.</w:t>
      </w:r>
    </w:p>
    <w:p w:rsidR="009F5AA8" w:rsidRDefault="009F5AA8" w:rsidP="00C93667">
      <w:pPr>
        <w:spacing w:after="120"/>
        <w:ind w:left="187" w:hanging="187"/>
      </w:pPr>
      <w:r>
        <w:t xml:space="preserve">Clarke, L., V. Krey, J. Weyant. 2012. </w:t>
      </w:r>
      <w:r w:rsidRPr="009E2B26">
        <w:t>How much should we expect global models to provide regionally-sp</w:t>
      </w:r>
      <w:r>
        <w:t>ecific energy system insights? R</w:t>
      </w:r>
      <w:r w:rsidRPr="009E2B26">
        <w:t>esults from the As</w:t>
      </w:r>
      <w:r>
        <w:t xml:space="preserve">ian Modeling Exercise scenarios, </w:t>
      </w:r>
      <w:r w:rsidRPr="009E2B26">
        <w:rPr>
          <w:i/>
        </w:rPr>
        <w:t xml:space="preserve">Energy </w:t>
      </w:r>
      <w:proofErr w:type="spellStart"/>
      <w:r w:rsidRPr="009E2B26">
        <w:rPr>
          <w:i/>
        </w:rPr>
        <w:t>Economics</w:t>
      </w:r>
      <w:r>
        <w:t>.doi:http</w:t>
      </w:r>
      <w:proofErr w:type="spellEnd"/>
      <w:r>
        <w:t>://dx.doi.org/10.1016/j.eneco.2012.07.018</w:t>
      </w:r>
    </w:p>
    <w:p w:rsidR="009368E8" w:rsidRDefault="009368E8" w:rsidP="00C93667">
      <w:pPr>
        <w:spacing w:after="120"/>
        <w:ind w:left="187" w:hanging="187"/>
      </w:pPr>
      <w:r w:rsidRPr="00401DCD">
        <w:t xml:space="preserve">Clarke, L., J. Edmonds, H. Jacoby, H. Pitcher, J. Reilly, R. Richels, 2007. </w:t>
      </w:r>
      <w:r w:rsidRPr="00401DCD">
        <w:rPr>
          <w:i/>
        </w:rPr>
        <w:t xml:space="preserve">Scenarios of Greenhouse Gas Emissions and Atmospheric </w:t>
      </w:r>
      <w:proofErr w:type="spellStart"/>
      <w:r w:rsidRPr="00401DCD">
        <w:rPr>
          <w:i/>
        </w:rPr>
        <w:t>Concentrations</w:t>
      </w:r>
      <w:r w:rsidRPr="00401DCD">
        <w:t>.Sub</w:t>
      </w:r>
      <w:proofErr w:type="spellEnd"/>
      <w:r w:rsidRPr="00401DCD">
        <w:t xml:space="preserve">-report 2.1A of Synthesis and Assessment Product 2.1 by the U.S. Climate Change Science Program and the Subcommittee on Global Change </w:t>
      </w:r>
      <w:proofErr w:type="spellStart"/>
      <w:r w:rsidRPr="00401DCD">
        <w:t>Research.Department</w:t>
      </w:r>
      <w:proofErr w:type="spellEnd"/>
      <w:r w:rsidRPr="00401DCD">
        <w:t xml:space="preserve"> of Energy, Office of Biological &amp; Environmental Research, Washington, DC., USA, 154 pp.</w:t>
      </w:r>
    </w:p>
    <w:p w:rsidR="00101A3F" w:rsidRDefault="00101A3F" w:rsidP="00C93667">
      <w:pPr>
        <w:spacing w:after="120"/>
        <w:ind w:left="187" w:hanging="187"/>
      </w:pPr>
      <w:proofErr w:type="gramStart"/>
      <w:r w:rsidRPr="00101A3F">
        <w:t>Edmonds J, T Wilson, M Wise, and J Weyant.</w:t>
      </w:r>
      <w:proofErr w:type="gramEnd"/>
      <w:r w:rsidRPr="00101A3F">
        <w:t xml:space="preserve"> 2006. "Electrification of the Economy and CO</w:t>
      </w:r>
      <w:r w:rsidR="0018725F" w:rsidRPr="00C93667">
        <w:rPr>
          <w:vertAlign w:val="subscript"/>
        </w:rPr>
        <w:t>2</w:t>
      </w:r>
      <w:r w:rsidRPr="00101A3F">
        <w:t xml:space="preserve"> Emissions Mitigation." </w:t>
      </w:r>
      <w:r w:rsidR="0018725F" w:rsidRPr="00C93667">
        <w:rPr>
          <w:i/>
        </w:rPr>
        <w:t>Environmental Economics and Policy Studies</w:t>
      </w:r>
      <w:r w:rsidRPr="00101A3F">
        <w:t xml:space="preserve"> 7(3):175-203.  </w:t>
      </w:r>
    </w:p>
    <w:p w:rsidR="00FF6445" w:rsidRDefault="00FF6445" w:rsidP="00C93667">
      <w:pPr>
        <w:spacing w:after="120"/>
        <w:ind w:left="187" w:hanging="187"/>
      </w:pPr>
      <w:r>
        <w:t>Fawcett, A., L. Clarke, S. Rausch</w:t>
      </w:r>
      <w:r>
        <w:rPr>
          <w:vertAlign w:val="superscript"/>
        </w:rPr>
        <w:t>,</w:t>
      </w:r>
      <w:r>
        <w:t xml:space="preserve"> J. Weyant</w:t>
      </w:r>
      <w:r>
        <w:rPr>
          <w:vertAlign w:val="superscript"/>
        </w:rPr>
        <w:t xml:space="preserve">, </w:t>
      </w:r>
      <w:r>
        <w:rPr>
          <w:rFonts w:cstheme="minorHAnsi"/>
        </w:rPr>
        <w:t xml:space="preserve">2013, Overview off the EMF 24 Policy Scenarios, </w:t>
      </w:r>
      <w:r w:rsidRPr="00FF6445">
        <w:rPr>
          <w:rFonts w:cstheme="minorHAnsi"/>
          <w:i/>
        </w:rPr>
        <w:t>Energy Journal</w:t>
      </w:r>
      <w:r>
        <w:t>, this volume</w:t>
      </w:r>
    </w:p>
    <w:p w:rsidR="0047332F" w:rsidRPr="00FF6445" w:rsidRDefault="0047332F" w:rsidP="00C93667">
      <w:pPr>
        <w:spacing w:after="120"/>
        <w:ind w:left="187" w:hanging="187"/>
      </w:pPr>
      <w:proofErr w:type="spellStart"/>
      <w:r>
        <w:lastRenderedPageBreak/>
        <w:t>Jaccard</w:t>
      </w:r>
      <w:proofErr w:type="spellEnd"/>
      <w:r>
        <w:t xml:space="preserve">, M. and S. Goldberg, 2013, Technology assumptions and climate policy: the interrelated effects of U.S. electricity-transport policy in EMF24 using CIMS-US. </w:t>
      </w:r>
      <w:r w:rsidRPr="002C0CE7">
        <w:rPr>
          <w:rFonts w:cstheme="minorHAnsi"/>
          <w:i/>
        </w:rPr>
        <w:t>Energy Journal</w:t>
      </w:r>
      <w:r>
        <w:rPr>
          <w:rFonts w:cstheme="minorHAnsi"/>
        </w:rPr>
        <w:t>, this volume.</w:t>
      </w:r>
    </w:p>
    <w:p w:rsidR="0070324D" w:rsidRDefault="0070324D" w:rsidP="00C93667">
      <w:pPr>
        <w:spacing w:after="120"/>
        <w:ind w:left="187" w:hanging="187"/>
        <w:rPr>
          <w:bCs/>
        </w:rPr>
      </w:pPr>
      <w:r>
        <w:t>Krey</w:t>
      </w:r>
      <w:r w:rsidR="009F5AA8">
        <w:t>,</w:t>
      </w:r>
      <w:r>
        <w:t xml:space="preserve"> V., L. Clarke, 2011, </w:t>
      </w:r>
      <w:r w:rsidRPr="00B822E2">
        <w:t>Role of renewable energy in climate mitigation: a synthesis of recent scenarios</w:t>
      </w:r>
      <w:r>
        <w:t xml:space="preserve">, </w:t>
      </w:r>
      <w:r w:rsidRPr="00B822E2">
        <w:rPr>
          <w:i/>
        </w:rPr>
        <w:t>Climate Policy</w:t>
      </w:r>
      <w:r>
        <w:t xml:space="preserve">, Volume 11, Issue 4, pp. </w:t>
      </w:r>
      <w:r w:rsidRPr="00B822E2">
        <w:t>1131-1158</w:t>
      </w:r>
      <w:r>
        <w:rPr>
          <w:bCs/>
        </w:rPr>
        <w:t>.</w:t>
      </w:r>
    </w:p>
    <w:p w:rsidR="009F5AA8" w:rsidRDefault="009F5AA8" w:rsidP="00C93667">
      <w:pPr>
        <w:spacing w:after="120"/>
        <w:ind w:left="187" w:hanging="187"/>
        <w:rPr>
          <w:bCs/>
        </w:rPr>
      </w:pPr>
      <w:r>
        <w:rPr>
          <w:bCs/>
        </w:rPr>
        <w:t>Krey, V., G. Luderer, L. Clarke, 2013, Getting from here to there</w:t>
      </w:r>
      <w:r>
        <w:t xml:space="preserve">- </w:t>
      </w:r>
      <w:r w:rsidRPr="009F5AA8">
        <w:rPr>
          <w:bCs/>
        </w:rPr>
        <w:t>energy technology transformation pathways in the EMF-27 scenarios</w:t>
      </w:r>
      <w:r>
        <w:rPr>
          <w:bCs/>
        </w:rPr>
        <w:t xml:space="preserve">, </w:t>
      </w:r>
      <w:r w:rsidRPr="009F5AA8">
        <w:rPr>
          <w:bCs/>
          <w:i/>
        </w:rPr>
        <w:t>Climatic Change</w:t>
      </w:r>
      <w:r>
        <w:rPr>
          <w:bCs/>
        </w:rPr>
        <w:t xml:space="preserve">, In Review </w:t>
      </w:r>
    </w:p>
    <w:p w:rsidR="00C243F0" w:rsidRDefault="00C243F0" w:rsidP="00C93667">
      <w:pPr>
        <w:spacing w:after="120"/>
        <w:ind w:left="187" w:hanging="187"/>
        <w:rPr>
          <w:rFonts w:cstheme="minorHAnsi"/>
        </w:rPr>
      </w:pPr>
      <w:r w:rsidRPr="00401DCD">
        <w:t xml:space="preserve">Kyle, P., L. Clarke, G. Pugh, M. Wise, K. Calvin, J Edmonds, S. Kim, 2009, The value of advanced technology in meeting 2050 greenhouse gas emissions targets in the United States, </w:t>
      </w:r>
      <w:r w:rsidRPr="00401DCD">
        <w:rPr>
          <w:i/>
        </w:rPr>
        <w:t>Energy Economics</w:t>
      </w:r>
      <w:r w:rsidRPr="00401DCD">
        <w:t>, 31, S187–S197.</w:t>
      </w:r>
    </w:p>
    <w:p w:rsidR="00C243F0" w:rsidRDefault="00C243F0" w:rsidP="00C93667">
      <w:pPr>
        <w:spacing w:after="120"/>
        <w:ind w:left="187" w:hanging="187"/>
        <w:rPr>
          <w:color w:val="000000"/>
        </w:rPr>
      </w:pPr>
      <w:r w:rsidRPr="004C2333">
        <w:t xml:space="preserve">Kyle G, L. Clarke, S. Smith, S. Kim, M. Nathan, M. Wise, 2011, </w:t>
      </w:r>
      <w:proofErr w:type="gramStart"/>
      <w:r w:rsidRPr="004C2333">
        <w:t>The</w:t>
      </w:r>
      <w:proofErr w:type="gramEnd"/>
      <w:r w:rsidRPr="004C2333">
        <w:t xml:space="preserve"> value of advanced end-use energy technologies in meeting U.S. climate policy goals, </w:t>
      </w:r>
      <w:r w:rsidRPr="004C2333">
        <w:rPr>
          <w:i/>
        </w:rPr>
        <w:t>The Energy Journal</w:t>
      </w:r>
      <w:r w:rsidRPr="004C2333">
        <w:rPr>
          <w:rStyle w:val="journalvolume"/>
          <w:color w:val="000000"/>
        </w:rPr>
        <w:t xml:space="preserve">32 </w:t>
      </w:r>
      <w:r w:rsidRPr="004C2333">
        <w:rPr>
          <w:color w:val="000000"/>
        </w:rPr>
        <w:t>(Special Issue): Article No. 5.</w:t>
      </w:r>
      <w:r>
        <w:rPr>
          <w:color w:val="000000"/>
        </w:rPr>
        <w:t> </w:t>
      </w:r>
    </w:p>
    <w:p w:rsidR="001B666D" w:rsidRDefault="001B666D" w:rsidP="00C93667">
      <w:pPr>
        <w:spacing w:after="120"/>
        <w:ind w:left="187" w:hanging="187"/>
        <w:rPr>
          <w:rFonts w:cstheme="minorHAnsi"/>
        </w:rPr>
      </w:pPr>
      <w:proofErr w:type="spellStart"/>
      <w:proofErr w:type="gramStart"/>
      <w:r>
        <w:rPr>
          <w:rFonts w:cstheme="minorHAnsi"/>
        </w:rPr>
        <w:t>Paltsev</w:t>
      </w:r>
      <w:proofErr w:type="spellEnd"/>
      <w:r>
        <w:rPr>
          <w:rFonts w:cstheme="minorHAnsi"/>
        </w:rPr>
        <w:t xml:space="preserve">, S., J. Reilly, H. Jacoby, A. </w:t>
      </w:r>
      <w:proofErr w:type="spellStart"/>
      <w:r>
        <w:rPr>
          <w:rFonts w:cstheme="minorHAnsi"/>
        </w:rPr>
        <w:t>Gurgel</w:t>
      </w:r>
      <w:proofErr w:type="spellEnd"/>
      <w:r>
        <w:rPr>
          <w:rFonts w:cstheme="minorHAnsi"/>
        </w:rPr>
        <w:t xml:space="preserve">, G. Metcalf, A Sokolov, J. </w:t>
      </w:r>
      <w:proofErr w:type="spellStart"/>
      <w:r>
        <w:rPr>
          <w:rFonts w:cstheme="minorHAnsi"/>
        </w:rPr>
        <w:t>Holak</w:t>
      </w:r>
      <w:proofErr w:type="spellEnd"/>
      <w:r>
        <w:rPr>
          <w:rFonts w:cstheme="minorHAnsi"/>
        </w:rPr>
        <w:t>.</w:t>
      </w:r>
      <w:proofErr w:type="gramEnd"/>
      <w:r>
        <w:rPr>
          <w:rFonts w:cstheme="minorHAnsi"/>
        </w:rPr>
        <w:t xml:space="preserve"> 2008. Assessment of U.S. GHG cap-and-trade proposals. </w:t>
      </w:r>
      <w:r w:rsidRPr="006D1729">
        <w:rPr>
          <w:rFonts w:cstheme="minorHAnsi"/>
          <w:i/>
        </w:rPr>
        <w:t>Climate Policy</w:t>
      </w:r>
      <w:r>
        <w:rPr>
          <w:rFonts w:cstheme="minorHAnsi"/>
        </w:rPr>
        <w:t xml:space="preserve"> 8 (4) 395-420.</w:t>
      </w:r>
    </w:p>
    <w:p w:rsidR="006A5A46" w:rsidRDefault="006A5A46" w:rsidP="00C93667">
      <w:pPr>
        <w:spacing w:after="120"/>
        <w:ind w:left="187" w:hanging="187"/>
        <w:rPr>
          <w:rFonts w:cstheme="minorHAnsi"/>
        </w:rPr>
      </w:pPr>
      <w:r w:rsidRPr="006A5A46">
        <w:rPr>
          <w:rFonts w:cstheme="minorHAnsi"/>
        </w:rPr>
        <w:t>Rausch</w:t>
      </w:r>
      <w:r>
        <w:rPr>
          <w:rFonts w:cstheme="minorHAnsi"/>
        </w:rPr>
        <w:t xml:space="preserve">, S. and V. </w:t>
      </w:r>
      <w:proofErr w:type="spellStart"/>
      <w:r>
        <w:rPr>
          <w:rFonts w:cstheme="minorHAnsi"/>
        </w:rPr>
        <w:t>Karplus</w:t>
      </w:r>
      <w:proofErr w:type="spellEnd"/>
      <w:r>
        <w:rPr>
          <w:rFonts w:cstheme="minorHAnsi"/>
        </w:rPr>
        <w:t>, 2013, Market versus regulation: the e</w:t>
      </w:r>
      <w:r w:rsidRPr="006A5A46">
        <w:rPr>
          <w:rFonts w:cstheme="minorHAnsi"/>
        </w:rPr>
        <w:t>fficiency</w:t>
      </w:r>
      <w:r>
        <w:rPr>
          <w:rFonts w:cstheme="minorHAnsi"/>
        </w:rPr>
        <w:t xml:space="preserve"> and distributional impacts of US climate policy proposals. </w:t>
      </w:r>
      <w:r w:rsidRPr="002C0CE7">
        <w:rPr>
          <w:rFonts w:cstheme="minorHAnsi"/>
          <w:i/>
        </w:rPr>
        <w:t>Energy Journal</w:t>
      </w:r>
      <w:r>
        <w:rPr>
          <w:rFonts w:cstheme="minorHAnsi"/>
        </w:rPr>
        <w:t>, this volume</w:t>
      </w:r>
      <w:r w:rsidR="00CA6910">
        <w:rPr>
          <w:rFonts w:cstheme="minorHAnsi"/>
        </w:rPr>
        <w:t>.</w:t>
      </w:r>
    </w:p>
    <w:p w:rsidR="00382503" w:rsidRDefault="00382503" w:rsidP="00C93667">
      <w:pPr>
        <w:spacing w:after="120"/>
        <w:ind w:left="187" w:hanging="187"/>
        <w:rPr>
          <w:rFonts w:cstheme="minorHAnsi"/>
        </w:rPr>
      </w:pPr>
      <w:r w:rsidRPr="00382503">
        <w:rPr>
          <w:rFonts w:cstheme="minorHAnsi"/>
        </w:rPr>
        <w:t>Ross</w:t>
      </w:r>
      <w:r>
        <w:rPr>
          <w:rFonts w:cstheme="minorHAnsi"/>
        </w:rPr>
        <w:t xml:space="preserve">, M., P. </w:t>
      </w:r>
      <w:r w:rsidRPr="00382503">
        <w:rPr>
          <w:rFonts w:cstheme="minorHAnsi"/>
        </w:rPr>
        <w:t>Sullivan</w:t>
      </w:r>
      <w:r>
        <w:rPr>
          <w:rFonts w:cstheme="minorHAnsi"/>
        </w:rPr>
        <w:t xml:space="preserve">, A. </w:t>
      </w:r>
      <w:r w:rsidRPr="00382503">
        <w:rPr>
          <w:rFonts w:cstheme="minorHAnsi"/>
        </w:rPr>
        <w:t>Fawcett</w:t>
      </w:r>
      <w:r>
        <w:rPr>
          <w:rFonts w:cstheme="minorHAnsi"/>
        </w:rPr>
        <w:t xml:space="preserve">, B. </w:t>
      </w:r>
      <w:proofErr w:type="spellStart"/>
      <w:r w:rsidRPr="00382503">
        <w:rPr>
          <w:rFonts w:cstheme="minorHAnsi"/>
        </w:rPr>
        <w:t>Depro</w:t>
      </w:r>
      <w:proofErr w:type="spellEnd"/>
      <w:r>
        <w:rPr>
          <w:rFonts w:cstheme="minorHAnsi"/>
        </w:rPr>
        <w:t xml:space="preserve">, 2013, </w:t>
      </w:r>
      <w:proofErr w:type="gramStart"/>
      <w:r w:rsidRPr="00382503">
        <w:rPr>
          <w:rFonts w:cstheme="minorHAnsi"/>
        </w:rPr>
        <w:t>Investigating</w:t>
      </w:r>
      <w:proofErr w:type="gramEnd"/>
      <w:r w:rsidRPr="00382503">
        <w:rPr>
          <w:rFonts w:cstheme="minorHAnsi"/>
        </w:rPr>
        <w:t xml:space="preserve"> technology options for climate</w:t>
      </w:r>
      <w:r w:rsidR="003445A8">
        <w:rPr>
          <w:rFonts w:cstheme="minorHAnsi"/>
        </w:rPr>
        <w:t xml:space="preserve"> </w:t>
      </w:r>
      <w:r w:rsidRPr="00382503">
        <w:rPr>
          <w:rFonts w:cstheme="minorHAnsi"/>
        </w:rPr>
        <w:t>policies: differentiated roles in ADAGE</w:t>
      </w:r>
      <w:r w:rsidR="006A5A46">
        <w:rPr>
          <w:rFonts w:cstheme="minorHAnsi"/>
        </w:rPr>
        <w:t xml:space="preserve">. </w:t>
      </w:r>
      <w:r w:rsidR="006A5A46" w:rsidRPr="002C0CE7">
        <w:rPr>
          <w:rFonts w:cstheme="minorHAnsi"/>
          <w:i/>
        </w:rPr>
        <w:t>Energy Journal</w:t>
      </w:r>
      <w:r w:rsidR="006A5A46">
        <w:rPr>
          <w:rFonts w:cstheme="minorHAnsi"/>
        </w:rPr>
        <w:t>, this volume</w:t>
      </w:r>
      <w:r w:rsidR="00CA6910">
        <w:rPr>
          <w:rFonts w:cstheme="minorHAnsi"/>
        </w:rPr>
        <w:t>.</w:t>
      </w:r>
    </w:p>
    <w:p w:rsidR="006A5A46" w:rsidRDefault="006A5A46" w:rsidP="00C93667">
      <w:pPr>
        <w:spacing w:after="120"/>
        <w:ind w:left="187" w:hanging="187"/>
        <w:rPr>
          <w:rFonts w:cstheme="minorHAnsi"/>
        </w:rPr>
      </w:pPr>
      <w:r w:rsidRPr="006A5A46">
        <w:rPr>
          <w:rFonts w:cstheme="minorHAnsi"/>
        </w:rPr>
        <w:t>Sands</w:t>
      </w:r>
      <w:r>
        <w:rPr>
          <w:rFonts w:cstheme="minorHAnsi"/>
        </w:rPr>
        <w:t xml:space="preserve">, R., K. </w:t>
      </w:r>
      <w:r w:rsidRPr="006A5A46">
        <w:rPr>
          <w:rFonts w:cstheme="minorHAnsi"/>
        </w:rPr>
        <w:t>Schumacher</w:t>
      </w:r>
      <w:r>
        <w:rPr>
          <w:rFonts w:cstheme="minorHAnsi"/>
        </w:rPr>
        <w:t xml:space="preserve">, H. </w:t>
      </w:r>
      <w:r w:rsidRPr="006A5A46">
        <w:rPr>
          <w:rFonts w:cstheme="minorHAnsi"/>
        </w:rPr>
        <w:t>Foster</w:t>
      </w:r>
      <w:r>
        <w:rPr>
          <w:rFonts w:cstheme="minorHAnsi"/>
        </w:rPr>
        <w:t xml:space="preserve">, J. Beckman, 2013, </w:t>
      </w:r>
      <w:r w:rsidRPr="006A5A46">
        <w:rPr>
          <w:rFonts w:cstheme="minorHAnsi"/>
        </w:rPr>
        <w:t>U.S. CO</w:t>
      </w:r>
      <w:r w:rsidR="0018725F" w:rsidRPr="00C93667">
        <w:rPr>
          <w:rFonts w:cstheme="minorHAnsi"/>
          <w:vertAlign w:val="subscript"/>
        </w:rPr>
        <w:t>2</w:t>
      </w:r>
      <w:r>
        <w:rPr>
          <w:rFonts w:cstheme="minorHAnsi"/>
        </w:rPr>
        <w:t xml:space="preserve">mitigation scenarios in a global context: welfare, trade, and land use, </w:t>
      </w:r>
      <w:r w:rsidRPr="002C0CE7">
        <w:rPr>
          <w:rFonts w:cstheme="minorHAnsi"/>
          <w:i/>
        </w:rPr>
        <w:t>Energy Journal</w:t>
      </w:r>
      <w:r>
        <w:rPr>
          <w:rFonts w:cstheme="minorHAnsi"/>
        </w:rPr>
        <w:t>, this volume</w:t>
      </w:r>
      <w:r w:rsidR="00CA6910">
        <w:rPr>
          <w:rFonts w:cstheme="minorHAnsi"/>
        </w:rPr>
        <w:t>.</w:t>
      </w:r>
    </w:p>
    <w:p w:rsidR="00BB71CE" w:rsidRDefault="00BB71CE" w:rsidP="00C93667">
      <w:pPr>
        <w:spacing w:after="120"/>
        <w:ind w:left="187" w:hanging="187"/>
        <w:rPr>
          <w:rFonts w:cstheme="minorHAnsi"/>
        </w:rPr>
      </w:pPr>
      <w:proofErr w:type="gramStart"/>
      <w:r w:rsidRPr="00BB71CE">
        <w:rPr>
          <w:rFonts w:cstheme="minorHAnsi"/>
        </w:rPr>
        <w:t>Sullivan</w:t>
      </w:r>
      <w:r>
        <w:rPr>
          <w:rFonts w:cstheme="minorHAnsi"/>
        </w:rPr>
        <w:t xml:space="preserve">, P., </w:t>
      </w:r>
      <w:proofErr w:type="spellStart"/>
      <w:r w:rsidRPr="00BB71CE">
        <w:rPr>
          <w:rFonts w:cstheme="minorHAnsi"/>
        </w:rPr>
        <w:t>C</w:t>
      </w:r>
      <w:r w:rsidR="00382503">
        <w:rPr>
          <w:rFonts w:cstheme="minorHAnsi"/>
        </w:rPr>
        <w:t>.</w:t>
      </w:r>
      <w:r w:rsidRPr="00BB71CE">
        <w:rPr>
          <w:rFonts w:cstheme="minorHAnsi"/>
        </w:rPr>
        <w:t>Uriarte</w:t>
      </w:r>
      <w:proofErr w:type="spellEnd"/>
      <w:r w:rsidR="00382503">
        <w:rPr>
          <w:rFonts w:cstheme="minorHAnsi"/>
        </w:rPr>
        <w:t xml:space="preserve">, W. Short, 2013, </w:t>
      </w:r>
      <w:r w:rsidR="00382503" w:rsidRPr="00382503">
        <w:rPr>
          <w:rFonts w:cstheme="minorHAnsi"/>
        </w:rPr>
        <w:t xml:space="preserve">Greenhouse gas mitigation options in the U.S. electric sector; a </w:t>
      </w:r>
      <w:proofErr w:type="spellStart"/>
      <w:r w:rsidR="00382503" w:rsidRPr="00382503">
        <w:rPr>
          <w:rFonts w:cstheme="minorHAnsi"/>
        </w:rPr>
        <w:t>ReEDS</w:t>
      </w:r>
      <w:proofErr w:type="spellEnd"/>
      <w:r w:rsidR="00382503" w:rsidRPr="00382503">
        <w:rPr>
          <w:rFonts w:cstheme="minorHAnsi"/>
        </w:rPr>
        <w:t xml:space="preserve"> </w:t>
      </w:r>
      <w:proofErr w:type="spellStart"/>
      <w:r w:rsidR="00382503" w:rsidRPr="00382503">
        <w:rPr>
          <w:rFonts w:cstheme="minorHAnsi"/>
        </w:rPr>
        <w:t>analysis</w:t>
      </w:r>
      <w:r w:rsidR="006776C9">
        <w:rPr>
          <w:rFonts w:cstheme="minorHAnsi"/>
        </w:rPr>
        <w:t>.</w:t>
      </w:r>
      <w:r w:rsidR="0018725F" w:rsidRPr="00C93667">
        <w:rPr>
          <w:rFonts w:cstheme="minorHAnsi"/>
          <w:i/>
        </w:rPr>
        <w:t>Energy</w:t>
      </w:r>
      <w:proofErr w:type="spellEnd"/>
      <w:r w:rsidR="0018725F" w:rsidRPr="00C93667">
        <w:rPr>
          <w:rFonts w:cstheme="minorHAnsi"/>
          <w:i/>
        </w:rPr>
        <w:t xml:space="preserve"> Journal</w:t>
      </w:r>
      <w:r w:rsidR="00382503">
        <w:rPr>
          <w:rFonts w:cstheme="minorHAnsi"/>
        </w:rPr>
        <w:t>, this volume</w:t>
      </w:r>
      <w:r w:rsidR="00CA6910">
        <w:rPr>
          <w:rFonts w:cstheme="minorHAnsi"/>
        </w:rPr>
        <w:t>.</w:t>
      </w:r>
      <w:proofErr w:type="gramEnd"/>
    </w:p>
    <w:p w:rsidR="006776C9" w:rsidRPr="00BB71CE" w:rsidRDefault="006776C9" w:rsidP="00C93667">
      <w:pPr>
        <w:spacing w:after="120"/>
        <w:ind w:left="187" w:hanging="187"/>
        <w:rPr>
          <w:rFonts w:cstheme="minorHAnsi"/>
        </w:rPr>
      </w:pPr>
      <w:r w:rsidRPr="006776C9">
        <w:rPr>
          <w:rFonts w:cstheme="minorHAnsi"/>
        </w:rPr>
        <w:t>Tuladhar</w:t>
      </w:r>
      <w:r>
        <w:rPr>
          <w:rFonts w:cstheme="minorHAnsi"/>
        </w:rPr>
        <w:t xml:space="preserve">, S., S. </w:t>
      </w:r>
      <w:proofErr w:type="spellStart"/>
      <w:r w:rsidRPr="006776C9">
        <w:rPr>
          <w:rFonts w:cstheme="minorHAnsi"/>
        </w:rPr>
        <w:t>Mankowski</w:t>
      </w:r>
      <w:proofErr w:type="spellEnd"/>
      <w:r>
        <w:rPr>
          <w:rFonts w:cstheme="minorHAnsi"/>
        </w:rPr>
        <w:t>, P. Bernstein, 2013, Interaction effects of market-based p</w:t>
      </w:r>
      <w:r w:rsidRPr="006776C9">
        <w:rPr>
          <w:rFonts w:cstheme="minorHAnsi"/>
        </w:rPr>
        <w:t>olicies</w:t>
      </w:r>
      <w:r>
        <w:rPr>
          <w:rFonts w:cstheme="minorHAnsi"/>
        </w:rPr>
        <w:t xml:space="preserve"> and command-and-control polices. </w:t>
      </w:r>
      <w:r w:rsidRPr="002C0CE7">
        <w:rPr>
          <w:rFonts w:cstheme="minorHAnsi"/>
          <w:i/>
        </w:rPr>
        <w:t>Energy Journal</w:t>
      </w:r>
      <w:r>
        <w:rPr>
          <w:rFonts w:cstheme="minorHAnsi"/>
        </w:rPr>
        <w:t>, this volume.</w:t>
      </w:r>
    </w:p>
    <w:p w:rsidR="00E07989" w:rsidRDefault="00897FD7" w:rsidP="00C93667">
      <w:pPr>
        <w:spacing w:after="120"/>
        <w:ind w:left="187" w:hanging="187"/>
        <w:rPr>
          <w:rFonts w:cstheme="minorHAnsi"/>
        </w:rPr>
      </w:pPr>
      <w:proofErr w:type="gramStart"/>
      <w:r>
        <w:rPr>
          <w:rFonts w:cstheme="minorHAnsi"/>
        </w:rPr>
        <w:t>US Census Bureau, 2008 National Population Projections.</w:t>
      </w:r>
      <w:proofErr w:type="gramEnd"/>
    </w:p>
    <w:p w:rsidR="00194C16" w:rsidRDefault="00897FD7" w:rsidP="00C93667">
      <w:pPr>
        <w:spacing w:after="120"/>
        <w:ind w:left="187" w:hanging="187"/>
        <w:rPr>
          <w:rFonts w:cstheme="minorHAnsi"/>
        </w:rPr>
      </w:pPr>
      <w:r>
        <w:rPr>
          <w:rFonts w:cstheme="minorHAnsi"/>
        </w:rPr>
        <w:t xml:space="preserve">UN Department of Economic and Social Affairs, Population Division, World Population Prospects: The 2010 Revision. New York. </w:t>
      </w:r>
    </w:p>
    <w:p w:rsidR="00321B31" w:rsidRDefault="00321B31" w:rsidP="00C93667">
      <w:pPr>
        <w:spacing w:after="120"/>
        <w:ind w:left="187" w:hanging="187"/>
        <w:rPr>
          <w:rFonts w:cstheme="minorHAnsi"/>
        </w:rPr>
      </w:pPr>
      <w:proofErr w:type="gramStart"/>
      <w:r>
        <w:rPr>
          <w:rFonts w:cstheme="minorHAnsi"/>
        </w:rPr>
        <w:t xml:space="preserve">Wise, M., H. </w:t>
      </w:r>
      <w:r w:rsidRPr="00321B31">
        <w:rPr>
          <w:rFonts w:cstheme="minorHAnsi"/>
        </w:rPr>
        <w:t>McJeon</w:t>
      </w:r>
      <w:r>
        <w:rPr>
          <w:rFonts w:cstheme="minorHAnsi"/>
        </w:rPr>
        <w:t xml:space="preserve">, K. Calvin, L. Clarke, P. Kyle, 2013, </w:t>
      </w:r>
      <w:r w:rsidRPr="00321B31">
        <w:rPr>
          <w:rFonts w:cstheme="minorHAnsi"/>
        </w:rPr>
        <w:t xml:space="preserve">Assessing the interactions </w:t>
      </w:r>
      <w:proofErr w:type="spellStart"/>
      <w:r w:rsidRPr="00321B31">
        <w:rPr>
          <w:rFonts w:cstheme="minorHAnsi"/>
        </w:rPr>
        <w:t>amongU.S</w:t>
      </w:r>
      <w:proofErr w:type="spellEnd"/>
      <w:r w:rsidRPr="00321B31">
        <w:rPr>
          <w:rFonts w:cstheme="minorHAnsi"/>
        </w:rPr>
        <w:t>.</w:t>
      </w:r>
      <w:proofErr w:type="gramEnd"/>
      <w:r w:rsidRPr="00321B31">
        <w:rPr>
          <w:rFonts w:cstheme="minorHAnsi"/>
        </w:rPr>
        <w:t xml:space="preserve"> </w:t>
      </w:r>
      <w:proofErr w:type="gramStart"/>
      <w:r w:rsidRPr="00321B31">
        <w:rPr>
          <w:rFonts w:cstheme="minorHAnsi"/>
        </w:rPr>
        <w:t>climate</w:t>
      </w:r>
      <w:proofErr w:type="gramEnd"/>
      <w:r w:rsidRPr="00321B31">
        <w:rPr>
          <w:rFonts w:cstheme="minorHAnsi"/>
        </w:rPr>
        <w:t xml:space="preserve"> policy, biomass </w:t>
      </w:r>
      <w:proofErr w:type="spellStart"/>
      <w:r w:rsidRPr="00321B31">
        <w:rPr>
          <w:rFonts w:cstheme="minorHAnsi"/>
        </w:rPr>
        <w:t>energy</w:t>
      </w:r>
      <w:r>
        <w:rPr>
          <w:rFonts w:cstheme="minorHAnsi"/>
        </w:rPr>
        <w:t>and</w:t>
      </w:r>
      <w:proofErr w:type="spellEnd"/>
      <w:r>
        <w:rPr>
          <w:rFonts w:cstheme="minorHAnsi"/>
        </w:rPr>
        <w:t xml:space="preserve"> agricultural </w:t>
      </w:r>
      <w:proofErr w:type="spellStart"/>
      <w:r>
        <w:rPr>
          <w:rFonts w:cstheme="minorHAnsi"/>
        </w:rPr>
        <w:t>trade.</w:t>
      </w:r>
      <w:r w:rsidRPr="002C0CE7">
        <w:rPr>
          <w:rFonts w:cstheme="minorHAnsi"/>
          <w:i/>
        </w:rPr>
        <w:t>Energy</w:t>
      </w:r>
      <w:proofErr w:type="spellEnd"/>
      <w:r w:rsidRPr="002C0CE7">
        <w:rPr>
          <w:rFonts w:cstheme="minorHAnsi"/>
          <w:i/>
        </w:rPr>
        <w:t xml:space="preserve"> Journal</w:t>
      </w:r>
      <w:r>
        <w:rPr>
          <w:rFonts w:cstheme="minorHAnsi"/>
        </w:rPr>
        <w:t>, this volume.</w:t>
      </w:r>
    </w:p>
    <w:p w:rsidR="006E2580" w:rsidRDefault="006E2580" w:rsidP="00C93667">
      <w:pPr>
        <w:spacing w:after="120"/>
        <w:ind w:left="187" w:hanging="187"/>
        <w:rPr>
          <w:rFonts w:cstheme="minorHAnsi"/>
        </w:rPr>
      </w:pPr>
      <w:r w:rsidRPr="006E2580">
        <w:rPr>
          <w:rFonts w:cstheme="minorHAnsi"/>
        </w:rPr>
        <w:t>Zhu</w:t>
      </w:r>
      <w:r>
        <w:rPr>
          <w:rFonts w:cstheme="minorHAnsi"/>
        </w:rPr>
        <w:t>, Y. and M. Ghosh, 2013, Impacts of t</w:t>
      </w:r>
      <w:r w:rsidRPr="006E2580">
        <w:rPr>
          <w:rFonts w:cstheme="minorHAnsi"/>
        </w:rPr>
        <w:t xml:space="preserve">echnology uncertainty on </w:t>
      </w:r>
      <w:r>
        <w:rPr>
          <w:rFonts w:cstheme="minorHAnsi"/>
        </w:rPr>
        <w:t>energy use, emission and a</w:t>
      </w:r>
      <w:r w:rsidRPr="006E2580">
        <w:rPr>
          <w:rFonts w:cstheme="minorHAnsi"/>
        </w:rPr>
        <w:t>b</w:t>
      </w:r>
      <w:r>
        <w:rPr>
          <w:rFonts w:cstheme="minorHAnsi"/>
        </w:rPr>
        <w:t>atement cost in USA: s</w:t>
      </w:r>
      <w:r w:rsidRPr="006E2580">
        <w:rPr>
          <w:rFonts w:cstheme="minorHAnsi"/>
        </w:rPr>
        <w:t>imulation results from Environment Canad</w:t>
      </w:r>
      <w:r>
        <w:rPr>
          <w:rFonts w:cstheme="minorHAnsi"/>
        </w:rPr>
        <w:t xml:space="preserve">a’s Integrated Assessment Model. </w:t>
      </w:r>
      <w:r w:rsidRPr="002C0CE7">
        <w:rPr>
          <w:rFonts w:cstheme="minorHAnsi"/>
          <w:i/>
        </w:rPr>
        <w:t>Energy Journal</w:t>
      </w:r>
      <w:r>
        <w:rPr>
          <w:rFonts w:cstheme="minorHAnsi"/>
        </w:rPr>
        <w:t>, this volume.</w:t>
      </w:r>
    </w:p>
    <w:sectPr w:rsidR="006E2580" w:rsidSect="00D321E3">
      <w:pgSz w:w="12240" w:h="15840"/>
      <w:pgMar w:top="1440" w:right="432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CD7" w:rsidRDefault="00F23CD7" w:rsidP="008D325F">
      <w:pPr>
        <w:spacing w:line="240" w:lineRule="auto"/>
      </w:pPr>
      <w:r>
        <w:separator/>
      </w:r>
    </w:p>
  </w:endnote>
  <w:endnote w:type="continuationSeparator" w:id="0">
    <w:p w:rsidR="00F23CD7" w:rsidRDefault="00F23CD7" w:rsidP="008D3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2596698"/>
      <w:docPartObj>
        <w:docPartGallery w:val="Page Numbers (Bottom of Page)"/>
        <w:docPartUnique/>
      </w:docPartObj>
    </w:sdtPr>
    <w:sdtEndPr>
      <w:rPr>
        <w:noProof/>
      </w:rPr>
    </w:sdtEndPr>
    <w:sdtContent>
      <w:p w:rsidR="00E06BEE" w:rsidRPr="00F34C60" w:rsidRDefault="00E06BEE" w:rsidP="0069305C">
        <w:pPr>
          <w:pStyle w:val="Footer"/>
          <w:tabs>
            <w:tab w:val="clear" w:pos="4680"/>
            <w:tab w:val="center" w:pos="5040"/>
          </w:tabs>
          <w:ind w:firstLine="0"/>
        </w:pPr>
        <w:r w:rsidRPr="00F34C60">
          <w:rPr>
            <w:b/>
          </w:rPr>
          <w:t>DRAFT: RESULTS SUBJECT TO CHANGE</w:t>
        </w:r>
        <w:r w:rsidRPr="00F34C60">
          <w:t xml:space="preserve"> </w:t>
        </w:r>
        <w:r w:rsidRPr="00F34C60">
          <w:tab/>
        </w:r>
        <w:r w:rsidRPr="00F34C60">
          <w:fldChar w:fldCharType="begin"/>
        </w:r>
        <w:r w:rsidRPr="00F34C60">
          <w:instrText xml:space="preserve"> PAGE   \* MERGEFORMAT </w:instrText>
        </w:r>
        <w:r w:rsidRPr="00F34C60">
          <w:fldChar w:fldCharType="separate"/>
        </w:r>
        <w:r w:rsidR="00EE346D">
          <w:rPr>
            <w:noProof/>
          </w:rPr>
          <w:t>2</w:t>
        </w:r>
        <w:r w:rsidRPr="00F34C60">
          <w:rPr>
            <w:noProof/>
          </w:rPr>
          <w:fldChar w:fldCharType="end"/>
        </w:r>
      </w:p>
    </w:sdtContent>
  </w:sdt>
  <w:p w:rsidR="00E06BEE" w:rsidRDefault="00E06B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CD7" w:rsidRDefault="00F23CD7" w:rsidP="008D325F">
      <w:pPr>
        <w:spacing w:line="240" w:lineRule="auto"/>
      </w:pPr>
      <w:r>
        <w:separator/>
      </w:r>
    </w:p>
  </w:footnote>
  <w:footnote w:type="continuationSeparator" w:id="0">
    <w:p w:rsidR="00F23CD7" w:rsidRDefault="00F23CD7" w:rsidP="008D325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748"/>
    <w:multiLevelType w:val="hybridMultilevel"/>
    <w:tmpl w:val="0A666A98"/>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692013"/>
    <w:multiLevelType w:val="multilevel"/>
    <w:tmpl w:val="F8069EE0"/>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1008"/>
        </w:tabs>
        <w:ind w:left="1296" w:hanging="936"/>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7DD24F5"/>
    <w:multiLevelType w:val="hybridMultilevel"/>
    <w:tmpl w:val="68469B3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B066FCE"/>
    <w:multiLevelType w:val="hybridMultilevel"/>
    <w:tmpl w:val="11F08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29026C"/>
    <w:multiLevelType w:val="hybridMultilevel"/>
    <w:tmpl w:val="0A3856AE"/>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24D60A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DE501A"/>
    <w:multiLevelType w:val="hybridMultilevel"/>
    <w:tmpl w:val="A4280250"/>
    <w:lvl w:ilvl="0" w:tplc="FA6228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5C6354"/>
    <w:multiLevelType w:val="hybridMultilevel"/>
    <w:tmpl w:val="D2D6EC7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BB1B52"/>
    <w:multiLevelType w:val="hybridMultilevel"/>
    <w:tmpl w:val="434084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0"/>
  </w:num>
  <w:num w:numId="5">
    <w:abstractNumId w:val="7"/>
  </w:num>
  <w:num w:numId="6">
    <w:abstractNumId w:val="4"/>
  </w:num>
  <w:num w:numId="7">
    <w:abstractNumId w:val="8"/>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oNotDisplayPageBoundaries/>
  <w:proofState w:spelling="clean" w:grammar="clean"/>
  <w:defaultTabStop w:val="720"/>
  <w:characterSpacingControl w:val="doNotCompress"/>
  <w:footnotePr>
    <w:numFmt w:val="chicago"/>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F1"/>
    <w:rsid w:val="000008A1"/>
    <w:rsid w:val="000017F5"/>
    <w:rsid w:val="00002F30"/>
    <w:rsid w:val="00007016"/>
    <w:rsid w:val="000071FF"/>
    <w:rsid w:val="00013848"/>
    <w:rsid w:val="0001404E"/>
    <w:rsid w:val="00014CA8"/>
    <w:rsid w:val="00016728"/>
    <w:rsid w:val="0002114C"/>
    <w:rsid w:val="00022DD1"/>
    <w:rsid w:val="000277D9"/>
    <w:rsid w:val="00030A11"/>
    <w:rsid w:val="00030FE8"/>
    <w:rsid w:val="000340D4"/>
    <w:rsid w:val="00035712"/>
    <w:rsid w:val="000357F7"/>
    <w:rsid w:val="00036982"/>
    <w:rsid w:val="00037003"/>
    <w:rsid w:val="000376BA"/>
    <w:rsid w:val="000421A6"/>
    <w:rsid w:val="00042789"/>
    <w:rsid w:val="00043734"/>
    <w:rsid w:val="00044395"/>
    <w:rsid w:val="0004631D"/>
    <w:rsid w:val="000472A3"/>
    <w:rsid w:val="0004732F"/>
    <w:rsid w:val="00051364"/>
    <w:rsid w:val="000534BE"/>
    <w:rsid w:val="00064195"/>
    <w:rsid w:val="000643FD"/>
    <w:rsid w:val="00064BE5"/>
    <w:rsid w:val="00064ED6"/>
    <w:rsid w:val="00065200"/>
    <w:rsid w:val="00066A18"/>
    <w:rsid w:val="00066C41"/>
    <w:rsid w:val="0006786B"/>
    <w:rsid w:val="000702B9"/>
    <w:rsid w:val="000706F7"/>
    <w:rsid w:val="00080339"/>
    <w:rsid w:val="00080DBB"/>
    <w:rsid w:val="000812E4"/>
    <w:rsid w:val="0008206F"/>
    <w:rsid w:val="000820C9"/>
    <w:rsid w:val="000839C8"/>
    <w:rsid w:val="0008459E"/>
    <w:rsid w:val="00085493"/>
    <w:rsid w:val="00087E72"/>
    <w:rsid w:val="00090C0C"/>
    <w:rsid w:val="00090D0A"/>
    <w:rsid w:val="00092A29"/>
    <w:rsid w:val="00093707"/>
    <w:rsid w:val="00093CAE"/>
    <w:rsid w:val="00095C9F"/>
    <w:rsid w:val="00095ED1"/>
    <w:rsid w:val="00097D9D"/>
    <w:rsid w:val="000A0255"/>
    <w:rsid w:val="000A0913"/>
    <w:rsid w:val="000A0FCC"/>
    <w:rsid w:val="000A177E"/>
    <w:rsid w:val="000A5277"/>
    <w:rsid w:val="000A5340"/>
    <w:rsid w:val="000A66CB"/>
    <w:rsid w:val="000A6ADF"/>
    <w:rsid w:val="000B01FC"/>
    <w:rsid w:val="000B1F21"/>
    <w:rsid w:val="000B6E52"/>
    <w:rsid w:val="000B70C3"/>
    <w:rsid w:val="000C07B5"/>
    <w:rsid w:val="000C1019"/>
    <w:rsid w:val="000C1946"/>
    <w:rsid w:val="000C329C"/>
    <w:rsid w:val="000C43B5"/>
    <w:rsid w:val="000C6DFD"/>
    <w:rsid w:val="000D2324"/>
    <w:rsid w:val="000D260B"/>
    <w:rsid w:val="000D2A8F"/>
    <w:rsid w:val="000D438A"/>
    <w:rsid w:val="000D4A55"/>
    <w:rsid w:val="000D4AA1"/>
    <w:rsid w:val="000D5284"/>
    <w:rsid w:val="000E129E"/>
    <w:rsid w:val="000E2AE6"/>
    <w:rsid w:val="000E6C6D"/>
    <w:rsid w:val="000E6CB5"/>
    <w:rsid w:val="000F0954"/>
    <w:rsid w:val="000F1BF1"/>
    <w:rsid w:val="000F48E7"/>
    <w:rsid w:val="000F745B"/>
    <w:rsid w:val="001002F4"/>
    <w:rsid w:val="0010047A"/>
    <w:rsid w:val="001014B0"/>
    <w:rsid w:val="00101A3F"/>
    <w:rsid w:val="00101DBD"/>
    <w:rsid w:val="001022FD"/>
    <w:rsid w:val="0010306A"/>
    <w:rsid w:val="001036D1"/>
    <w:rsid w:val="00104F70"/>
    <w:rsid w:val="00105E6A"/>
    <w:rsid w:val="001064D8"/>
    <w:rsid w:val="001071CA"/>
    <w:rsid w:val="001079FD"/>
    <w:rsid w:val="001178DA"/>
    <w:rsid w:val="001241CE"/>
    <w:rsid w:val="00125782"/>
    <w:rsid w:val="00127033"/>
    <w:rsid w:val="001315DF"/>
    <w:rsid w:val="001351C5"/>
    <w:rsid w:val="00137FD4"/>
    <w:rsid w:val="00141669"/>
    <w:rsid w:val="00143FFA"/>
    <w:rsid w:val="00145926"/>
    <w:rsid w:val="00146F14"/>
    <w:rsid w:val="00147E03"/>
    <w:rsid w:val="00150988"/>
    <w:rsid w:val="0015177D"/>
    <w:rsid w:val="00154475"/>
    <w:rsid w:val="00155F3D"/>
    <w:rsid w:val="00156851"/>
    <w:rsid w:val="00160870"/>
    <w:rsid w:val="00161D60"/>
    <w:rsid w:val="00163199"/>
    <w:rsid w:val="001703EE"/>
    <w:rsid w:val="00173189"/>
    <w:rsid w:val="00173B85"/>
    <w:rsid w:val="00177E7D"/>
    <w:rsid w:val="00180E45"/>
    <w:rsid w:val="00182ED7"/>
    <w:rsid w:val="00183F09"/>
    <w:rsid w:val="0018725F"/>
    <w:rsid w:val="00191B09"/>
    <w:rsid w:val="001921CF"/>
    <w:rsid w:val="00194C16"/>
    <w:rsid w:val="00194E3E"/>
    <w:rsid w:val="001A01A8"/>
    <w:rsid w:val="001A04E0"/>
    <w:rsid w:val="001A0FBE"/>
    <w:rsid w:val="001A54EF"/>
    <w:rsid w:val="001B04B5"/>
    <w:rsid w:val="001B0E7B"/>
    <w:rsid w:val="001B666D"/>
    <w:rsid w:val="001C1930"/>
    <w:rsid w:val="001C558A"/>
    <w:rsid w:val="001C5967"/>
    <w:rsid w:val="001C794B"/>
    <w:rsid w:val="001D0BE9"/>
    <w:rsid w:val="001D1537"/>
    <w:rsid w:val="001D5E40"/>
    <w:rsid w:val="001D5E71"/>
    <w:rsid w:val="001D63DC"/>
    <w:rsid w:val="001D7065"/>
    <w:rsid w:val="001E0AE6"/>
    <w:rsid w:val="001E436C"/>
    <w:rsid w:val="001E572C"/>
    <w:rsid w:val="001E59E4"/>
    <w:rsid w:val="001E6FFD"/>
    <w:rsid w:val="001E7156"/>
    <w:rsid w:val="001E75AC"/>
    <w:rsid w:val="001E7FE3"/>
    <w:rsid w:val="001F1AB3"/>
    <w:rsid w:val="001F1D28"/>
    <w:rsid w:val="001F5447"/>
    <w:rsid w:val="00201631"/>
    <w:rsid w:val="002045C2"/>
    <w:rsid w:val="00204AAD"/>
    <w:rsid w:val="00210118"/>
    <w:rsid w:val="00213FC9"/>
    <w:rsid w:val="00217B80"/>
    <w:rsid w:val="002226AB"/>
    <w:rsid w:val="00223D2D"/>
    <w:rsid w:val="00223E23"/>
    <w:rsid w:val="00225A3E"/>
    <w:rsid w:val="00230A6B"/>
    <w:rsid w:val="0023130F"/>
    <w:rsid w:val="00232E03"/>
    <w:rsid w:val="0023550C"/>
    <w:rsid w:val="00236442"/>
    <w:rsid w:val="002378B3"/>
    <w:rsid w:val="002409E9"/>
    <w:rsid w:val="002409EF"/>
    <w:rsid w:val="002416FB"/>
    <w:rsid w:val="0024266E"/>
    <w:rsid w:val="002443ED"/>
    <w:rsid w:val="00246965"/>
    <w:rsid w:val="00247FBD"/>
    <w:rsid w:val="0025368B"/>
    <w:rsid w:val="00255825"/>
    <w:rsid w:val="002562E7"/>
    <w:rsid w:val="002563B6"/>
    <w:rsid w:val="00262277"/>
    <w:rsid w:val="00262977"/>
    <w:rsid w:val="002638DE"/>
    <w:rsid w:val="002642AC"/>
    <w:rsid w:val="0026514A"/>
    <w:rsid w:val="00267CBE"/>
    <w:rsid w:val="00271E47"/>
    <w:rsid w:val="00273231"/>
    <w:rsid w:val="002736A7"/>
    <w:rsid w:val="00274500"/>
    <w:rsid w:val="002748EB"/>
    <w:rsid w:val="00274DCE"/>
    <w:rsid w:val="00277A33"/>
    <w:rsid w:val="00280AA5"/>
    <w:rsid w:val="00283451"/>
    <w:rsid w:val="0028349F"/>
    <w:rsid w:val="0028413D"/>
    <w:rsid w:val="00284742"/>
    <w:rsid w:val="0028547D"/>
    <w:rsid w:val="00286B46"/>
    <w:rsid w:val="002931E9"/>
    <w:rsid w:val="00296209"/>
    <w:rsid w:val="002A21B7"/>
    <w:rsid w:val="002A2E82"/>
    <w:rsid w:val="002A5BF0"/>
    <w:rsid w:val="002A628C"/>
    <w:rsid w:val="002A69C0"/>
    <w:rsid w:val="002B175D"/>
    <w:rsid w:val="002B2BB7"/>
    <w:rsid w:val="002B2DB6"/>
    <w:rsid w:val="002B5A75"/>
    <w:rsid w:val="002C09E6"/>
    <w:rsid w:val="002C4A1D"/>
    <w:rsid w:val="002C52F6"/>
    <w:rsid w:val="002C5DB0"/>
    <w:rsid w:val="002C67D8"/>
    <w:rsid w:val="002D032A"/>
    <w:rsid w:val="002D0F28"/>
    <w:rsid w:val="002D109D"/>
    <w:rsid w:val="002D5CFE"/>
    <w:rsid w:val="002D779F"/>
    <w:rsid w:val="002D7F7D"/>
    <w:rsid w:val="002E029B"/>
    <w:rsid w:val="002E13E3"/>
    <w:rsid w:val="002E5646"/>
    <w:rsid w:val="002E634E"/>
    <w:rsid w:val="002E6495"/>
    <w:rsid w:val="002F0489"/>
    <w:rsid w:val="002F2E90"/>
    <w:rsid w:val="002F382E"/>
    <w:rsid w:val="002F3E77"/>
    <w:rsid w:val="003023F4"/>
    <w:rsid w:val="00302DEA"/>
    <w:rsid w:val="003038BA"/>
    <w:rsid w:val="00303AA2"/>
    <w:rsid w:val="00304062"/>
    <w:rsid w:val="00305163"/>
    <w:rsid w:val="00305528"/>
    <w:rsid w:val="003067F5"/>
    <w:rsid w:val="00306870"/>
    <w:rsid w:val="0031048B"/>
    <w:rsid w:val="003112EF"/>
    <w:rsid w:val="00311B1B"/>
    <w:rsid w:val="00312E83"/>
    <w:rsid w:val="00313C70"/>
    <w:rsid w:val="00314829"/>
    <w:rsid w:val="00317AE3"/>
    <w:rsid w:val="00321B31"/>
    <w:rsid w:val="00322165"/>
    <w:rsid w:val="00323362"/>
    <w:rsid w:val="0033110E"/>
    <w:rsid w:val="00331942"/>
    <w:rsid w:val="0033216B"/>
    <w:rsid w:val="00332748"/>
    <w:rsid w:val="00334627"/>
    <w:rsid w:val="003366BE"/>
    <w:rsid w:val="00341AA8"/>
    <w:rsid w:val="0034235E"/>
    <w:rsid w:val="003445A8"/>
    <w:rsid w:val="00345D21"/>
    <w:rsid w:val="00345EEC"/>
    <w:rsid w:val="00352EFA"/>
    <w:rsid w:val="00353B23"/>
    <w:rsid w:val="00354253"/>
    <w:rsid w:val="0035579A"/>
    <w:rsid w:val="00357456"/>
    <w:rsid w:val="00357523"/>
    <w:rsid w:val="0036139A"/>
    <w:rsid w:val="0036651C"/>
    <w:rsid w:val="00366BD6"/>
    <w:rsid w:val="00366CF1"/>
    <w:rsid w:val="00371A1F"/>
    <w:rsid w:val="0037212F"/>
    <w:rsid w:val="00372BBA"/>
    <w:rsid w:val="003743D4"/>
    <w:rsid w:val="003801B5"/>
    <w:rsid w:val="0038239E"/>
    <w:rsid w:val="00382503"/>
    <w:rsid w:val="00382B52"/>
    <w:rsid w:val="00393787"/>
    <w:rsid w:val="00393FE3"/>
    <w:rsid w:val="003A2C8E"/>
    <w:rsid w:val="003B0C89"/>
    <w:rsid w:val="003B1110"/>
    <w:rsid w:val="003B1DAD"/>
    <w:rsid w:val="003B3BF4"/>
    <w:rsid w:val="003B4FB3"/>
    <w:rsid w:val="003B61C5"/>
    <w:rsid w:val="003C18A1"/>
    <w:rsid w:val="003C2933"/>
    <w:rsid w:val="003C62FF"/>
    <w:rsid w:val="003C7C5B"/>
    <w:rsid w:val="003D04EE"/>
    <w:rsid w:val="003D09B4"/>
    <w:rsid w:val="003D3C65"/>
    <w:rsid w:val="003D440B"/>
    <w:rsid w:val="003D4DCD"/>
    <w:rsid w:val="003D5734"/>
    <w:rsid w:val="003D6E6F"/>
    <w:rsid w:val="003E1275"/>
    <w:rsid w:val="003E1D6A"/>
    <w:rsid w:val="003E21B8"/>
    <w:rsid w:val="003E2B72"/>
    <w:rsid w:val="003E463A"/>
    <w:rsid w:val="003E6EAA"/>
    <w:rsid w:val="003F166F"/>
    <w:rsid w:val="003F3137"/>
    <w:rsid w:val="003F7161"/>
    <w:rsid w:val="00400DF6"/>
    <w:rsid w:val="00402CAD"/>
    <w:rsid w:val="00402E81"/>
    <w:rsid w:val="0040558D"/>
    <w:rsid w:val="004107F5"/>
    <w:rsid w:val="004116B4"/>
    <w:rsid w:val="00414B9F"/>
    <w:rsid w:val="0042129B"/>
    <w:rsid w:val="00423210"/>
    <w:rsid w:val="0042390D"/>
    <w:rsid w:val="00424AEB"/>
    <w:rsid w:val="00425FEA"/>
    <w:rsid w:val="004269A4"/>
    <w:rsid w:val="00427BEE"/>
    <w:rsid w:val="004313F4"/>
    <w:rsid w:val="004367CE"/>
    <w:rsid w:val="00437CD2"/>
    <w:rsid w:val="0044009E"/>
    <w:rsid w:val="00440C6F"/>
    <w:rsid w:val="00441DD2"/>
    <w:rsid w:val="00443E9E"/>
    <w:rsid w:val="00446672"/>
    <w:rsid w:val="00447E5B"/>
    <w:rsid w:val="004500D7"/>
    <w:rsid w:val="0045022A"/>
    <w:rsid w:val="00451A34"/>
    <w:rsid w:val="004525CE"/>
    <w:rsid w:val="004533A9"/>
    <w:rsid w:val="004541B1"/>
    <w:rsid w:val="00455DDA"/>
    <w:rsid w:val="00456F1D"/>
    <w:rsid w:val="004647D2"/>
    <w:rsid w:val="00465F9B"/>
    <w:rsid w:val="004662CC"/>
    <w:rsid w:val="00472F2B"/>
    <w:rsid w:val="0047332F"/>
    <w:rsid w:val="00474168"/>
    <w:rsid w:val="00474803"/>
    <w:rsid w:val="00474BD5"/>
    <w:rsid w:val="004757E9"/>
    <w:rsid w:val="004800EB"/>
    <w:rsid w:val="00480E24"/>
    <w:rsid w:val="00483A6D"/>
    <w:rsid w:val="00491CC5"/>
    <w:rsid w:val="0049267F"/>
    <w:rsid w:val="00492A20"/>
    <w:rsid w:val="00494AC4"/>
    <w:rsid w:val="00496E91"/>
    <w:rsid w:val="004A0EB0"/>
    <w:rsid w:val="004B1216"/>
    <w:rsid w:val="004B14C5"/>
    <w:rsid w:val="004B4027"/>
    <w:rsid w:val="004B68C3"/>
    <w:rsid w:val="004B705F"/>
    <w:rsid w:val="004B77AC"/>
    <w:rsid w:val="004B786D"/>
    <w:rsid w:val="004C0CAC"/>
    <w:rsid w:val="004C12A6"/>
    <w:rsid w:val="004C3BED"/>
    <w:rsid w:val="004C56D8"/>
    <w:rsid w:val="004C6D63"/>
    <w:rsid w:val="004C77B0"/>
    <w:rsid w:val="004D3034"/>
    <w:rsid w:val="004D4A4B"/>
    <w:rsid w:val="004E26B3"/>
    <w:rsid w:val="004E68BF"/>
    <w:rsid w:val="004E6ABF"/>
    <w:rsid w:val="004E7821"/>
    <w:rsid w:val="004E7A70"/>
    <w:rsid w:val="004F160C"/>
    <w:rsid w:val="004F49D4"/>
    <w:rsid w:val="00500CD2"/>
    <w:rsid w:val="00501946"/>
    <w:rsid w:val="005027D2"/>
    <w:rsid w:val="0050625E"/>
    <w:rsid w:val="0050642B"/>
    <w:rsid w:val="00511941"/>
    <w:rsid w:val="00511D97"/>
    <w:rsid w:val="00513B6D"/>
    <w:rsid w:val="005141A5"/>
    <w:rsid w:val="00521319"/>
    <w:rsid w:val="00522911"/>
    <w:rsid w:val="00523255"/>
    <w:rsid w:val="00523572"/>
    <w:rsid w:val="005236A2"/>
    <w:rsid w:val="00523C8C"/>
    <w:rsid w:val="00525049"/>
    <w:rsid w:val="00530632"/>
    <w:rsid w:val="00530976"/>
    <w:rsid w:val="005327D8"/>
    <w:rsid w:val="00533291"/>
    <w:rsid w:val="00535260"/>
    <w:rsid w:val="00537D17"/>
    <w:rsid w:val="00541236"/>
    <w:rsid w:val="005417D2"/>
    <w:rsid w:val="00541DD3"/>
    <w:rsid w:val="005426DC"/>
    <w:rsid w:val="00543371"/>
    <w:rsid w:val="0054367B"/>
    <w:rsid w:val="005441EA"/>
    <w:rsid w:val="0055128A"/>
    <w:rsid w:val="0055173E"/>
    <w:rsid w:val="005536ED"/>
    <w:rsid w:val="00554E2C"/>
    <w:rsid w:val="005575EA"/>
    <w:rsid w:val="00557BF4"/>
    <w:rsid w:val="00560313"/>
    <w:rsid w:val="00562495"/>
    <w:rsid w:val="00563998"/>
    <w:rsid w:val="0056455C"/>
    <w:rsid w:val="005646C2"/>
    <w:rsid w:val="00571D60"/>
    <w:rsid w:val="00572C26"/>
    <w:rsid w:val="005738AF"/>
    <w:rsid w:val="005742CC"/>
    <w:rsid w:val="005777CA"/>
    <w:rsid w:val="00580CEA"/>
    <w:rsid w:val="0058295E"/>
    <w:rsid w:val="00585332"/>
    <w:rsid w:val="005857F9"/>
    <w:rsid w:val="005858A4"/>
    <w:rsid w:val="00592371"/>
    <w:rsid w:val="005936D9"/>
    <w:rsid w:val="00595611"/>
    <w:rsid w:val="005957BB"/>
    <w:rsid w:val="005A2497"/>
    <w:rsid w:val="005A3465"/>
    <w:rsid w:val="005A793D"/>
    <w:rsid w:val="005B4D28"/>
    <w:rsid w:val="005B4EAA"/>
    <w:rsid w:val="005B7935"/>
    <w:rsid w:val="005C14C8"/>
    <w:rsid w:val="005C28DA"/>
    <w:rsid w:val="005C6380"/>
    <w:rsid w:val="005D01AB"/>
    <w:rsid w:val="005D27D2"/>
    <w:rsid w:val="005D2D8D"/>
    <w:rsid w:val="005D332F"/>
    <w:rsid w:val="005D3BAB"/>
    <w:rsid w:val="005D7F1A"/>
    <w:rsid w:val="005E1006"/>
    <w:rsid w:val="005E33E7"/>
    <w:rsid w:val="005E5780"/>
    <w:rsid w:val="005E59D7"/>
    <w:rsid w:val="005E6A48"/>
    <w:rsid w:val="005E7586"/>
    <w:rsid w:val="005F32F6"/>
    <w:rsid w:val="005F515F"/>
    <w:rsid w:val="005F7516"/>
    <w:rsid w:val="00601411"/>
    <w:rsid w:val="00603222"/>
    <w:rsid w:val="00605C0A"/>
    <w:rsid w:val="00607FCA"/>
    <w:rsid w:val="006104DA"/>
    <w:rsid w:val="00610FF7"/>
    <w:rsid w:val="00614D2B"/>
    <w:rsid w:val="00616FB3"/>
    <w:rsid w:val="00617D16"/>
    <w:rsid w:val="00621A8D"/>
    <w:rsid w:val="00623093"/>
    <w:rsid w:val="0062589A"/>
    <w:rsid w:val="00630020"/>
    <w:rsid w:val="0063069B"/>
    <w:rsid w:val="00630F09"/>
    <w:rsid w:val="006320D6"/>
    <w:rsid w:val="00633EE4"/>
    <w:rsid w:val="00635279"/>
    <w:rsid w:val="006353A4"/>
    <w:rsid w:val="00636C0D"/>
    <w:rsid w:val="00637C97"/>
    <w:rsid w:val="00640895"/>
    <w:rsid w:val="00643966"/>
    <w:rsid w:val="00643CA2"/>
    <w:rsid w:val="00644F98"/>
    <w:rsid w:val="0064529D"/>
    <w:rsid w:val="0064628B"/>
    <w:rsid w:val="006470CE"/>
    <w:rsid w:val="0064768D"/>
    <w:rsid w:val="00650F5E"/>
    <w:rsid w:val="0065381F"/>
    <w:rsid w:val="00653BB9"/>
    <w:rsid w:val="00655F16"/>
    <w:rsid w:val="006617D2"/>
    <w:rsid w:val="00661888"/>
    <w:rsid w:val="00664662"/>
    <w:rsid w:val="00665876"/>
    <w:rsid w:val="006662EC"/>
    <w:rsid w:val="00667BB4"/>
    <w:rsid w:val="00671506"/>
    <w:rsid w:val="006716E6"/>
    <w:rsid w:val="0067364B"/>
    <w:rsid w:val="006755CB"/>
    <w:rsid w:val="006776C9"/>
    <w:rsid w:val="006812BB"/>
    <w:rsid w:val="00683A8A"/>
    <w:rsid w:val="0068511F"/>
    <w:rsid w:val="00685B43"/>
    <w:rsid w:val="00692D28"/>
    <w:rsid w:val="0069305C"/>
    <w:rsid w:val="00694540"/>
    <w:rsid w:val="006960D3"/>
    <w:rsid w:val="006A13E5"/>
    <w:rsid w:val="006A275B"/>
    <w:rsid w:val="006A5A46"/>
    <w:rsid w:val="006A728F"/>
    <w:rsid w:val="006B6B28"/>
    <w:rsid w:val="006B7139"/>
    <w:rsid w:val="006B79B9"/>
    <w:rsid w:val="006C0041"/>
    <w:rsid w:val="006C0999"/>
    <w:rsid w:val="006C47CF"/>
    <w:rsid w:val="006C5E7C"/>
    <w:rsid w:val="006D1729"/>
    <w:rsid w:val="006D1A10"/>
    <w:rsid w:val="006D3880"/>
    <w:rsid w:val="006E1DAD"/>
    <w:rsid w:val="006E2425"/>
    <w:rsid w:val="006E2580"/>
    <w:rsid w:val="006E3B4D"/>
    <w:rsid w:val="006E5CFD"/>
    <w:rsid w:val="006E7752"/>
    <w:rsid w:val="006F43CC"/>
    <w:rsid w:val="006F4AFB"/>
    <w:rsid w:val="006F66B6"/>
    <w:rsid w:val="006F71EB"/>
    <w:rsid w:val="00701A0B"/>
    <w:rsid w:val="00701D49"/>
    <w:rsid w:val="0070324D"/>
    <w:rsid w:val="00704F68"/>
    <w:rsid w:val="00706B82"/>
    <w:rsid w:val="0070731B"/>
    <w:rsid w:val="00707F88"/>
    <w:rsid w:val="0071058F"/>
    <w:rsid w:val="00712511"/>
    <w:rsid w:val="0071450F"/>
    <w:rsid w:val="00715464"/>
    <w:rsid w:val="00716FD9"/>
    <w:rsid w:val="007170AE"/>
    <w:rsid w:val="0072768C"/>
    <w:rsid w:val="0073278C"/>
    <w:rsid w:val="00737A64"/>
    <w:rsid w:val="00745B90"/>
    <w:rsid w:val="0075580F"/>
    <w:rsid w:val="00760C1B"/>
    <w:rsid w:val="00761727"/>
    <w:rsid w:val="0076220A"/>
    <w:rsid w:val="007635DF"/>
    <w:rsid w:val="00765535"/>
    <w:rsid w:val="00765D14"/>
    <w:rsid w:val="007705DE"/>
    <w:rsid w:val="00773C25"/>
    <w:rsid w:val="00782F7D"/>
    <w:rsid w:val="007835ED"/>
    <w:rsid w:val="00783BAC"/>
    <w:rsid w:val="00783EE7"/>
    <w:rsid w:val="007849FF"/>
    <w:rsid w:val="00787279"/>
    <w:rsid w:val="007873AC"/>
    <w:rsid w:val="007909CE"/>
    <w:rsid w:val="00792247"/>
    <w:rsid w:val="00793234"/>
    <w:rsid w:val="00793352"/>
    <w:rsid w:val="0079427E"/>
    <w:rsid w:val="00794CFE"/>
    <w:rsid w:val="00795947"/>
    <w:rsid w:val="007962F8"/>
    <w:rsid w:val="007A00CE"/>
    <w:rsid w:val="007A01E3"/>
    <w:rsid w:val="007A533F"/>
    <w:rsid w:val="007A5E36"/>
    <w:rsid w:val="007A6EDC"/>
    <w:rsid w:val="007A7138"/>
    <w:rsid w:val="007B00CB"/>
    <w:rsid w:val="007B1E2A"/>
    <w:rsid w:val="007B346A"/>
    <w:rsid w:val="007B366A"/>
    <w:rsid w:val="007B5AFD"/>
    <w:rsid w:val="007B734B"/>
    <w:rsid w:val="007C4E4F"/>
    <w:rsid w:val="007D0727"/>
    <w:rsid w:val="007D07F1"/>
    <w:rsid w:val="007D08EE"/>
    <w:rsid w:val="007D375F"/>
    <w:rsid w:val="007D433A"/>
    <w:rsid w:val="007D5966"/>
    <w:rsid w:val="007E0DED"/>
    <w:rsid w:val="007E2804"/>
    <w:rsid w:val="007E38CF"/>
    <w:rsid w:val="007E59E8"/>
    <w:rsid w:val="007E5E2B"/>
    <w:rsid w:val="007F0210"/>
    <w:rsid w:val="007F3431"/>
    <w:rsid w:val="007F4230"/>
    <w:rsid w:val="007F4400"/>
    <w:rsid w:val="007F4B32"/>
    <w:rsid w:val="00800D97"/>
    <w:rsid w:val="00801152"/>
    <w:rsid w:val="00803D03"/>
    <w:rsid w:val="00805EC6"/>
    <w:rsid w:val="00807F22"/>
    <w:rsid w:val="00812CE9"/>
    <w:rsid w:val="008135F4"/>
    <w:rsid w:val="00815516"/>
    <w:rsid w:val="00815EFC"/>
    <w:rsid w:val="008204FE"/>
    <w:rsid w:val="00824294"/>
    <w:rsid w:val="008248D8"/>
    <w:rsid w:val="00830856"/>
    <w:rsid w:val="00830A40"/>
    <w:rsid w:val="008313CF"/>
    <w:rsid w:val="008318AF"/>
    <w:rsid w:val="00831D76"/>
    <w:rsid w:val="00831DA1"/>
    <w:rsid w:val="008320B7"/>
    <w:rsid w:val="0083305B"/>
    <w:rsid w:val="00835F96"/>
    <w:rsid w:val="00840F45"/>
    <w:rsid w:val="00843D7C"/>
    <w:rsid w:val="00844FCB"/>
    <w:rsid w:val="0084552D"/>
    <w:rsid w:val="008467F2"/>
    <w:rsid w:val="00852278"/>
    <w:rsid w:val="0085355C"/>
    <w:rsid w:val="00854456"/>
    <w:rsid w:val="00856848"/>
    <w:rsid w:val="00860A7C"/>
    <w:rsid w:val="00866E8D"/>
    <w:rsid w:val="00871779"/>
    <w:rsid w:val="008718E4"/>
    <w:rsid w:val="008724D2"/>
    <w:rsid w:val="008726BA"/>
    <w:rsid w:val="00874FAB"/>
    <w:rsid w:val="00875F27"/>
    <w:rsid w:val="008764D6"/>
    <w:rsid w:val="00880918"/>
    <w:rsid w:val="008830E0"/>
    <w:rsid w:val="00884194"/>
    <w:rsid w:val="008863F5"/>
    <w:rsid w:val="0088754A"/>
    <w:rsid w:val="008875B6"/>
    <w:rsid w:val="00896ACA"/>
    <w:rsid w:val="00897CE6"/>
    <w:rsid w:val="00897FD7"/>
    <w:rsid w:val="008A640D"/>
    <w:rsid w:val="008A7116"/>
    <w:rsid w:val="008B2053"/>
    <w:rsid w:val="008B3596"/>
    <w:rsid w:val="008B4562"/>
    <w:rsid w:val="008B4A8C"/>
    <w:rsid w:val="008B4BB0"/>
    <w:rsid w:val="008B56FF"/>
    <w:rsid w:val="008B5888"/>
    <w:rsid w:val="008B5952"/>
    <w:rsid w:val="008C054F"/>
    <w:rsid w:val="008C147E"/>
    <w:rsid w:val="008C2115"/>
    <w:rsid w:val="008C6637"/>
    <w:rsid w:val="008C7AF2"/>
    <w:rsid w:val="008D2D48"/>
    <w:rsid w:val="008D325F"/>
    <w:rsid w:val="008D499E"/>
    <w:rsid w:val="008D6F43"/>
    <w:rsid w:val="008D7B3E"/>
    <w:rsid w:val="008E2301"/>
    <w:rsid w:val="008E344A"/>
    <w:rsid w:val="008E5BBE"/>
    <w:rsid w:val="008F04A3"/>
    <w:rsid w:val="008F23BE"/>
    <w:rsid w:val="008F6DB0"/>
    <w:rsid w:val="008F7F2B"/>
    <w:rsid w:val="00900110"/>
    <w:rsid w:val="00900562"/>
    <w:rsid w:val="00902341"/>
    <w:rsid w:val="00902551"/>
    <w:rsid w:val="0090309C"/>
    <w:rsid w:val="00904EF7"/>
    <w:rsid w:val="00905EC3"/>
    <w:rsid w:val="009063B7"/>
    <w:rsid w:val="0091167E"/>
    <w:rsid w:val="0091364C"/>
    <w:rsid w:val="009157D8"/>
    <w:rsid w:val="00916E13"/>
    <w:rsid w:val="0092072C"/>
    <w:rsid w:val="00920CF3"/>
    <w:rsid w:val="00920F8E"/>
    <w:rsid w:val="0092136E"/>
    <w:rsid w:val="00922793"/>
    <w:rsid w:val="00924C3C"/>
    <w:rsid w:val="0093464D"/>
    <w:rsid w:val="009368E8"/>
    <w:rsid w:val="009376EA"/>
    <w:rsid w:val="00941E32"/>
    <w:rsid w:val="009430E3"/>
    <w:rsid w:val="00945E37"/>
    <w:rsid w:val="009504EE"/>
    <w:rsid w:val="0095150B"/>
    <w:rsid w:val="00951FE2"/>
    <w:rsid w:val="00952B24"/>
    <w:rsid w:val="00952B4D"/>
    <w:rsid w:val="00953A32"/>
    <w:rsid w:val="00956702"/>
    <w:rsid w:val="00965DC7"/>
    <w:rsid w:val="00966EC8"/>
    <w:rsid w:val="00970306"/>
    <w:rsid w:val="00970DCE"/>
    <w:rsid w:val="00971183"/>
    <w:rsid w:val="00971321"/>
    <w:rsid w:val="00973B74"/>
    <w:rsid w:val="009761B8"/>
    <w:rsid w:val="00976974"/>
    <w:rsid w:val="00981571"/>
    <w:rsid w:val="00982291"/>
    <w:rsid w:val="00983C1F"/>
    <w:rsid w:val="00992006"/>
    <w:rsid w:val="00993C17"/>
    <w:rsid w:val="0099444D"/>
    <w:rsid w:val="009A0BBA"/>
    <w:rsid w:val="009A4833"/>
    <w:rsid w:val="009A7EA9"/>
    <w:rsid w:val="009B0989"/>
    <w:rsid w:val="009B3E87"/>
    <w:rsid w:val="009B5621"/>
    <w:rsid w:val="009B5767"/>
    <w:rsid w:val="009B6048"/>
    <w:rsid w:val="009C1AFA"/>
    <w:rsid w:val="009C3556"/>
    <w:rsid w:val="009C4209"/>
    <w:rsid w:val="009C6F3E"/>
    <w:rsid w:val="009C77C4"/>
    <w:rsid w:val="009D0764"/>
    <w:rsid w:val="009D172A"/>
    <w:rsid w:val="009D2AF9"/>
    <w:rsid w:val="009D568A"/>
    <w:rsid w:val="009E2199"/>
    <w:rsid w:val="009E6D3B"/>
    <w:rsid w:val="009F4E80"/>
    <w:rsid w:val="009F5517"/>
    <w:rsid w:val="009F5AA8"/>
    <w:rsid w:val="009F5AB9"/>
    <w:rsid w:val="009F6448"/>
    <w:rsid w:val="009F6C65"/>
    <w:rsid w:val="009F769A"/>
    <w:rsid w:val="00A01358"/>
    <w:rsid w:val="00A01379"/>
    <w:rsid w:val="00A040ED"/>
    <w:rsid w:val="00A133FB"/>
    <w:rsid w:val="00A1542F"/>
    <w:rsid w:val="00A17D6F"/>
    <w:rsid w:val="00A225E9"/>
    <w:rsid w:val="00A26895"/>
    <w:rsid w:val="00A2728D"/>
    <w:rsid w:val="00A31DC6"/>
    <w:rsid w:val="00A34A92"/>
    <w:rsid w:val="00A34BE7"/>
    <w:rsid w:val="00A37BB0"/>
    <w:rsid w:val="00A4139B"/>
    <w:rsid w:val="00A43B24"/>
    <w:rsid w:val="00A444E2"/>
    <w:rsid w:val="00A44CD9"/>
    <w:rsid w:val="00A454D0"/>
    <w:rsid w:val="00A45E2F"/>
    <w:rsid w:val="00A473EC"/>
    <w:rsid w:val="00A47B1D"/>
    <w:rsid w:val="00A54057"/>
    <w:rsid w:val="00A56B83"/>
    <w:rsid w:val="00A57458"/>
    <w:rsid w:val="00A617FC"/>
    <w:rsid w:val="00A64AEE"/>
    <w:rsid w:val="00A661EF"/>
    <w:rsid w:val="00A73417"/>
    <w:rsid w:val="00A749AF"/>
    <w:rsid w:val="00A80925"/>
    <w:rsid w:val="00A809B3"/>
    <w:rsid w:val="00A820B8"/>
    <w:rsid w:val="00A83615"/>
    <w:rsid w:val="00A86BD6"/>
    <w:rsid w:val="00A86BE4"/>
    <w:rsid w:val="00A925C8"/>
    <w:rsid w:val="00A930BB"/>
    <w:rsid w:val="00A9475B"/>
    <w:rsid w:val="00A94A91"/>
    <w:rsid w:val="00AA1B31"/>
    <w:rsid w:val="00AA2982"/>
    <w:rsid w:val="00AA2E6F"/>
    <w:rsid w:val="00AA3BA4"/>
    <w:rsid w:val="00AA6921"/>
    <w:rsid w:val="00AB0669"/>
    <w:rsid w:val="00AB163C"/>
    <w:rsid w:val="00AB1753"/>
    <w:rsid w:val="00AB1C62"/>
    <w:rsid w:val="00AB30BF"/>
    <w:rsid w:val="00AB464C"/>
    <w:rsid w:val="00AB5E14"/>
    <w:rsid w:val="00AB76AA"/>
    <w:rsid w:val="00AC01F4"/>
    <w:rsid w:val="00AC0B12"/>
    <w:rsid w:val="00AC5BA0"/>
    <w:rsid w:val="00AC6DE4"/>
    <w:rsid w:val="00AD1A75"/>
    <w:rsid w:val="00AE042D"/>
    <w:rsid w:val="00AE113D"/>
    <w:rsid w:val="00AE1E59"/>
    <w:rsid w:val="00AE61B5"/>
    <w:rsid w:val="00AE69A9"/>
    <w:rsid w:val="00AE727E"/>
    <w:rsid w:val="00AF0645"/>
    <w:rsid w:val="00AF19FA"/>
    <w:rsid w:val="00AF1F08"/>
    <w:rsid w:val="00AF25DF"/>
    <w:rsid w:val="00AF2ED5"/>
    <w:rsid w:val="00AF3497"/>
    <w:rsid w:val="00AF3DB5"/>
    <w:rsid w:val="00AF54F0"/>
    <w:rsid w:val="00AF615F"/>
    <w:rsid w:val="00B01C58"/>
    <w:rsid w:val="00B03A1F"/>
    <w:rsid w:val="00B05C4B"/>
    <w:rsid w:val="00B1166E"/>
    <w:rsid w:val="00B11D7E"/>
    <w:rsid w:val="00B12C88"/>
    <w:rsid w:val="00B1531F"/>
    <w:rsid w:val="00B15ED1"/>
    <w:rsid w:val="00B22215"/>
    <w:rsid w:val="00B22B77"/>
    <w:rsid w:val="00B23FBD"/>
    <w:rsid w:val="00B251BD"/>
    <w:rsid w:val="00B25B9F"/>
    <w:rsid w:val="00B27603"/>
    <w:rsid w:val="00B30002"/>
    <w:rsid w:val="00B307D4"/>
    <w:rsid w:val="00B34E7D"/>
    <w:rsid w:val="00B372D1"/>
    <w:rsid w:val="00B37901"/>
    <w:rsid w:val="00B41206"/>
    <w:rsid w:val="00B424FE"/>
    <w:rsid w:val="00B42E69"/>
    <w:rsid w:val="00B51CA2"/>
    <w:rsid w:val="00B52E97"/>
    <w:rsid w:val="00B53690"/>
    <w:rsid w:val="00B56862"/>
    <w:rsid w:val="00B622B0"/>
    <w:rsid w:val="00B62358"/>
    <w:rsid w:val="00B669D3"/>
    <w:rsid w:val="00B67443"/>
    <w:rsid w:val="00B701B6"/>
    <w:rsid w:val="00B7659F"/>
    <w:rsid w:val="00B9304A"/>
    <w:rsid w:val="00B962E0"/>
    <w:rsid w:val="00BA0991"/>
    <w:rsid w:val="00BA2558"/>
    <w:rsid w:val="00BA4819"/>
    <w:rsid w:val="00BA5CDB"/>
    <w:rsid w:val="00BA764B"/>
    <w:rsid w:val="00BB051D"/>
    <w:rsid w:val="00BB05B1"/>
    <w:rsid w:val="00BB2339"/>
    <w:rsid w:val="00BB263E"/>
    <w:rsid w:val="00BB68EF"/>
    <w:rsid w:val="00BB71CE"/>
    <w:rsid w:val="00BC34FF"/>
    <w:rsid w:val="00BC652D"/>
    <w:rsid w:val="00BC74BF"/>
    <w:rsid w:val="00BD5CC4"/>
    <w:rsid w:val="00BE3A45"/>
    <w:rsid w:val="00BE3B49"/>
    <w:rsid w:val="00BE5109"/>
    <w:rsid w:val="00BE78E0"/>
    <w:rsid w:val="00BE7A8F"/>
    <w:rsid w:val="00BF0664"/>
    <w:rsid w:val="00BF287D"/>
    <w:rsid w:val="00BF5341"/>
    <w:rsid w:val="00C0113A"/>
    <w:rsid w:val="00C02F35"/>
    <w:rsid w:val="00C041BA"/>
    <w:rsid w:val="00C05668"/>
    <w:rsid w:val="00C100BA"/>
    <w:rsid w:val="00C1129B"/>
    <w:rsid w:val="00C11EED"/>
    <w:rsid w:val="00C1320B"/>
    <w:rsid w:val="00C1334B"/>
    <w:rsid w:val="00C200B9"/>
    <w:rsid w:val="00C21736"/>
    <w:rsid w:val="00C21A35"/>
    <w:rsid w:val="00C2254E"/>
    <w:rsid w:val="00C2265F"/>
    <w:rsid w:val="00C24271"/>
    <w:rsid w:val="00C243F0"/>
    <w:rsid w:val="00C2593A"/>
    <w:rsid w:val="00C26011"/>
    <w:rsid w:val="00C27979"/>
    <w:rsid w:val="00C279D6"/>
    <w:rsid w:val="00C3194B"/>
    <w:rsid w:val="00C32039"/>
    <w:rsid w:val="00C34B42"/>
    <w:rsid w:val="00C375BE"/>
    <w:rsid w:val="00C419B8"/>
    <w:rsid w:val="00C430A6"/>
    <w:rsid w:val="00C43463"/>
    <w:rsid w:val="00C43C55"/>
    <w:rsid w:val="00C44A64"/>
    <w:rsid w:val="00C44CD4"/>
    <w:rsid w:val="00C47347"/>
    <w:rsid w:val="00C51738"/>
    <w:rsid w:val="00C5213E"/>
    <w:rsid w:val="00C6157C"/>
    <w:rsid w:val="00C6407F"/>
    <w:rsid w:val="00C64B59"/>
    <w:rsid w:val="00C65E64"/>
    <w:rsid w:val="00C66A4C"/>
    <w:rsid w:val="00C70A3D"/>
    <w:rsid w:val="00C70C30"/>
    <w:rsid w:val="00C71E25"/>
    <w:rsid w:val="00C71E3C"/>
    <w:rsid w:val="00C723DA"/>
    <w:rsid w:val="00C73E36"/>
    <w:rsid w:val="00C74A59"/>
    <w:rsid w:val="00C7569F"/>
    <w:rsid w:val="00C757CE"/>
    <w:rsid w:val="00C75839"/>
    <w:rsid w:val="00C76524"/>
    <w:rsid w:val="00C82ABF"/>
    <w:rsid w:val="00C830DC"/>
    <w:rsid w:val="00C86476"/>
    <w:rsid w:val="00C901D1"/>
    <w:rsid w:val="00C902FF"/>
    <w:rsid w:val="00C907AD"/>
    <w:rsid w:val="00C92DD3"/>
    <w:rsid w:val="00C93352"/>
    <w:rsid w:val="00C93667"/>
    <w:rsid w:val="00C939A3"/>
    <w:rsid w:val="00C96A5B"/>
    <w:rsid w:val="00CA0F8D"/>
    <w:rsid w:val="00CA6910"/>
    <w:rsid w:val="00CA6E5A"/>
    <w:rsid w:val="00CA7023"/>
    <w:rsid w:val="00CB3E93"/>
    <w:rsid w:val="00CB760F"/>
    <w:rsid w:val="00CB7DDD"/>
    <w:rsid w:val="00CC19B4"/>
    <w:rsid w:val="00CC5CF1"/>
    <w:rsid w:val="00CC7126"/>
    <w:rsid w:val="00CC7ED1"/>
    <w:rsid w:val="00CD0654"/>
    <w:rsid w:val="00CD23B9"/>
    <w:rsid w:val="00CD5024"/>
    <w:rsid w:val="00CD67EE"/>
    <w:rsid w:val="00CE071A"/>
    <w:rsid w:val="00CE0CB3"/>
    <w:rsid w:val="00CE0EAF"/>
    <w:rsid w:val="00CE4AE0"/>
    <w:rsid w:val="00CE5749"/>
    <w:rsid w:val="00CE6307"/>
    <w:rsid w:val="00CF07D0"/>
    <w:rsid w:val="00CF40A9"/>
    <w:rsid w:val="00CF4E40"/>
    <w:rsid w:val="00D00EAD"/>
    <w:rsid w:val="00D0320A"/>
    <w:rsid w:val="00D0674B"/>
    <w:rsid w:val="00D12B2F"/>
    <w:rsid w:val="00D16659"/>
    <w:rsid w:val="00D16F53"/>
    <w:rsid w:val="00D204F8"/>
    <w:rsid w:val="00D20FF9"/>
    <w:rsid w:val="00D21E13"/>
    <w:rsid w:val="00D22B22"/>
    <w:rsid w:val="00D2322B"/>
    <w:rsid w:val="00D23328"/>
    <w:rsid w:val="00D27070"/>
    <w:rsid w:val="00D3036D"/>
    <w:rsid w:val="00D3079E"/>
    <w:rsid w:val="00D316A3"/>
    <w:rsid w:val="00D31DB3"/>
    <w:rsid w:val="00D321E3"/>
    <w:rsid w:val="00D328BA"/>
    <w:rsid w:val="00D344FF"/>
    <w:rsid w:val="00D34723"/>
    <w:rsid w:val="00D36193"/>
    <w:rsid w:val="00D45138"/>
    <w:rsid w:val="00D460B0"/>
    <w:rsid w:val="00D471C3"/>
    <w:rsid w:val="00D518F9"/>
    <w:rsid w:val="00D52F56"/>
    <w:rsid w:val="00D553E6"/>
    <w:rsid w:val="00D55EDB"/>
    <w:rsid w:val="00D56508"/>
    <w:rsid w:val="00D6013C"/>
    <w:rsid w:val="00D621A6"/>
    <w:rsid w:val="00D6385D"/>
    <w:rsid w:val="00D64124"/>
    <w:rsid w:val="00D641DB"/>
    <w:rsid w:val="00D65C57"/>
    <w:rsid w:val="00D65F36"/>
    <w:rsid w:val="00D6650C"/>
    <w:rsid w:val="00D676DA"/>
    <w:rsid w:val="00D70251"/>
    <w:rsid w:val="00D72114"/>
    <w:rsid w:val="00D73C63"/>
    <w:rsid w:val="00D80D59"/>
    <w:rsid w:val="00D812FA"/>
    <w:rsid w:val="00D8150A"/>
    <w:rsid w:val="00D821F2"/>
    <w:rsid w:val="00D85BBD"/>
    <w:rsid w:val="00D86E0E"/>
    <w:rsid w:val="00D87BC6"/>
    <w:rsid w:val="00D904B8"/>
    <w:rsid w:val="00D95F76"/>
    <w:rsid w:val="00D96366"/>
    <w:rsid w:val="00D96AD7"/>
    <w:rsid w:val="00DA024F"/>
    <w:rsid w:val="00DA29A4"/>
    <w:rsid w:val="00DB070E"/>
    <w:rsid w:val="00DB2AEA"/>
    <w:rsid w:val="00DB3014"/>
    <w:rsid w:val="00DB460D"/>
    <w:rsid w:val="00DB53EF"/>
    <w:rsid w:val="00DC0CE3"/>
    <w:rsid w:val="00DC2268"/>
    <w:rsid w:val="00DC2477"/>
    <w:rsid w:val="00DC2DCD"/>
    <w:rsid w:val="00DC39DC"/>
    <w:rsid w:val="00DD2AB7"/>
    <w:rsid w:val="00DD3015"/>
    <w:rsid w:val="00DD7292"/>
    <w:rsid w:val="00DE0EA9"/>
    <w:rsid w:val="00DE26F8"/>
    <w:rsid w:val="00DE37BF"/>
    <w:rsid w:val="00DE3807"/>
    <w:rsid w:val="00DE57ED"/>
    <w:rsid w:val="00DE66AE"/>
    <w:rsid w:val="00DF075A"/>
    <w:rsid w:val="00DF4A98"/>
    <w:rsid w:val="00DF5039"/>
    <w:rsid w:val="00DF7CA1"/>
    <w:rsid w:val="00E0130E"/>
    <w:rsid w:val="00E0197B"/>
    <w:rsid w:val="00E02A93"/>
    <w:rsid w:val="00E038DE"/>
    <w:rsid w:val="00E0546B"/>
    <w:rsid w:val="00E06B69"/>
    <w:rsid w:val="00E06BEE"/>
    <w:rsid w:val="00E06FD5"/>
    <w:rsid w:val="00E07707"/>
    <w:rsid w:val="00E07989"/>
    <w:rsid w:val="00E07998"/>
    <w:rsid w:val="00E1476B"/>
    <w:rsid w:val="00E15993"/>
    <w:rsid w:val="00E203B8"/>
    <w:rsid w:val="00E20BD6"/>
    <w:rsid w:val="00E232F4"/>
    <w:rsid w:val="00E23CED"/>
    <w:rsid w:val="00E31E4B"/>
    <w:rsid w:val="00E35BA6"/>
    <w:rsid w:val="00E36CD9"/>
    <w:rsid w:val="00E45CEE"/>
    <w:rsid w:val="00E45F9C"/>
    <w:rsid w:val="00E5111B"/>
    <w:rsid w:val="00E52ED2"/>
    <w:rsid w:val="00E53510"/>
    <w:rsid w:val="00E62E06"/>
    <w:rsid w:val="00E641DD"/>
    <w:rsid w:val="00E64AF7"/>
    <w:rsid w:val="00E64E0C"/>
    <w:rsid w:val="00E71788"/>
    <w:rsid w:val="00E73310"/>
    <w:rsid w:val="00E7785D"/>
    <w:rsid w:val="00E80693"/>
    <w:rsid w:val="00E8323D"/>
    <w:rsid w:val="00E83923"/>
    <w:rsid w:val="00E83BC0"/>
    <w:rsid w:val="00E83CA8"/>
    <w:rsid w:val="00E84464"/>
    <w:rsid w:val="00E84E82"/>
    <w:rsid w:val="00E86233"/>
    <w:rsid w:val="00E86C94"/>
    <w:rsid w:val="00E90B34"/>
    <w:rsid w:val="00E90F3E"/>
    <w:rsid w:val="00E913F7"/>
    <w:rsid w:val="00E925E3"/>
    <w:rsid w:val="00E92A1C"/>
    <w:rsid w:val="00E936C6"/>
    <w:rsid w:val="00E95142"/>
    <w:rsid w:val="00E97279"/>
    <w:rsid w:val="00E97C41"/>
    <w:rsid w:val="00EA2E19"/>
    <w:rsid w:val="00EA5037"/>
    <w:rsid w:val="00EA62C9"/>
    <w:rsid w:val="00EA647F"/>
    <w:rsid w:val="00EA65B5"/>
    <w:rsid w:val="00EB2604"/>
    <w:rsid w:val="00EB2B3B"/>
    <w:rsid w:val="00EB2EB5"/>
    <w:rsid w:val="00EB2F2F"/>
    <w:rsid w:val="00EB441F"/>
    <w:rsid w:val="00EB70AD"/>
    <w:rsid w:val="00EB7150"/>
    <w:rsid w:val="00EB7B68"/>
    <w:rsid w:val="00EC1C61"/>
    <w:rsid w:val="00EC4EF9"/>
    <w:rsid w:val="00EC548B"/>
    <w:rsid w:val="00EC62ED"/>
    <w:rsid w:val="00EC6705"/>
    <w:rsid w:val="00ED5118"/>
    <w:rsid w:val="00ED67A5"/>
    <w:rsid w:val="00ED67DA"/>
    <w:rsid w:val="00ED6B0D"/>
    <w:rsid w:val="00ED6BBF"/>
    <w:rsid w:val="00EE10B4"/>
    <w:rsid w:val="00EE346D"/>
    <w:rsid w:val="00EE440C"/>
    <w:rsid w:val="00EE527D"/>
    <w:rsid w:val="00EE60A2"/>
    <w:rsid w:val="00EE60F5"/>
    <w:rsid w:val="00EE65DF"/>
    <w:rsid w:val="00EF0764"/>
    <w:rsid w:val="00EF0BE4"/>
    <w:rsid w:val="00EF26FC"/>
    <w:rsid w:val="00EF4485"/>
    <w:rsid w:val="00EF52B2"/>
    <w:rsid w:val="00EF5424"/>
    <w:rsid w:val="00EF7296"/>
    <w:rsid w:val="00F036A2"/>
    <w:rsid w:val="00F0610C"/>
    <w:rsid w:val="00F1007F"/>
    <w:rsid w:val="00F118B5"/>
    <w:rsid w:val="00F13D15"/>
    <w:rsid w:val="00F21F71"/>
    <w:rsid w:val="00F225B5"/>
    <w:rsid w:val="00F23CD7"/>
    <w:rsid w:val="00F248EE"/>
    <w:rsid w:val="00F24D18"/>
    <w:rsid w:val="00F27C90"/>
    <w:rsid w:val="00F30D5E"/>
    <w:rsid w:val="00F31114"/>
    <w:rsid w:val="00F34C60"/>
    <w:rsid w:val="00F3524A"/>
    <w:rsid w:val="00F36E01"/>
    <w:rsid w:val="00F40034"/>
    <w:rsid w:val="00F41E8C"/>
    <w:rsid w:val="00F4648C"/>
    <w:rsid w:val="00F477E6"/>
    <w:rsid w:val="00F52CD4"/>
    <w:rsid w:val="00F52D1C"/>
    <w:rsid w:val="00F52DEA"/>
    <w:rsid w:val="00F54125"/>
    <w:rsid w:val="00F56D43"/>
    <w:rsid w:val="00F63FD6"/>
    <w:rsid w:val="00F6468D"/>
    <w:rsid w:val="00F73C4A"/>
    <w:rsid w:val="00F76E09"/>
    <w:rsid w:val="00F80441"/>
    <w:rsid w:val="00F81312"/>
    <w:rsid w:val="00F83E53"/>
    <w:rsid w:val="00F846F6"/>
    <w:rsid w:val="00F86259"/>
    <w:rsid w:val="00F908BA"/>
    <w:rsid w:val="00F966AD"/>
    <w:rsid w:val="00F96E80"/>
    <w:rsid w:val="00F97C9C"/>
    <w:rsid w:val="00FA2788"/>
    <w:rsid w:val="00FB452E"/>
    <w:rsid w:val="00FB4827"/>
    <w:rsid w:val="00FB5467"/>
    <w:rsid w:val="00FB7D91"/>
    <w:rsid w:val="00FC0A9D"/>
    <w:rsid w:val="00FC4094"/>
    <w:rsid w:val="00FC4206"/>
    <w:rsid w:val="00FD0754"/>
    <w:rsid w:val="00FD3FBE"/>
    <w:rsid w:val="00FD63A4"/>
    <w:rsid w:val="00FD6513"/>
    <w:rsid w:val="00FE3076"/>
    <w:rsid w:val="00FE3639"/>
    <w:rsid w:val="00FE3C35"/>
    <w:rsid w:val="00FE4D64"/>
    <w:rsid w:val="00FE6EDB"/>
    <w:rsid w:val="00FF0B45"/>
    <w:rsid w:val="00FF3503"/>
    <w:rsid w:val="00FF5288"/>
    <w:rsid w:val="00FF5EEF"/>
    <w:rsid w:val="00FF6445"/>
    <w:rsid w:val="00FF7157"/>
    <w:rsid w:val="00FF75F7"/>
    <w:rsid w:val="00FF7A78"/>
    <w:rsid w:val="00FF7BA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500"/>
    <w:pPr>
      <w:spacing w:after="0"/>
      <w:ind w:firstLine="720"/>
    </w:pPr>
    <w:rPr>
      <w:rFonts w:ascii="Times New Roman" w:hAnsi="Times New Roman"/>
      <w:sz w:val="20"/>
    </w:rPr>
  </w:style>
  <w:style w:type="paragraph" w:styleId="Heading1">
    <w:name w:val="heading 1"/>
    <w:basedOn w:val="Normal"/>
    <w:next w:val="Normal"/>
    <w:link w:val="Heading1Char"/>
    <w:uiPriority w:val="9"/>
    <w:qFormat/>
    <w:rsid w:val="00C71E25"/>
    <w:pPr>
      <w:keepNext/>
      <w:keepLines/>
      <w:numPr>
        <w:numId w:val="9"/>
      </w:numPr>
      <w:spacing w:before="240" w:after="240"/>
      <w:outlineLvl w:val="0"/>
    </w:pPr>
    <w:rPr>
      <w:rFonts w:eastAsiaTheme="majorEastAsia" w:cstheme="minorHAnsi"/>
      <w:b/>
      <w:bCs/>
      <w:szCs w:val="28"/>
    </w:rPr>
  </w:style>
  <w:style w:type="paragraph" w:styleId="Heading2">
    <w:name w:val="heading 2"/>
    <w:basedOn w:val="Heading1"/>
    <w:next w:val="Normal"/>
    <w:link w:val="Heading2Char"/>
    <w:uiPriority w:val="9"/>
    <w:unhideWhenUsed/>
    <w:qFormat/>
    <w:rsid w:val="00DD3015"/>
    <w:pPr>
      <w:numPr>
        <w:ilvl w:val="1"/>
      </w:numPr>
      <w:spacing w:before="120" w:after="120"/>
      <w:outlineLvl w:val="1"/>
    </w:pPr>
  </w:style>
  <w:style w:type="paragraph" w:styleId="Heading3">
    <w:name w:val="heading 3"/>
    <w:basedOn w:val="Normal"/>
    <w:link w:val="Heading3Char"/>
    <w:uiPriority w:val="9"/>
    <w:qFormat/>
    <w:rsid w:val="006E7752"/>
    <w:pPr>
      <w:spacing w:line="240" w:lineRule="auto"/>
      <w:outlineLvl w:val="2"/>
    </w:pPr>
    <w:rPr>
      <w:rFonts w:eastAsia="Times New Roman" w:cs="Times New Roman"/>
      <w:color w:val="3333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F70"/>
    <w:pPr>
      <w:ind w:left="720"/>
      <w:contextualSpacing/>
    </w:pPr>
  </w:style>
  <w:style w:type="paragraph" w:styleId="BalloonText">
    <w:name w:val="Balloon Text"/>
    <w:basedOn w:val="Normal"/>
    <w:link w:val="BalloonTextChar"/>
    <w:uiPriority w:val="99"/>
    <w:semiHidden/>
    <w:unhideWhenUsed/>
    <w:rsid w:val="002B5A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75"/>
    <w:rPr>
      <w:rFonts w:ascii="Tahoma" w:hAnsi="Tahoma" w:cs="Tahoma"/>
      <w:sz w:val="16"/>
      <w:szCs w:val="16"/>
    </w:rPr>
  </w:style>
  <w:style w:type="table" w:styleId="TableGrid">
    <w:name w:val="Table Grid"/>
    <w:basedOn w:val="TableNormal"/>
    <w:uiPriority w:val="59"/>
    <w:rsid w:val="00472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6E7752"/>
    <w:rPr>
      <w:rFonts w:ascii="Times New Roman" w:eastAsia="Times New Roman" w:hAnsi="Times New Roman" w:cs="Times New Roman"/>
      <w:color w:val="333333"/>
      <w:sz w:val="18"/>
      <w:szCs w:val="18"/>
    </w:rPr>
  </w:style>
  <w:style w:type="paragraph" w:styleId="NormalWeb">
    <w:name w:val="Normal (Web)"/>
    <w:basedOn w:val="Normal"/>
    <w:uiPriority w:val="99"/>
    <w:semiHidden/>
    <w:unhideWhenUsed/>
    <w:rsid w:val="006E7752"/>
    <w:pPr>
      <w:spacing w:before="100" w:beforeAutospacing="1" w:after="100" w:afterAutospacing="1" w:line="240" w:lineRule="auto"/>
    </w:pPr>
    <w:rPr>
      <w:rFonts w:eastAsia="Times New Roman" w:cs="Times New Roman"/>
      <w:sz w:val="17"/>
      <w:szCs w:val="17"/>
    </w:rPr>
  </w:style>
  <w:style w:type="character" w:styleId="Strong">
    <w:name w:val="Strong"/>
    <w:basedOn w:val="DefaultParagraphFont"/>
    <w:uiPriority w:val="22"/>
    <w:qFormat/>
    <w:rsid w:val="006E7752"/>
    <w:rPr>
      <w:b/>
      <w:bCs/>
    </w:rPr>
  </w:style>
  <w:style w:type="character" w:customStyle="1" w:styleId="Heading1Char">
    <w:name w:val="Heading 1 Char"/>
    <w:basedOn w:val="DefaultParagraphFont"/>
    <w:link w:val="Heading1"/>
    <w:uiPriority w:val="9"/>
    <w:rsid w:val="00C71E25"/>
    <w:rPr>
      <w:rFonts w:ascii="Times New Roman" w:eastAsiaTheme="majorEastAsia" w:hAnsi="Times New Roman" w:cstheme="minorHAnsi"/>
      <w:b/>
      <w:bCs/>
      <w:sz w:val="20"/>
      <w:szCs w:val="28"/>
    </w:rPr>
  </w:style>
  <w:style w:type="character" w:customStyle="1" w:styleId="Heading2Char">
    <w:name w:val="Heading 2 Char"/>
    <w:basedOn w:val="DefaultParagraphFont"/>
    <w:link w:val="Heading2"/>
    <w:uiPriority w:val="9"/>
    <w:rsid w:val="00DD3015"/>
    <w:rPr>
      <w:rFonts w:eastAsiaTheme="majorEastAsia" w:cstheme="minorHAnsi"/>
      <w:b/>
      <w:bCs/>
      <w:sz w:val="28"/>
      <w:szCs w:val="28"/>
    </w:rPr>
  </w:style>
  <w:style w:type="character" w:styleId="CommentReference">
    <w:name w:val="annotation reference"/>
    <w:basedOn w:val="DefaultParagraphFont"/>
    <w:uiPriority w:val="99"/>
    <w:semiHidden/>
    <w:unhideWhenUsed/>
    <w:rsid w:val="002D5CFE"/>
    <w:rPr>
      <w:sz w:val="16"/>
      <w:szCs w:val="16"/>
    </w:rPr>
  </w:style>
  <w:style w:type="paragraph" w:styleId="CommentText">
    <w:name w:val="annotation text"/>
    <w:basedOn w:val="Normal"/>
    <w:link w:val="CommentTextChar"/>
    <w:uiPriority w:val="99"/>
    <w:unhideWhenUsed/>
    <w:rsid w:val="002D5CFE"/>
    <w:pPr>
      <w:spacing w:line="240" w:lineRule="auto"/>
    </w:pPr>
    <w:rPr>
      <w:szCs w:val="20"/>
    </w:rPr>
  </w:style>
  <w:style w:type="character" w:customStyle="1" w:styleId="CommentTextChar">
    <w:name w:val="Comment Text Char"/>
    <w:basedOn w:val="DefaultParagraphFont"/>
    <w:link w:val="CommentText"/>
    <w:uiPriority w:val="99"/>
    <w:rsid w:val="002D5CFE"/>
    <w:rPr>
      <w:sz w:val="20"/>
      <w:szCs w:val="20"/>
    </w:rPr>
  </w:style>
  <w:style w:type="paragraph" w:styleId="CommentSubject">
    <w:name w:val="annotation subject"/>
    <w:basedOn w:val="CommentText"/>
    <w:next w:val="CommentText"/>
    <w:link w:val="CommentSubjectChar"/>
    <w:uiPriority w:val="99"/>
    <w:semiHidden/>
    <w:unhideWhenUsed/>
    <w:rsid w:val="002D5CFE"/>
    <w:rPr>
      <w:b/>
      <w:bCs/>
    </w:rPr>
  </w:style>
  <w:style w:type="character" w:customStyle="1" w:styleId="CommentSubjectChar">
    <w:name w:val="Comment Subject Char"/>
    <w:basedOn w:val="CommentTextChar"/>
    <w:link w:val="CommentSubject"/>
    <w:uiPriority w:val="99"/>
    <w:semiHidden/>
    <w:rsid w:val="002D5CFE"/>
    <w:rPr>
      <w:b/>
      <w:bCs/>
      <w:sz w:val="20"/>
      <w:szCs w:val="20"/>
    </w:rPr>
  </w:style>
  <w:style w:type="paragraph" w:styleId="Caption">
    <w:name w:val="caption"/>
    <w:basedOn w:val="Normal"/>
    <w:next w:val="Normal"/>
    <w:unhideWhenUsed/>
    <w:qFormat/>
    <w:rsid w:val="00A44CD9"/>
    <w:pPr>
      <w:spacing w:after="120" w:line="240" w:lineRule="auto"/>
      <w:ind w:firstLine="0"/>
      <w:jc w:val="center"/>
    </w:pPr>
    <w:rPr>
      <w:b/>
      <w:bCs/>
      <w:szCs w:val="18"/>
    </w:rPr>
  </w:style>
  <w:style w:type="paragraph" w:styleId="Revision">
    <w:name w:val="Revision"/>
    <w:hidden/>
    <w:uiPriority w:val="99"/>
    <w:semiHidden/>
    <w:rsid w:val="006C5E7C"/>
    <w:pPr>
      <w:spacing w:after="0" w:line="240" w:lineRule="auto"/>
    </w:pPr>
  </w:style>
  <w:style w:type="paragraph" w:styleId="BodyText">
    <w:name w:val="Body Text"/>
    <w:basedOn w:val="Normal"/>
    <w:link w:val="BodyTextChar"/>
    <w:uiPriority w:val="99"/>
    <w:rsid w:val="005D332F"/>
    <w:pPr>
      <w:spacing w:after="120" w:line="240" w:lineRule="auto"/>
    </w:pPr>
    <w:rPr>
      <w:rFonts w:ascii="Calibri" w:eastAsia="Calibri" w:hAnsi="Calibri" w:cs="Times New Roman"/>
      <w:szCs w:val="20"/>
      <w:lang w:val="en-GB" w:eastAsia="ja-JP"/>
    </w:rPr>
  </w:style>
  <w:style w:type="character" w:customStyle="1" w:styleId="BodyTextChar">
    <w:name w:val="Body Text Char"/>
    <w:basedOn w:val="DefaultParagraphFont"/>
    <w:link w:val="BodyText"/>
    <w:uiPriority w:val="99"/>
    <w:rsid w:val="005D332F"/>
    <w:rPr>
      <w:rFonts w:ascii="Calibri" w:eastAsia="Calibri" w:hAnsi="Calibri" w:cs="Times New Roman"/>
      <w:szCs w:val="20"/>
      <w:lang w:val="en-GB" w:eastAsia="ja-JP"/>
    </w:rPr>
  </w:style>
  <w:style w:type="paragraph" w:customStyle="1" w:styleId="AR5FigureTableBoxCaptionNumber">
    <w:name w:val="AR5 Figure/Table/Box Caption Number"/>
    <w:basedOn w:val="Normal"/>
    <w:link w:val="AR5FigureTableBoxCaptionNumberChar"/>
    <w:uiPriority w:val="99"/>
    <w:rsid w:val="005D332F"/>
    <w:pPr>
      <w:spacing w:after="120" w:line="240" w:lineRule="auto"/>
    </w:pPr>
    <w:rPr>
      <w:rFonts w:ascii="Arial" w:eastAsia="Calibri" w:hAnsi="Arial" w:cs="Times New Roman"/>
      <w:b/>
      <w:szCs w:val="20"/>
      <w:lang w:val="en-GB" w:eastAsia="ja-JP"/>
    </w:rPr>
  </w:style>
  <w:style w:type="character" w:customStyle="1" w:styleId="AR5FigureTableBoxCaptionNumberChar">
    <w:name w:val="AR5 Figure/Table/Box Caption Number Char"/>
    <w:link w:val="AR5FigureTableBoxCaptionNumber"/>
    <w:uiPriority w:val="99"/>
    <w:locked/>
    <w:rsid w:val="005D332F"/>
    <w:rPr>
      <w:rFonts w:ascii="Arial" w:eastAsia="Calibri" w:hAnsi="Arial" w:cs="Times New Roman"/>
      <w:b/>
      <w:sz w:val="20"/>
      <w:szCs w:val="20"/>
      <w:lang w:val="en-GB" w:eastAsia="ja-JP"/>
    </w:rPr>
  </w:style>
  <w:style w:type="paragraph" w:customStyle="1" w:styleId="AR5FigureCaptionText">
    <w:name w:val="AR5 Figure Caption Text"/>
    <w:basedOn w:val="Normal"/>
    <w:next w:val="Normal"/>
    <w:link w:val="AR5FigureCaptionTextCharChar"/>
    <w:uiPriority w:val="99"/>
    <w:rsid w:val="005D332F"/>
    <w:pPr>
      <w:spacing w:after="240" w:line="240" w:lineRule="auto"/>
    </w:pPr>
    <w:rPr>
      <w:rFonts w:ascii="Arial" w:eastAsia="Calibri" w:hAnsi="Arial" w:cs="Times New Roman"/>
      <w:szCs w:val="20"/>
      <w:lang w:val="en-GB" w:eastAsia="ja-JP"/>
    </w:rPr>
  </w:style>
  <w:style w:type="character" w:customStyle="1" w:styleId="AR5FigureCaptionTextCharChar">
    <w:name w:val="AR5 Figure Caption Text Char Char"/>
    <w:link w:val="AR5FigureCaptionText"/>
    <w:uiPriority w:val="99"/>
    <w:locked/>
    <w:rsid w:val="005D332F"/>
    <w:rPr>
      <w:rFonts w:ascii="Arial" w:eastAsia="Calibri" w:hAnsi="Arial" w:cs="Times New Roman"/>
      <w:sz w:val="20"/>
      <w:szCs w:val="20"/>
      <w:lang w:val="en-GB" w:eastAsia="ja-JP"/>
    </w:rPr>
  </w:style>
  <w:style w:type="paragraph" w:customStyle="1" w:styleId="AR5BodyText">
    <w:name w:val="AR5 Body Text"/>
    <w:basedOn w:val="Normal"/>
    <w:link w:val="AR5BodyTextChar"/>
    <w:rsid w:val="005D332F"/>
    <w:pPr>
      <w:spacing w:after="120" w:line="240" w:lineRule="auto"/>
    </w:pPr>
    <w:rPr>
      <w:rFonts w:ascii="Times" w:eastAsia="Times" w:hAnsi="Times" w:cs="Times New Roman"/>
      <w:sz w:val="24"/>
      <w:szCs w:val="20"/>
      <w:lang w:val="en-GB" w:eastAsia="ja-JP"/>
    </w:rPr>
  </w:style>
  <w:style w:type="character" w:customStyle="1" w:styleId="AR5BodyTextChar">
    <w:name w:val="AR5 Body Text Char"/>
    <w:link w:val="AR5BodyText"/>
    <w:rsid w:val="005D332F"/>
    <w:rPr>
      <w:rFonts w:ascii="Times" w:eastAsia="Times" w:hAnsi="Times" w:cs="Times New Roman"/>
      <w:sz w:val="24"/>
      <w:szCs w:val="20"/>
      <w:lang w:val="en-GB" w:eastAsia="ja-JP"/>
    </w:rPr>
  </w:style>
  <w:style w:type="paragraph" w:styleId="Title">
    <w:name w:val="Title"/>
    <w:basedOn w:val="Normal"/>
    <w:next w:val="Normal"/>
    <w:link w:val="TitleChar"/>
    <w:uiPriority w:val="10"/>
    <w:qFormat/>
    <w:rsid w:val="009F5A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5AB9"/>
    <w:rPr>
      <w:rFonts w:asciiTheme="majorHAnsi" w:eastAsiaTheme="majorEastAsia" w:hAnsiTheme="majorHAnsi" w:cstheme="majorBidi"/>
      <w:color w:val="17365D" w:themeColor="text2" w:themeShade="BF"/>
      <w:spacing w:val="5"/>
      <w:kern w:val="28"/>
      <w:sz w:val="52"/>
      <w:szCs w:val="52"/>
    </w:rPr>
  </w:style>
  <w:style w:type="paragraph" w:styleId="TableofFigures">
    <w:name w:val="table of figures"/>
    <w:basedOn w:val="Normal"/>
    <w:next w:val="Normal"/>
    <w:uiPriority w:val="99"/>
    <w:unhideWhenUsed/>
    <w:rsid w:val="00B56862"/>
  </w:style>
  <w:style w:type="character" w:styleId="Hyperlink">
    <w:name w:val="Hyperlink"/>
    <w:basedOn w:val="DefaultParagraphFont"/>
    <w:uiPriority w:val="99"/>
    <w:unhideWhenUsed/>
    <w:rsid w:val="00B56862"/>
    <w:rPr>
      <w:color w:val="0000FF" w:themeColor="hyperlink"/>
      <w:u w:val="single"/>
    </w:rPr>
  </w:style>
  <w:style w:type="paragraph" w:styleId="FootnoteText">
    <w:name w:val="footnote text"/>
    <w:basedOn w:val="Normal"/>
    <w:link w:val="FootnoteTextChar"/>
    <w:uiPriority w:val="99"/>
    <w:semiHidden/>
    <w:unhideWhenUsed/>
    <w:rsid w:val="008D325F"/>
    <w:pPr>
      <w:spacing w:line="240" w:lineRule="auto"/>
    </w:pPr>
    <w:rPr>
      <w:szCs w:val="20"/>
    </w:rPr>
  </w:style>
  <w:style w:type="character" w:customStyle="1" w:styleId="FootnoteTextChar">
    <w:name w:val="Footnote Text Char"/>
    <w:basedOn w:val="DefaultParagraphFont"/>
    <w:link w:val="FootnoteText"/>
    <w:uiPriority w:val="99"/>
    <w:semiHidden/>
    <w:rsid w:val="008D325F"/>
    <w:rPr>
      <w:sz w:val="20"/>
      <w:szCs w:val="20"/>
    </w:rPr>
  </w:style>
  <w:style w:type="character" w:styleId="FootnoteReference">
    <w:name w:val="footnote reference"/>
    <w:basedOn w:val="DefaultParagraphFont"/>
    <w:uiPriority w:val="99"/>
    <w:semiHidden/>
    <w:unhideWhenUsed/>
    <w:rsid w:val="008D325F"/>
    <w:rPr>
      <w:vertAlign w:val="superscript"/>
    </w:rPr>
  </w:style>
  <w:style w:type="paragraph" w:styleId="Header">
    <w:name w:val="header"/>
    <w:basedOn w:val="Normal"/>
    <w:link w:val="HeaderChar"/>
    <w:uiPriority w:val="99"/>
    <w:unhideWhenUsed/>
    <w:rsid w:val="00E92A1C"/>
    <w:pPr>
      <w:tabs>
        <w:tab w:val="center" w:pos="4680"/>
        <w:tab w:val="right" w:pos="9360"/>
      </w:tabs>
      <w:spacing w:line="240" w:lineRule="auto"/>
    </w:pPr>
  </w:style>
  <w:style w:type="character" w:customStyle="1" w:styleId="HeaderChar">
    <w:name w:val="Header Char"/>
    <w:basedOn w:val="DefaultParagraphFont"/>
    <w:link w:val="Header"/>
    <w:uiPriority w:val="99"/>
    <w:rsid w:val="00E92A1C"/>
  </w:style>
  <w:style w:type="paragraph" w:styleId="Footer">
    <w:name w:val="footer"/>
    <w:basedOn w:val="Normal"/>
    <w:link w:val="FooterChar"/>
    <w:uiPriority w:val="99"/>
    <w:unhideWhenUsed/>
    <w:rsid w:val="00E92A1C"/>
    <w:pPr>
      <w:tabs>
        <w:tab w:val="center" w:pos="4680"/>
        <w:tab w:val="right" w:pos="9360"/>
      </w:tabs>
      <w:spacing w:line="240" w:lineRule="auto"/>
    </w:pPr>
  </w:style>
  <w:style w:type="character" w:customStyle="1" w:styleId="FooterChar">
    <w:name w:val="Footer Char"/>
    <w:basedOn w:val="DefaultParagraphFont"/>
    <w:link w:val="Footer"/>
    <w:uiPriority w:val="99"/>
    <w:rsid w:val="00E92A1C"/>
  </w:style>
  <w:style w:type="character" w:customStyle="1" w:styleId="journalvolume">
    <w:name w:val="journalvolume"/>
    <w:rsid w:val="00C243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4500"/>
    <w:pPr>
      <w:spacing w:after="0"/>
      <w:ind w:firstLine="720"/>
    </w:pPr>
    <w:rPr>
      <w:rFonts w:ascii="Times New Roman" w:hAnsi="Times New Roman"/>
      <w:sz w:val="20"/>
    </w:rPr>
  </w:style>
  <w:style w:type="paragraph" w:styleId="Heading1">
    <w:name w:val="heading 1"/>
    <w:basedOn w:val="Normal"/>
    <w:next w:val="Normal"/>
    <w:link w:val="Heading1Char"/>
    <w:uiPriority w:val="9"/>
    <w:qFormat/>
    <w:rsid w:val="00C71E25"/>
    <w:pPr>
      <w:keepNext/>
      <w:keepLines/>
      <w:numPr>
        <w:numId w:val="9"/>
      </w:numPr>
      <w:spacing w:before="240" w:after="240"/>
      <w:outlineLvl w:val="0"/>
    </w:pPr>
    <w:rPr>
      <w:rFonts w:eastAsiaTheme="majorEastAsia" w:cstheme="minorHAnsi"/>
      <w:b/>
      <w:bCs/>
      <w:szCs w:val="28"/>
    </w:rPr>
  </w:style>
  <w:style w:type="paragraph" w:styleId="Heading2">
    <w:name w:val="heading 2"/>
    <w:basedOn w:val="Heading1"/>
    <w:next w:val="Normal"/>
    <w:link w:val="Heading2Char"/>
    <w:uiPriority w:val="9"/>
    <w:unhideWhenUsed/>
    <w:qFormat/>
    <w:rsid w:val="00DD3015"/>
    <w:pPr>
      <w:numPr>
        <w:ilvl w:val="1"/>
      </w:numPr>
      <w:spacing w:before="120" w:after="120"/>
      <w:outlineLvl w:val="1"/>
    </w:pPr>
  </w:style>
  <w:style w:type="paragraph" w:styleId="Heading3">
    <w:name w:val="heading 3"/>
    <w:basedOn w:val="Normal"/>
    <w:link w:val="Heading3Char"/>
    <w:uiPriority w:val="9"/>
    <w:qFormat/>
    <w:rsid w:val="006E7752"/>
    <w:pPr>
      <w:spacing w:line="240" w:lineRule="auto"/>
      <w:outlineLvl w:val="2"/>
    </w:pPr>
    <w:rPr>
      <w:rFonts w:eastAsia="Times New Roman" w:cs="Times New Roman"/>
      <w:color w:val="3333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4F70"/>
    <w:pPr>
      <w:ind w:left="720"/>
      <w:contextualSpacing/>
    </w:pPr>
  </w:style>
  <w:style w:type="paragraph" w:styleId="BalloonText">
    <w:name w:val="Balloon Text"/>
    <w:basedOn w:val="Normal"/>
    <w:link w:val="BalloonTextChar"/>
    <w:uiPriority w:val="99"/>
    <w:semiHidden/>
    <w:unhideWhenUsed/>
    <w:rsid w:val="002B5A7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75"/>
    <w:rPr>
      <w:rFonts w:ascii="Tahoma" w:hAnsi="Tahoma" w:cs="Tahoma"/>
      <w:sz w:val="16"/>
      <w:szCs w:val="16"/>
    </w:rPr>
  </w:style>
  <w:style w:type="table" w:styleId="TableGrid">
    <w:name w:val="Table Grid"/>
    <w:basedOn w:val="TableNormal"/>
    <w:uiPriority w:val="59"/>
    <w:rsid w:val="00472F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6E7752"/>
    <w:rPr>
      <w:rFonts w:ascii="Times New Roman" w:eastAsia="Times New Roman" w:hAnsi="Times New Roman" w:cs="Times New Roman"/>
      <w:color w:val="333333"/>
      <w:sz w:val="18"/>
      <w:szCs w:val="18"/>
    </w:rPr>
  </w:style>
  <w:style w:type="paragraph" w:styleId="NormalWeb">
    <w:name w:val="Normal (Web)"/>
    <w:basedOn w:val="Normal"/>
    <w:uiPriority w:val="99"/>
    <w:semiHidden/>
    <w:unhideWhenUsed/>
    <w:rsid w:val="006E7752"/>
    <w:pPr>
      <w:spacing w:before="100" w:beforeAutospacing="1" w:after="100" w:afterAutospacing="1" w:line="240" w:lineRule="auto"/>
    </w:pPr>
    <w:rPr>
      <w:rFonts w:eastAsia="Times New Roman" w:cs="Times New Roman"/>
      <w:sz w:val="17"/>
      <w:szCs w:val="17"/>
    </w:rPr>
  </w:style>
  <w:style w:type="character" w:styleId="Strong">
    <w:name w:val="Strong"/>
    <w:basedOn w:val="DefaultParagraphFont"/>
    <w:uiPriority w:val="22"/>
    <w:qFormat/>
    <w:rsid w:val="006E7752"/>
    <w:rPr>
      <w:b/>
      <w:bCs/>
    </w:rPr>
  </w:style>
  <w:style w:type="character" w:customStyle="1" w:styleId="Heading1Char">
    <w:name w:val="Heading 1 Char"/>
    <w:basedOn w:val="DefaultParagraphFont"/>
    <w:link w:val="Heading1"/>
    <w:uiPriority w:val="9"/>
    <w:rsid w:val="00C71E25"/>
    <w:rPr>
      <w:rFonts w:ascii="Times New Roman" w:eastAsiaTheme="majorEastAsia" w:hAnsi="Times New Roman" w:cstheme="minorHAnsi"/>
      <w:b/>
      <w:bCs/>
      <w:sz w:val="20"/>
      <w:szCs w:val="28"/>
    </w:rPr>
  </w:style>
  <w:style w:type="character" w:customStyle="1" w:styleId="Heading2Char">
    <w:name w:val="Heading 2 Char"/>
    <w:basedOn w:val="DefaultParagraphFont"/>
    <w:link w:val="Heading2"/>
    <w:uiPriority w:val="9"/>
    <w:rsid w:val="00DD3015"/>
    <w:rPr>
      <w:rFonts w:eastAsiaTheme="majorEastAsia" w:cstheme="minorHAnsi"/>
      <w:b/>
      <w:bCs/>
      <w:sz w:val="28"/>
      <w:szCs w:val="28"/>
    </w:rPr>
  </w:style>
  <w:style w:type="character" w:styleId="CommentReference">
    <w:name w:val="annotation reference"/>
    <w:basedOn w:val="DefaultParagraphFont"/>
    <w:uiPriority w:val="99"/>
    <w:semiHidden/>
    <w:unhideWhenUsed/>
    <w:rsid w:val="002D5CFE"/>
    <w:rPr>
      <w:sz w:val="16"/>
      <w:szCs w:val="16"/>
    </w:rPr>
  </w:style>
  <w:style w:type="paragraph" w:styleId="CommentText">
    <w:name w:val="annotation text"/>
    <w:basedOn w:val="Normal"/>
    <w:link w:val="CommentTextChar"/>
    <w:uiPriority w:val="99"/>
    <w:unhideWhenUsed/>
    <w:rsid w:val="002D5CFE"/>
    <w:pPr>
      <w:spacing w:line="240" w:lineRule="auto"/>
    </w:pPr>
    <w:rPr>
      <w:szCs w:val="20"/>
    </w:rPr>
  </w:style>
  <w:style w:type="character" w:customStyle="1" w:styleId="CommentTextChar">
    <w:name w:val="Comment Text Char"/>
    <w:basedOn w:val="DefaultParagraphFont"/>
    <w:link w:val="CommentText"/>
    <w:uiPriority w:val="99"/>
    <w:rsid w:val="002D5CFE"/>
    <w:rPr>
      <w:sz w:val="20"/>
      <w:szCs w:val="20"/>
    </w:rPr>
  </w:style>
  <w:style w:type="paragraph" w:styleId="CommentSubject">
    <w:name w:val="annotation subject"/>
    <w:basedOn w:val="CommentText"/>
    <w:next w:val="CommentText"/>
    <w:link w:val="CommentSubjectChar"/>
    <w:uiPriority w:val="99"/>
    <w:semiHidden/>
    <w:unhideWhenUsed/>
    <w:rsid w:val="002D5CFE"/>
    <w:rPr>
      <w:b/>
      <w:bCs/>
    </w:rPr>
  </w:style>
  <w:style w:type="character" w:customStyle="1" w:styleId="CommentSubjectChar">
    <w:name w:val="Comment Subject Char"/>
    <w:basedOn w:val="CommentTextChar"/>
    <w:link w:val="CommentSubject"/>
    <w:uiPriority w:val="99"/>
    <w:semiHidden/>
    <w:rsid w:val="002D5CFE"/>
    <w:rPr>
      <w:b/>
      <w:bCs/>
      <w:sz w:val="20"/>
      <w:szCs w:val="20"/>
    </w:rPr>
  </w:style>
  <w:style w:type="paragraph" w:styleId="Caption">
    <w:name w:val="caption"/>
    <w:basedOn w:val="Normal"/>
    <w:next w:val="Normal"/>
    <w:unhideWhenUsed/>
    <w:qFormat/>
    <w:rsid w:val="00A44CD9"/>
    <w:pPr>
      <w:spacing w:after="120" w:line="240" w:lineRule="auto"/>
      <w:ind w:firstLine="0"/>
      <w:jc w:val="center"/>
    </w:pPr>
    <w:rPr>
      <w:b/>
      <w:bCs/>
      <w:szCs w:val="18"/>
    </w:rPr>
  </w:style>
  <w:style w:type="paragraph" w:styleId="Revision">
    <w:name w:val="Revision"/>
    <w:hidden/>
    <w:uiPriority w:val="99"/>
    <w:semiHidden/>
    <w:rsid w:val="006C5E7C"/>
    <w:pPr>
      <w:spacing w:after="0" w:line="240" w:lineRule="auto"/>
    </w:pPr>
  </w:style>
  <w:style w:type="paragraph" w:styleId="BodyText">
    <w:name w:val="Body Text"/>
    <w:basedOn w:val="Normal"/>
    <w:link w:val="BodyTextChar"/>
    <w:uiPriority w:val="99"/>
    <w:rsid w:val="005D332F"/>
    <w:pPr>
      <w:spacing w:after="120" w:line="240" w:lineRule="auto"/>
    </w:pPr>
    <w:rPr>
      <w:rFonts w:ascii="Calibri" w:eastAsia="Calibri" w:hAnsi="Calibri" w:cs="Times New Roman"/>
      <w:szCs w:val="20"/>
      <w:lang w:val="en-GB" w:eastAsia="ja-JP"/>
    </w:rPr>
  </w:style>
  <w:style w:type="character" w:customStyle="1" w:styleId="BodyTextChar">
    <w:name w:val="Body Text Char"/>
    <w:basedOn w:val="DefaultParagraphFont"/>
    <w:link w:val="BodyText"/>
    <w:uiPriority w:val="99"/>
    <w:rsid w:val="005D332F"/>
    <w:rPr>
      <w:rFonts w:ascii="Calibri" w:eastAsia="Calibri" w:hAnsi="Calibri" w:cs="Times New Roman"/>
      <w:szCs w:val="20"/>
      <w:lang w:val="en-GB" w:eastAsia="ja-JP"/>
    </w:rPr>
  </w:style>
  <w:style w:type="paragraph" w:customStyle="1" w:styleId="AR5FigureTableBoxCaptionNumber">
    <w:name w:val="AR5 Figure/Table/Box Caption Number"/>
    <w:basedOn w:val="Normal"/>
    <w:link w:val="AR5FigureTableBoxCaptionNumberChar"/>
    <w:uiPriority w:val="99"/>
    <w:rsid w:val="005D332F"/>
    <w:pPr>
      <w:spacing w:after="120" w:line="240" w:lineRule="auto"/>
    </w:pPr>
    <w:rPr>
      <w:rFonts w:ascii="Arial" w:eastAsia="Calibri" w:hAnsi="Arial" w:cs="Times New Roman"/>
      <w:b/>
      <w:szCs w:val="20"/>
      <w:lang w:val="en-GB" w:eastAsia="ja-JP"/>
    </w:rPr>
  </w:style>
  <w:style w:type="character" w:customStyle="1" w:styleId="AR5FigureTableBoxCaptionNumberChar">
    <w:name w:val="AR5 Figure/Table/Box Caption Number Char"/>
    <w:link w:val="AR5FigureTableBoxCaptionNumber"/>
    <w:uiPriority w:val="99"/>
    <w:locked/>
    <w:rsid w:val="005D332F"/>
    <w:rPr>
      <w:rFonts w:ascii="Arial" w:eastAsia="Calibri" w:hAnsi="Arial" w:cs="Times New Roman"/>
      <w:b/>
      <w:sz w:val="20"/>
      <w:szCs w:val="20"/>
      <w:lang w:val="en-GB" w:eastAsia="ja-JP"/>
    </w:rPr>
  </w:style>
  <w:style w:type="paragraph" w:customStyle="1" w:styleId="AR5FigureCaptionText">
    <w:name w:val="AR5 Figure Caption Text"/>
    <w:basedOn w:val="Normal"/>
    <w:next w:val="Normal"/>
    <w:link w:val="AR5FigureCaptionTextCharChar"/>
    <w:uiPriority w:val="99"/>
    <w:rsid w:val="005D332F"/>
    <w:pPr>
      <w:spacing w:after="240" w:line="240" w:lineRule="auto"/>
    </w:pPr>
    <w:rPr>
      <w:rFonts w:ascii="Arial" w:eastAsia="Calibri" w:hAnsi="Arial" w:cs="Times New Roman"/>
      <w:szCs w:val="20"/>
      <w:lang w:val="en-GB" w:eastAsia="ja-JP"/>
    </w:rPr>
  </w:style>
  <w:style w:type="character" w:customStyle="1" w:styleId="AR5FigureCaptionTextCharChar">
    <w:name w:val="AR5 Figure Caption Text Char Char"/>
    <w:link w:val="AR5FigureCaptionText"/>
    <w:uiPriority w:val="99"/>
    <w:locked/>
    <w:rsid w:val="005D332F"/>
    <w:rPr>
      <w:rFonts w:ascii="Arial" w:eastAsia="Calibri" w:hAnsi="Arial" w:cs="Times New Roman"/>
      <w:sz w:val="20"/>
      <w:szCs w:val="20"/>
      <w:lang w:val="en-GB" w:eastAsia="ja-JP"/>
    </w:rPr>
  </w:style>
  <w:style w:type="paragraph" w:customStyle="1" w:styleId="AR5BodyText">
    <w:name w:val="AR5 Body Text"/>
    <w:basedOn w:val="Normal"/>
    <w:link w:val="AR5BodyTextChar"/>
    <w:rsid w:val="005D332F"/>
    <w:pPr>
      <w:spacing w:after="120" w:line="240" w:lineRule="auto"/>
    </w:pPr>
    <w:rPr>
      <w:rFonts w:ascii="Times" w:eastAsia="Times" w:hAnsi="Times" w:cs="Times New Roman"/>
      <w:sz w:val="24"/>
      <w:szCs w:val="20"/>
      <w:lang w:val="en-GB" w:eastAsia="ja-JP"/>
    </w:rPr>
  </w:style>
  <w:style w:type="character" w:customStyle="1" w:styleId="AR5BodyTextChar">
    <w:name w:val="AR5 Body Text Char"/>
    <w:link w:val="AR5BodyText"/>
    <w:rsid w:val="005D332F"/>
    <w:rPr>
      <w:rFonts w:ascii="Times" w:eastAsia="Times" w:hAnsi="Times" w:cs="Times New Roman"/>
      <w:sz w:val="24"/>
      <w:szCs w:val="20"/>
      <w:lang w:val="en-GB" w:eastAsia="ja-JP"/>
    </w:rPr>
  </w:style>
  <w:style w:type="paragraph" w:styleId="Title">
    <w:name w:val="Title"/>
    <w:basedOn w:val="Normal"/>
    <w:next w:val="Normal"/>
    <w:link w:val="TitleChar"/>
    <w:uiPriority w:val="10"/>
    <w:qFormat/>
    <w:rsid w:val="009F5AB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F5AB9"/>
    <w:rPr>
      <w:rFonts w:asciiTheme="majorHAnsi" w:eastAsiaTheme="majorEastAsia" w:hAnsiTheme="majorHAnsi" w:cstheme="majorBidi"/>
      <w:color w:val="17365D" w:themeColor="text2" w:themeShade="BF"/>
      <w:spacing w:val="5"/>
      <w:kern w:val="28"/>
      <w:sz w:val="52"/>
      <w:szCs w:val="52"/>
    </w:rPr>
  </w:style>
  <w:style w:type="paragraph" w:styleId="TableofFigures">
    <w:name w:val="table of figures"/>
    <w:basedOn w:val="Normal"/>
    <w:next w:val="Normal"/>
    <w:uiPriority w:val="99"/>
    <w:unhideWhenUsed/>
    <w:rsid w:val="00B56862"/>
  </w:style>
  <w:style w:type="character" w:styleId="Hyperlink">
    <w:name w:val="Hyperlink"/>
    <w:basedOn w:val="DefaultParagraphFont"/>
    <w:uiPriority w:val="99"/>
    <w:unhideWhenUsed/>
    <w:rsid w:val="00B56862"/>
    <w:rPr>
      <w:color w:val="0000FF" w:themeColor="hyperlink"/>
      <w:u w:val="single"/>
    </w:rPr>
  </w:style>
  <w:style w:type="paragraph" w:styleId="FootnoteText">
    <w:name w:val="footnote text"/>
    <w:basedOn w:val="Normal"/>
    <w:link w:val="FootnoteTextChar"/>
    <w:uiPriority w:val="99"/>
    <w:semiHidden/>
    <w:unhideWhenUsed/>
    <w:rsid w:val="008D325F"/>
    <w:pPr>
      <w:spacing w:line="240" w:lineRule="auto"/>
    </w:pPr>
    <w:rPr>
      <w:szCs w:val="20"/>
    </w:rPr>
  </w:style>
  <w:style w:type="character" w:customStyle="1" w:styleId="FootnoteTextChar">
    <w:name w:val="Footnote Text Char"/>
    <w:basedOn w:val="DefaultParagraphFont"/>
    <w:link w:val="FootnoteText"/>
    <w:uiPriority w:val="99"/>
    <w:semiHidden/>
    <w:rsid w:val="008D325F"/>
    <w:rPr>
      <w:sz w:val="20"/>
      <w:szCs w:val="20"/>
    </w:rPr>
  </w:style>
  <w:style w:type="character" w:styleId="FootnoteReference">
    <w:name w:val="footnote reference"/>
    <w:basedOn w:val="DefaultParagraphFont"/>
    <w:uiPriority w:val="99"/>
    <w:semiHidden/>
    <w:unhideWhenUsed/>
    <w:rsid w:val="008D325F"/>
    <w:rPr>
      <w:vertAlign w:val="superscript"/>
    </w:rPr>
  </w:style>
  <w:style w:type="paragraph" w:styleId="Header">
    <w:name w:val="header"/>
    <w:basedOn w:val="Normal"/>
    <w:link w:val="HeaderChar"/>
    <w:uiPriority w:val="99"/>
    <w:unhideWhenUsed/>
    <w:rsid w:val="00E92A1C"/>
    <w:pPr>
      <w:tabs>
        <w:tab w:val="center" w:pos="4680"/>
        <w:tab w:val="right" w:pos="9360"/>
      </w:tabs>
      <w:spacing w:line="240" w:lineRule="auto"/>
    </w:pPr>
  </w:style>
  <w:style w:type="character" w:customStyle="1" w:styleId="HeaderChar">
    <w:name w:val="Header Char"/>
    <w:basedOn w:val="DefaultParagraphFont"/>
    <w:link w:val="Header"/>
    <w:uiPriority w:val="99"/>
    <w:rsid w:val="00E92A1C"/>
  </w:style>
  <w:style w:type="paragraph" w:styleId="Footer">
    <w:name w:val="footer"/>
    <w:basedOn w:val="Normal"/>
    <w:link w:val="FooterChar"/>
    <w:uiPriority w:val="99"/>
    <w:unhideWhenUsed/>
    <w:rsid w:val="00E92A1C"/>
    <w:pPr>
      <w:tabs>
        <w:tab w:val="center" w:pos="4680"/>
        <w:tab w:val="right" w:pos="9360"/>
      </w:tabs>
      <w:spacing w:line="240" w:lineRule="auto"/>
    </w:pPr>
  </w:style>
  <w:style w:type="character" w:customStyle="1" w:styleId="FooterChar">
    <w:name w:val="Footer Char"/>
    <w:basedOn w:val="DefaultParagraphFont"/>
    <w:link w:val="Footer"/>
    <w:uiPriority w:val="99"/>
    <w:rsid w:val="00E92A1C"/>
  </w:style>
  <w:style w:type="character" w:customStyle="1" w:styleId="journalvolume">
    <w:name w:val="journalvolume"/>
    <w:rsid w:val="00C24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162218">
      <w:bodyDiv w:val="1"/>
      <w:marLeft w:val="0"/>
      <w:marRight w:val="0"/>
      <w:marTop w:val="0"/>
      <w:marBottom w:val="0"/>
      <w:divBdr>
        <w:top w:val="none" w:sz="0" w:space="0" w:color="auto"/>
        <w:left w:val="none" w:sz="0" w:space="0" w:color="auto"/>
        <w:bottom w:val="none" w:sz="0" w:space="0" w:color="auto"/>
        <w:right w:val="none" w:sz="0" w:space="0" w:color="auto"/>
      </w:divBdr>
    </w:div>
    <w:div w:id="830829874">
      <w:bodyDiv w:val="1"/>
      <w:marLeft w:val="0"/>
      <w:marRight w:val="0"/>
      <w:marTop w:val="0"/>
      <w:marBottom w:val="0"/>
      <w:divBdr>
        <w:top w:val="none" w:sz="0" w:space="0" w:color="auto"/>
        <w:left w:val="none" w:sz="0" w:space="0" w:color="auto"/>
        <w:bottom w:val="none" w:sz="0" w:space="0" w:color="auto"/>
        <w:right w:val="none" w:sz="0" w:space="0" w:color="auto"/>
      </w:divBdr>
    </w:div>
    <w:div w:id="1265723222">
      <w:bodyDiv w:val="1"/>
      <w:marLeft w:val="0"/>
      <w:marRight w:val="0"/>
      <w:marTop w:val="0"/>
      <w:marBottom w:val="15"/>
      <w:divBdr>
        <w:top w:val="none" w:sz="0" w:space="0" w:color="auto"/>
        <w:left w:val="none" w:sz="0" w:space="0" w:color="auto"/>
        <w:bottom w:val="none" w:sz="0" w:space="0" w:color="auto"/>
        <w:right w:val="none" w:sz="0" w:space="0" w:color="auto"/>
      </w:divBdr>
      <w:divsChild>
        <w:div w:id="837115672">
          <w:marLeft w:val="0"/>
          <w:marRight w:val="0"/>
          <w:marTop w:val="0"/>
          <w:marBottom w:val="0"/>
          <w:divBdr>
            <w:top w:val="none" w:sz="0" w:space="0" w:color="auto"/>
            <w:left w:val="none" w:sz="0" w:space="0" w:color="auto"/>
            <w:bottom w:val="none" w:sz="0" w:space="0" w:color="auto"/>
            <w:right w:val="none" w:sz="0" w:space="0" w:color="auto"/>
          </w:divBdr>
          <w:divsChild>
            <w:div w:id="1583758195">
              <w:marLeft w:val="0"/>
              <w:marRight w:val="352"/>
              <w:marTop w:val="0"/>
              <w:marBottom w:val="0"/>
              <w:divBdr>
                <w:top w:val="none" w:sz="0" w:space="0" w:color="auto"/>
                <w:left w:val="none" w:sz="0" w:space="0" w:color="auto"/>
                <w:bottom w:val="none" w:sz="0" w:space="0" w:color="auto"/>
                <w:right w:val="none" w:sz="0" w:space="0" w:color="auto"/>
              </w:divBdr>
              <w:divsChild>
                <w:div w:id="1525097347">
                  <w:marLeft w:val="0"/>
                  <w:marRight w:val="0"/>
                  <w:marTop w:val="0"/>
                  <w:marBottom w:val="0"/>
                  <w:divBdr>
                    <w:top w:val="none" w:sz="0" w:space="0" w:color="auto"/>
                    <w:left w:val="none" w:sz="0" w:space="0" w:color="auto"/>
                    <w:bottom w:val="none" w:sz="0" w:space="0" w:color="auto"/>
                    <w:right w:val="none" w:sz="0" w:space="0" w:color="auto"/>
                  </w:divBdr>
                  <w:divsChild>
                    <w:div w:id="720325406">
                      <w:marLeft w:val="0"/>
                      <w:marRight w:val="0"/>
                      <w:marTop w:val="0"/>
                      <w:marBottom w:val="0"/>
                      <w:divBdr>
                        <w:top w:val="none" w:sz="0" w:space="0" w:color="auto"/>
                        <w:left w:val="none" w:sz="0" w:space="0" w:color="auto"/>
                        <w:bottom w:val="none" w:sz="0" w:space="0" w:color="auto"/>
                        <w:right w:val="none" w:sz="0" w:space="0" w:color="auto"/>
                      </w:divBdr>
                      <w:divsChild>
                        <w:div w:id="892231364">
                          <w:marLeft w:val="0"/>
                          <w:marRight w:val="0"/>
                          <w:marTop w:val="0"/>
                          <w:marBottom w:val="0"/>
                          <w:divBdr>
                            <w:top w:val="none" w:sz="0" w:space="0" w:color="auto"/>
                            <w:left w:val="none" w:sz="0" w:space="0" w:color="auto"/>
                            <w:bottom w:val="none" w:sz="0" w:space="0" w:color="auto"/>
                            <w:right w:val="none" w:sz="0" w:space="0" w:color="auto"/>
                          </w:divBdr>
                          <w:divsChild>
                            <w:div w:id="98608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588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png"/><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emf"/><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image" Target="media/image1.emf"/><Relationship Id="rId19"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D6284-E1FB-43A0-97EA-AC335FF8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9064</Words>
  <Characters>51667</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60610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jmcfarla</dc:creator>
  <cp:lastModifiedBy>John Weyant</cp:lastModifiedBy>
  <cp:revision>2</cp:revision>
  <cp:lastPrinted>2013-04-08T15:36:00Z</cp:lastPrinted>
  <dcterms:created xsi:type="dcterms:W3CDTF">2014-01-25T23:28:00Z</dcterms:created>
  <dcterms:modified xsi:type="dcterms:W3CDTF">2014-01-25T23:28:00Z</dcterms:modified>
</cp:coreProperties>
</file>