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17CA" w14:textId="77777777" w:rsidR="005C4FEE" w:rsidRDefault="005C4FEE" w:rsidP="00B13BC0">
      <w:pPr>
        <w:jc w:val="center"/>
      </w:pPr>
    </w:p>
    <w:p w14:paraId="2B1D1699" w14:textId="4F13DE9D" w:rsidR="005C4FEE" w:rsidRDefault="00F16192" w:rsidP="00B13BC0">
      <w:pPr>
        <w:jc w:val="center"/>
        <w:rPr>
          <w:b/>
          <w:bCs/>
        </w:rPr>
      </w:pPr>
      <w:r w:rsidRPr="005C4FEE">
        <w:rPr>
          <w:b/>
          <w:bCs/>
        </w:rPr>
        <w:t xml:space="preserve">This document has been prepared as part of the implementation project of Legal Pathways to Deep Decarbonization (Michael B. Gerrard and John C. </w:t>
      </w:r>
      <w:proofErr w:type="spellStart"/>
      <w:r w:rsidRPr="005C4FEE">
        <w:rPr>
          <w:b/>
          <w:bCs/>
        </w:rPr>
        <w:t>Dernbach</w:t>
      </w:r>
      <w:proofErr w:type="spellEnd"/>
      <w:r w:rsidRPr="005C4FEE">
        <w:rPr>
          <w:b/>
          <w:bCs/>
        </w:rPr>
        <w:t xml:space="preserve">, eds. Environmental </w:t>
      </w:r>
      <w:proofErr w:type="spellStart"/>
      <w:r w:rsidRPr="005C4FEE">
        <w:rPr>
          <w:b/>
          <w:bCs/>
        </w:rPr>
        <w:t>LawInstitute</w:t>
      </w:r>
      <w:proofErr w:type="spellEnd"/>
      <w:r w:rsidRPr="005C4FEE">
        <w:rPr>
          <w:b/>
          <w:bCs/>
        </w:rPr>
        <w:t xml:space="preserve"> [2019]) (LPDD).  For background information on the project, see </w:t>
      </w:r>
      <w:r w:rsidRPr="006A30A6">
        <w:rPr>
          <w:b/>
          <w:bCs/>
        </w:rPr>
        <w:t>https://lpdd.org</w:t>
      </w:r>
    </w:p>
    <w:p w14:paraId="38A3FE93" w14:textId="3E576382" w:rsidR="005C4FEE" w:rsidRPr="005C4FEE" w:rsidRDefault="00F16192" w:rsidP="00B13BC0">
      <w:pPr>
        <w:jc w:val="center"/>
        <w:rPr>
          <w:b/>
          <w:bCs/>
        </w:rPr>
      </w:pPr>
      <w:r>
        <w:rPr>
          <w:b/>
          <w:bCs/>
        </w:rPr>
        <w:t>MODEL ORDINANCE ON DESIGNATION OF PARKING SPACES FOR ELECTRIC VEHICLES AND INSTALLATION OF ELECTRIC CHARGING DEVICES</w:t>
      </w:r>
    </w:p>
    <w:p w14:paraId="0316799D" w14:textId="770237A1" w:rsidR="00B13BC0" w:rsidRPr="007D1B43" w:rsidRDefault="00F16192" w:rsidP="00B13BC0">
      <w:pPr>
        <w:jc w:val="center"/>
      </w:pPr>
      <w:r w:rsidRPr="007D1B43">
        <w:t>Ordinance No. [</w:t>
      </w:r>
      <w:r>
        <w:rPr>
          <w:i/>
        </w:rPr>
        <w:t>Number</w:t>
      </w:r>
      <w:r w:rsidRPr="007D1B43">
        <w:t>]</w:t>
      </w:r>
    </w:p>
    <w:p w14:paraId="1044379B" w14:textId="77777777" w:rsidR="00B13BC0" w:rsidRDefault="00B13BC0" w:rsidP="00B13BC0">
      <w:pPr>
        <w:jc w:val="center"/>
      </w:pPr>
    </w:p>
    <w:p w14:paraId="2415F84D" w14:textId="77777777" w:rsidR="00B13BC0" w:rsidRPr="00A6132B" w:rsidRDefault="00F16192" w:rsidP="00B13BC0">
      <w:pPr>
        <w:jc w:val="both"/>
      </w:pPr>
      <w:r>
        <w:t>Sponsored by [</w:t>
      </w:r>
      <w:r>
        <w:rPr>
          <w:i/>
        </w:rPr>
        <w:t>Sponsor</w:t>
      </w:r>
      <w:r>
        <w:t>]</w:t>
      </w:r>
    </w:p>
    <w:p w14:paraId="79E354EC" w14:textId="77777777" w:rsidR="00B13BC0" w:rsidRPr="00A6132B" w:rsidRDefault="00B13BC0" w:rsidP="00B13BC0">
      <w:pPr>
        <w:pStyle w:val="BodyText"/>
        <w:jc w:val="center"/>
      </w:pPr>
    </w:p>
    <w:p w14:paraId="213DCF5B" w14:textId="77777777" w:rsidR="00B13BC0" w:rsidRDefault="00F16192" w:rsidP="00B13BC0">
      <w:pPr>
        <w:pStyle w:val="BodyText"/>
        <w:jc w:val="center"/>
      </w:pPr>
      <w:r>
        <w:t>AN ORDINANCE OF THE</w:t>
      </w:r>
    </w:p>
    <w:p w14:paraId="5B48A601" w14:textId="77777777" w:rsidR="00B13BC0" w:rsidRDefault="00F16192" w:rsidP="00B13BC0">
      <w:pPr>
        <w:pStyle w:val="BodyText"/>
        <w:jc w:val="center"/>
      </w:pPr>
      <w:r>
        <w:t>[LEGISLATIVE</w:t>
      </w:r>
      <w:r w:rsidRPr="002C3A63">
        <w:t xml:space="preserve"> BODY</w:t>
      </w:r>
      <w:r>
        <w:t xml:space="preserve">] OF </w:t>
      </w:r>
    </w:p>
    <w:p w14:paraId="0D156D4D" w14:textId="77777777" w:rsidR="00B13BC0" w:rsidRDefault="00F16192" w:rsidP="00B13BC0">
      <w:pPr>
        <w:pStyle w:val="BodyText"/>
        <w:jc w:val="center"/>
      </w:pPr>
      <w:r>
        <w:t>[</w:t>
      </w:r>
      <w:r w:rsidRPr="002C3A63">
        <w:t>NAME OF LOCALITY</w:t>
      </w:r>
      <w:r>
        <w:t>]</w:t>
      </w:r>
    </w:p>
    <w:p w14:paraId="0A0EDCE5" w14:textId="77777777" w:rsidR="00B13BC0" w:rsidRDefault="00B13BC0" w:rsidP="00B13BC0">
      <w:pPr>
        <w:pStyle w:val="BodyText"/>
      </w:pPr>
    </w:p>
    <w:p w14:paraId="773D0053" w14:textId="0C1AD5EE" w:rsidR="00B13BC0" w:rsidRDefault="00F16192" w:rsidP="00B13BC0">
      <w:pPr>
        <w:pStyle w:val="BodyText"/>
        <w:rPr>
          <w:color w:val="00B0F0"/>
        </w:rPr>
      </w:pPr>
      <w:r>
        <w:t xml:space="preserve">In relation to </w:t>
      </w:r>
      <w:r w:rsidR="00AA1563">
        <w:t xml:space="preserve">the </w:t>
      </w:r>
      <w:r w:rsidR="00AA1563" w:rsidRPr="00AA1563">
        <w:t>designation of parking spaces for electric vehicles and installation of electric vehicle charging</w:t>
      </w:r>
      <w:r w:rsidR="00C85854">
        <w:t xml:space="preserve"> stations</w:t>
      </w:r>
      <w:r w:rsidR="00AA1563">
        <w:t>.</w:t>
      </w:r>
    </w:p>
    <w:p w14:paraId="7A4266C3" w14:textId="77777777" w:rsidR="00B13BC0" w:rsidRDefault="00B13BC0" w:rsidP="00B13BC0">
      <w:pPr>
        <w:pStyle w:val="BodyText"/>
        <w:rPr>
          <w:u w:val="single"/>
        </w:rPr>
      </w:pPr>
    </w:p>
    <w:p w14:paraId="606D355C" w14:textId="77777777" w:rsidR="00B13BC0" w:rsidRDefault="00F16192" w:rsidP="00B13BC0">
      <w:pPr>
        <w:jc w:val="both"/>
      </w:pPr>
      <w:r>
        <w:t>WHEREAS, [</w:t>
      </w:r>
      <w:r>
        <w:rPr>
          <w:i/>
        </w:rPr>
        <w:t>Source of authority</w:t>
      </w:r>
      <w:r>
        <w:t>] authorizes the [</w:t>
      </w:r>
      <w:r>
        <w:rPr>
          <w:i/>
        </w:rPr>
        <w:t>Legislative Body</w:t>
      </w:r>
      <w:r>
        <w:t>] to [</w:t>
      </w:r>
      <w:r>
        <w:rPr>
          <w:i/>
        </w:rPr>
        <w:t>description of action</w:t>
      </w:r>
      <w:r>
        <w:t>]; and</w:t>
      </w:r>
    </w:p>
    <w:p w14:paraId="58A4E143" w14:textId="77777777" w:rsidR="00B13BC0" w:rsidRDefault="00B13BC0" w:rsidP="00B13BC0">
      <w:pPr>
        <w:jc w:val="both"/>
      </w:pPr>
    </w:p>
    <w:p w14:paraId="4862B52F" w14:textId="77777777" w:rsidR="00B13BC0" w:rsidRPr="007D1B43" w:rsidRDefault="00F16192" w:rsidP="00B13BC0">
      <w:pPr>
        <w:jc w:val="both"/>
      </w:pPr>
      <w:r>
        <w:t>WHEREAS, [</w:t>
      </w:r>
      <w:r>
        <w:rPr>
          <w:i/>
        </w:rPr>
        <w:t>Additional statements of purpose, etc., as needed</w:t>
      </w:r>
      <w:r>
        <w:t>];</w:t>
      </w:r>
    </w:p>
    <w:p w14:paraId="0DCDB0DB" w14:textId="77777777" w:rsidR="00B13BC0" w:rsidRDefault="00B13BC0" w:rsidP="00B13BC0">
      <w:pPr>
        <w:jc w:val="both"/>
        <w:rPr>
          <w:u w:val="single"/>
        </w:rPr>
      </w:pPr>
    </w:p>
    <w:p w14:paraId="270680CD" w14:textId="77777777" w:rsidR="00B13BC0" w:rsidRPr="00663FB1" w:rsidRDefault="00F16192" w:rsidP="00B13BC0">
      <w:pPr>
        <w:jc w:val="both"/>
      </w:pPr>
      <w:r>
        <w:rPr>
          <w:u w:val="single"/>
        </w:rPr>
        <w:t>The [</w:t>
      </w:r>
      <w:r>
        <w:rPr>
          <w:i/>
          <w:u w:val="single"/>
        </w:rPr>
        <w:t>Legislative</w:t>
      </w:r>
      <w:r w:rsidRPr="002C3A63">
        <w:rPr>
          <w:i/>
          <w:u w:val="single"/>
        </w:rPr>
        <w:t xml:space="preserve"> Body</w:t>
      </w:r>
      <w:r>
        <w:rPr>
          <w:u w:val="single"/>
        </w:rPr>
        <w:t>] of [</w:t>
      </w:r>
      <w:r w:rsidRPr="002C3A63">
        <w:rPr>
          <w:i/>
          <w:u w:val="single"/>
        </w:rPr>
        <w:t>Name of Local</w:t>
      </w:r>
      <w:r>
        <w:rPr>
          <w:i/>
          <w:u w:val="single"/>
        </w:rPr>
        <w:t>ity</w:t>
      </w:r>
      <w:r>
        <w:rPr>
          <w:u w:val="single"/>
        </w:rPr>
        <w:t>] ordains as follows</w:t>
      </w:r>
      <w:r w:rsidRPr="005B5DE4">
        <w:rPr>
          <w:u w:val="single"/>
        </w:rPr>
        <w:t>:</w:t>
      </w:r>
    </w:p>
    <w:p w14:paraId="3F87F7A3" w14:textId="77777777" w:rsidR="00B13BC0" w:rsidRDefault="00B13BC0" w:rsidP="00B13BC0">
      <w:pPr>
        <w:jc w:val="both"/>
      </w:pPr>
    </w:p>
    <w:p w14:paraId="5E3406C6" w14:textId="77777777" w:rsidR="00B13BC0" w:rsidRDefault="00B13BC0" w:rsidP="00B13BC0">
      <w:pPr>
        <w:spacing w:line="480" w:lineRule="auto"/>
        <w:jc w:val="both"/>
        <w:sectPr w:rsidR="00B13BC0" w:rsidSect="008F0B17">
          <w:footerReference w:type="default" r:id="rId7"/>
          <w:footerReference w:type="first" r:id="rId8"/>
          <w:pgSz w:w="12240" w:h="15840"/>
          <w:pgMar w:top="1440" w:right="1440" w:bottom="1440" w:left="1440" w:header="720" w:footer="720" w:gutter="0"/>
          <w:cols w:space="720"/>
          <w:docGrid w:linePitch="360"/>
        </w:sectPr>
      </w:pPr>
    </w:p>
    <w:p w14:paraId="0CF4BC9D" w14:textId="7956346C" w:rsidR="00B13BC0" w:rsidRPr="00724341" w:rsidRDefault="00F16192" w:rsidP="00C85854">
      <w:pPr>
        <w:spacing w:after="0" w:line="480" w:lineRule="auto"/>
        <w:ind w:firstLine="720"/>
      </w:pPr>
      <w:r w:rsidRPr="00724341">
        <w:t xml:space="preserve">Section 1.  Purpose. To encourage the purchase and use of electric vehicles by requiring the owner of each applicable parking facility to install a minimum number of electric </w:t>
      </w:r>
      <w:proofErr w:type="gramStart"/>
      <w:r w:rsidRPr="00724341">
        <w:t>vehicle</w:t>
      </w:r>
      <w:proofErr w:type="gramEnd"/>
      <w:r w:rsidRPr="00724341">
        <w:t xml:space="preserve"> </w:t>
      </w:r>
      <w:r w:rsidRPr="00724341">
        <w:lastRenderedPageBreak/>
        <w:t>charging stations and designate a minimum number of parking spaces exclusively for electric vehicles.</w:t>
      </w:r>
    </w:p>
    <w:p w14:paraId="0B32BA6F" w14:textId="77777777" w:rsidR="00B13BC0" w:rsidRPr="00724341" w:rsidRDefault="00F16192" w:rsidP="00C85854">
      <w:pPr>
        <w:spacing w:after="0" w:line="480" w:lineRule="auto"/>
        <w:ind w:firstLine="720"/>
      </w:pPr>
      <w:r w:rsidRPr="00724341">
        <w:t>Section 2. Definitions. As used in this Ordinance, the following terms have the following meanings:</w:t>
      </w:r>
    </w:p>
    <w:p w14:paraId="4B676385" w14:textId="4A2C0950" w:rsidR="00B13BC0" w:rsidRPr="00724341" w:rsidRDefault="00F16192" w:rsidP="00C85854">
      <w:pPr>
        <w:spacing w:after="0" w:line="480" w:lineRule="auto"/>
        <w:ind w:left="720" w:firstLine="720"/>
      </w:pPr>
      <w:r w:rsidRPr="00724341">
        <w:t>a. The term “applicable parking facility” means a parking garage or parking lot with at least fifty parking spaces available for use by the general public.</w:t>
      </w:r>
    </w:p>
    <w:p w14:paraId="5861C3CD" w14:textId="12D13A27" w:rsidR="00B13BC0" w:rsidRPr="00724341" w:rsidRDefault="00F16192" w:rsidP="00C85854">
      <w:pPr>
        <w:spacing w:after="0" w:line="480" w:lineRule="auto"/>
        <w:ind w:left="720" w:firstLine="720"/>
      </w:pPr>
      <w:r w:rsidRPr="00724341">
        <w:t xml:space="preserve">b. The term “electric vehicle” means a vehicle with four or more wheels that draws propulsion energy from a battery that (1) has at least four kilowatt hours of energy storage capacity; and (2) can be recharged from an external source of electricity. </w:t>
      </w:r>
    </w:p>
    <w:p w14:paraId="39A16B30" w14:textId="1D3EED1D" w:rsidR="00B13BC0" w:rsidRPr="00724341" w:rsidRDefault="00F16192" w:rsidP="00C85854">
      <w:pPr>
        <w:spacing w:after="0" w:line="480" w:lineRule="auto"/>
        <w:ind w:left="720" w:firstLine="720"/>
      </w:pPr>
      <w:r w:rsidRPr="00724341">
        <w:t xml:space="preserve">c. The term “electric vehicle charging system” means a system that (1) is capable of providing level 2 charging from a non-vehicle source to the battery of one or more electric vehicles; (2) meets </w:t>
      </w:r>
      <w:r w:rsidR="00C85854" w:rsidRPr="00724341">
        <w:t xml:space="preserve">the SAE J1772 standard of SAE International, the </w:t>
      </w:r>
      <w:proofErr w:type="spellStart"/>
      <w:r w:rsidR="00C85854" w:rsidRPr="00724341">
        <w:t>CHAdeMo</w:t>
      </w:r>
      <w:proofErr w:type="spellEnd"/>
      <w:r w:rsidR="00C85854" w:rsidRPr="00724341">
        <w:t xml:space="preserve"> standard, or the CCS standard</w:t>
      </w:r>
      <w:r w:rsidRPr="00724341">
        <w:t>; and (3) is designed and installed in compliance with article 625 of the National Electrical Code.</w:t>
      </w:r>
    </w:p>
    <w:p w14:paraId="23F48EFB" w14:textId="5053228A" w:rsidR="00B13BC0" w:rsidRPr="00724341" w:rsidRDefault="00F16192" w:rsidP="00C85854">
      <w:pPr>
        <w:spacing w:after="0" w:line="480" w:lineRule="auto"/>
        <w:ind w:left="720" w:firstLine="720"/>
      </w:pPr>
      <w:r w:rsidRPr="00724341">
        <w:t>d. The term “electric vehicle parking space” means a parking space that is (1) designated exclusively for electric vehicles; and (2) equipped with an electric vehicle charging system.</w:t>
      </w:r>
    </w:p>
    <w:p w14:paraId="4A0BA6DF" w14:textId="4AEC5CD8" w:rsidR="00B13BC0" w:rsidRPr="00724341" w:rsidRDefault="00F16192" w:rsidP="00C85854">
      <w:pPr>
        <w:spacing w:after="0" w:line="480" w:lineRule="auto"/>
        <w:ind w:firstLine="720"/>
      </w:pPr>
      <w:r w:rsidRPr="00724341">
        <w:t>Section 3. Minimum Number of Electric Vehicle Parking Spaces; Requirements.</w:t>
      </w:r>
    </w:p>
    <w:p w14:paraId="08629E4A" w14:textId="5FEF5F40" w:rsidR="00B13BC0" w:rsidRPr="00724341" w:rsidRDefault="00F16192" w:rsidP="00C85854">
      <w:pPr>
        <w:spacing w:after="0" w:line="480" w:lineRule="auto"/>
        <w:ind w:left="720" w:firstLine="720"/>
      </w:pPr>
      <w:r w:rsidRPr="00724341">
        <w:t>a. [</w:t>
      </w:r>
      <w:r w:rsidRPr="00724341">
        <w:rPr>
          <w:i/>
        </w:rPr>
        <w:t>Option #1</w:t>
      </w:r>
      <w:r w:rsidRPr="00724341">
        <w:t xml:space="preserve">] The owner of an applicable parking facility shall ensure that for every 50 parking spaces located within the facility there are located within the facility (1) at least 5 electric vehicle parking spaces by December 31, 2020; (2) at least 10 electric vehicle parking spaces by December 31, 2025; (3) at least 15 electric vehicle parking spaces by December 31, 2030; (4) at least 20 electric vehicle parking spaces by </w:t>
      </w:r>
      <w:r w:rsidRPr="00724341">
        <w:lastRenderedPageBreak/>
        <w:t>December 31, 2035; and (5) at least 25 electric vehicle parking spaces by December 31, 2040. Such electric vehicle parking spaces may be located anywhere within the facility.</w:t>
      </w:r>
    </w:p>
    <w:p w14:paraId="2B7672B8" w14:textId="5D857159" w:rsidR="00B13BC0" w:rsidRPr="00724341" w:rsidRDefault="00F16192" w:rsidP="00C85854">
      <w:pPr>
        <w:spacing w:after="0" w:line="480" w:lineRule="auto"/>
        <w:ind w:left="720" w:firstLine="720"/>
      </w:pPr>
      <w:r w:rsidRPr="00724341">
        <w:t>a. [</w:t>
      </w:r>
      <w:r w:rsidRPr="00724341">
        <w:rPr>
          <w:i/>
        </w:rPr>
        <w:t>Option #2</w:t>
      </w:r>
      <w:r w:rsidRPr="00724341">
        <w:t>]: A person who owns one or more applicable parking facilities shall ensure that for every 50 parking spaces located within an applicable parking facility owned by the person, the aggregate number of electric vehicle parking spaces located in applicable parking facilities owned by such person is (1) at least 5 electric vehicle parking spaces by December 31, 2020; (2) at least 10 electric vehicle parking spaces by December 31, 2025; (3) at least 15 electric vehicle parking spaces by December 31, 2030; (4) at least 20 electric vehicle parking spaces by December 31, 2035; and (5) at least 25 electric vehicle parking spaces by December 31, 2040. Such electric vehicle parking spaces may be located anywhere within the facility.</w:t>
      </w:r>
    </w:p>
    <w:p w14:paraId="42BA94FB" w14:textId="4E24C7A7" w:rsidR="00B13BC0" w:rsidRPr="00724341" w:rsidRDefault="00F16192" w:rsidP="00C85854">
      <w:pPr>
        <w:spacing w:after="0" w:line="480" w:lineRule="auto"/>
        <w:ind w:left="720" w:firstLine="720"/>
      </w:pPr>
      <w:r w:rsidRPr="00724341">
        <w:t xml:space="preserve">b. The owner of an applicable parking facility shall clearly mark each electric vehicle parking space as designated for the exclusive use of electric vehicles. </w:t>
      </w:r>
    </w:p>
    <w:p w14:paraId="0AF22C6A" w14:textId="27996716" w:rsidR="00B13BC0" w:rsidRPr="00724341" w:rsidRDefault="00F16192" w:rsidP="00C85854">
      <w:pPr>
        <w:spacing w:after="0" w:line="480" w:lineRule="auto"/>
        <w:ind w:left="720" w:firstLine="720"/>
      </w:pPr>
      <w:r w:rsidRPr="00724341">
        <w:t>c. The owner of an applicable parking facility shall post signs visible to drivers alerting drivers to the penalties imposed under this chapter for parking a vehicle that is not an electric vehicle in an electric vehicle parking space.</w:t>
      </w:r>
    </w:p>
    <w:p w14:paraId="079EA013" w14:textId="7767CF4B" w:rsidR="00B13BC0" w:rsidRPr="00724341" w:rsidRDefault="00F16192" w:rsidP="00C85854">
      <w:pPr>
        <w:spacing w:after="0" w:line="480" w:lineRule="auto"/>
        <w:ind w:left="720" w:firstLine="720"/>
      </w:pPr>
      <w:r w:rsidRPr="00724341">
        <w:t>d. The owner of an applicable parking facility may charge a fee to use an electric vehicle charging system in such facility. The owner of an applicable parking facility shall clearly disclose such a fee.</w:t>
      </w:r>
    </w:p>
    <w:p w14:paraId="781DF2A5" w14:textId="5046DD71" w:rsidR="00B13BC0" w:rsidRPr="00724341" w:rsidRDefault="00F16192" w:rsidP="00C85854">
      <w:pPr>
        <w:spacing w:after="0" w:line="480" w:lineRule="auto"/>
        <w:ind w:left="720" w:firstLine="720"/>
      </w:pPr>
      <w:r w:rsidRPr="00724341">
        <w:t>e. Nothing in this chapter shall displace or reduce the number of accessible parking spaces required to be provided in an applicable parking facility in compliance with the Americans with Disabilities Act.</w:t>
      </w:r>
    </w:p>
    <w:p w14:paraId="2FF29E60" w14:textId="3E6FA22B" w:rsidR="00B13BC0" w:rsidRPr="00724341" w:rsidRDefault="00F16192" w:rsidP="00C85854">
      <w:pPr>
        <w:spacing w:after="0" w:line="480" w:lineRule="auto"/>
        <w:ind w:firstLine="720"/>
      </w:pPr>
      <w:r w:rsidRPr="00724341">
        <w:lastRenderedPageBreak/>
        <w:t>Section 4. Penalties. Any person who parks a vehicle that is not an electric vehicle in an electric vehicle parking space shall be guilty of a traffic infraction and fined not less than $100 and not more than $250 and shall pay any costs incurred by the court in assessing the fine.</w:t>
      </w:r>
    </w:p>
    <w:p w14:paraId="3B3F0C7E" w14:textId="371F7379" w:rsidR="00B13BC0" w:rsidRPr="00724341" w:rsidRDefault="00F16192" w:rsidP="00C85854">
      <w:pPr>
        <w:spacing w:after="0" w:line="480" w:lineRule="auto"/>
        <w:ind w:firstLine="720"/>
        <w:rPr>
          <w:color w:val="000000" w:themeColor="text1"/>
        </w:rPr>
        <w:sectPr w:rsidR="00B13BC0" w:rsidRPr="00724341" w:rsidSect="00AF39A5">
          <w:type w:val="continuous"/>
          <w:pgSz w:w="12240" w:h="15840"/>
          <w:pgMar w:top="1440" w:right="1440" w:bottom="1440" w:left="1440" w:header="720" w:footer="720" w:gutter="0"/>
          <w:lnNumType w:countBy="1"/>
          <w:cols w:space="720"/>
          <w:titlePg/>
          <w:docGrid w:linePitch="360"/>
        </w:sectPr>
      </w:pPr>
      <w:r w:rsidRPr="00724341">
        <w:t>Section</w:t>
      </w:r>
      <w:r w:rsidR="00C85854" w:rsidRPr="00724341">
        <w:t xml:space="preserve"> 5</w:t>
      </w:r>
      <w:r w:rsidRPr="00724341">
        <w:t>. Effective Date. This Ordinance takes effect [</w:t>
      </w:r>
      <w:r w:rsidRPr="00724341">
        <w:rPr>
          <w:i/>
        </w:rPr>
        <w:t>number of days</w:t>
      </w:r>
      <w:r w:rsidRPr="00724341">
        <w:t>]</w:t>
      </w:r>
      <w:r w:rsidRPr="00724341">
        <w:rPr>
          <w:i/>
        </w:rPr>
        <w:t xml:space="preserve"> </w:t>
      </w:r>
      <w:r w:rsidRPr="00724341">
        <w:t>after its [</w:t>
      </w:r>
      <w:r w:rsidRPr="00724341">
        <w:rPr>
          <w:i/>
        </w:rPr>
        <w:t>adoption/publication</w:t>
      </w:r>
      <w:r w:rsidRPr="00724341">
        <w:t>]</w:t>
      </w:r>
    </w:p>
    <w:p w14:paraId="7CCF0CE5" w14:textId="77777777" w:rsidR="00B13BC0" w:rsidRPr="00724341" w:rsidRDefault="00B13BC0" w:rsidP="00B13BC0">
      <w:pPr>
        <w:jc w:val="both"/>
        <w:rPr>
          <w:sz w:val="18"/>
          <w:szCs w:val="18"/>
        </w:rPr>
      </w:pPr>
    </w:p>
    <w:p w14:paraId="2E2EA634" w14:textId="77777777" w:rsidR="00B13BC0" w:rsidRPr="00724341" w:rsidRDefault="00F16192" w:rsidP="00B13BC0">
      <w:pPr>
        <w:jc w:val="both"/>
      </w:pPr>
      <w:r w:rsidRPr="00724341">
        <w:t>APPROVED AND ADOPTED this [</w:t>
      </w:r>
      <w:r w:rsidRPr="00724341">
        <w:rPr>
          <w:i/>
        </w:rPr>
        <w:t>date</w:t>
      </w:r>
      <w:r w:rsidRPr="00724341">
        <w:t>] day of [</w:t>
      </w:r>
      <w:r w:rsidRPr="00724341">
        <w:rPr>
          <w:i/>
        </w:rPr>
        <w:t>month</w:t>
      </w:r>
      <w:r w:rsidRPr="00724341">
        <w:t>], [</w:t>
      </w:r>
      <w:r w:rsidRPr="00724341">
        <w:rPr>
          <w:i/>
        </w:rPr>
        <w:t>year</w:t>
      </w:r>
      <w:r w:rsidRPr="00724341">
        <w:t>].</w:t>
      </w:r>
    </w:p>
    <w:p w14:paraId="4EAAD9DA" w14:textId="77777777" w:rsidR="00B13BC0" w:rsidRPr="00724341" w:rsidRDefault="00B13BC0" w:rsidP="00B13BC0">
      <w:pPr>
        <w:jc w:val="both"/>
      </w:pPr>
    </w:p>
    <w:p w14:paraId="0B746C8C" w14:textId="77777777" w:rsidR="00B13BC0" w:rsidRPr="00724341" w:rsidRDefault="00F16192" w:rsidP="00B13BC0">
      <w:pPr>
        <w:rPr>
          <w:sz w:val="18"/>
          <w:szCs w:val="18"/>
        </w:rPr>
      </w:pPr>
      <w:r w:rsidRPr="00724341">
        <w:t>[</w:t>
      </w:r>
      <w:r w:rsidRPr="00724341">
        <w:rPr>
          <w:i/>
        </w:rPr>
        <w:t>Attestation</w:t>
      </w:r>
      <w:r w:rsidRPr="00724341">
        <w:t>.]</w:t>
      </w:r>
    </w:p>
    <w:p w14:paraId="16C43844" w14:textId="77777777" w:rsidR="0075738F" w:rsidRPr="00724341" w:rsidRDefault="0075738F" w:rsidP="0075738F">
      <w:pPr>
        <w:pStyle w:val="BodyText"/>
      </w:pPr>
    </w:p>
    <w:sectPr w:rsidR="0075738F" w:rsidRPr="00724341" w:rsidSect="00C67273">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84F7B" w14:textId="77777777" w:rsidR="00847846" w:rsidRDefault="00847846">
      <w:pPr>
        <w:spacing w:after="0" w:line="240" w:lineRule="auto"/>
      </w:pPr>
      <w:r>
        <w:separator/>
      </w:r>
    </w:p>
  </w:endnote>
  <w:endnote w:type="continuationSeparator" w:id="0">
    <w:p w14:paraId="0C611FB3" w14:textId="77777777" w:rsidR="00847846" w:rsidRDefault="0084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110244"/>
      <w:docPartObj>
        <w:docPartGallery w:val="Page Numbers (Bottom of Page)"/>
        <w:docPartUnique/>
      </w:docPartObj>
    </w:sdtPr>
    <w:sdtEndPr>
      <w:rPr>
        <w:noProof/>
      </w:rPr>
    </w:sdtEndPr>
    <w:sdtContent>
      <w:p w14:paraId="17307F5B" w14:textId="40EA3A03" w:rsidR="00B13BC0" w:rsidRDefault="00F161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928B85" w14:textId="77777777" w:rsidR="00B13BC0" w:rsidRDefault="00B13B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3"/>
      <w:docPartObj>
        <w:docPartGallery w:val="Page Numbers (Bottom of Page)"/>
        <w:docPartUnique/>
      </w:docPartObj>
    </w:sdtPr>
    <w:sdtEndPr>
      <w:rPr>
        <w:noProof/>
      </w:rPr>
    </w:sdtEndPr>
    <w:sdtContent>
      <w:p w14:paraId="65398F1A" w14:textId="77777777" w:rsidR="00B13BC0" w:rsidRDefault="00F161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33CE61" w14:textId="77777777" w:rsidR="00B13BC0" w:rsidRDefault="00B13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BAC2" w14:textId="6DD8A88F" w:rsidR="00D77203" w:rsidRDefault="00D7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9C6E" w14:textId="77777777" w:rsidR="00847846" w:rsidRDefault="00847846">
      <w:pPr>
        <w:spacing w:after="0" w:line="240" w:lineRule="auto"/>
      </w:pPr>
      <w:r>
        <w:separator/>
      </w:r>
    </w:p>
  </w:footnote>
  <w:footnote w:type="continuationSeparator" w:id="0">
    <w:p w14:paraId="650650E6" w14:textId="77777777" w:rsidR="00847846" w:rsidRDefault="00847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FAF"/>
    <w:multiLevelType w:val="multilevel"/>
    <w:tmpl w:val="B09E0F7E"/>
    <w:lvl w:ilvl="0">
      <w:start w:val="1"/>
      <w:numFmt w:val="decimal"/>
      <w:lvlText w:val="(%1)"/>
      <w:lvlJc w:val="left"/>
      <w:pPr>
        <w:tabs>
          <w:tab w:val="left" w:pos="81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B87FA8"/>
    <w:multiLevelType w:val="multilevel"/>
    <w:tmpl w:val="F9668632"/>
    <w:name w:val="Legal Numbering (2 Levels)"/>
    <w:lvl w:ilvl="0">
      <w:start w:val="1"/>
      <w:numFmt w:val="decimal"/>
      <w:pStyle w:val="Heading1"/>
      <w:lvlText w:val="%1."/>
      <w:lvlJc w:val="left"/>
      <w:pPr>
        <w:ind w:left="720" w:hanging="720"/>
      </w:pPr>
      <w:rPr>
        <w:rFonts w:ascii="Times New Roman Bold" w:hAnsi="Times New Roman Bold" w:hint="default"/>
        <w:b/>
        <w:i w:val="0"/>
        <w:caps/>
        <w:smallCaps w:val="0"/>
        <w:color w:val="010000"/>
        <w:sz w:val="24"/>
        <w:u w:val="none"/>
      </w:rPr>
    </w:lvl>
    <w:lvl w:ilvl="1">
      <w:start w:val="1"/>
      <w:numFmt w:val="decimal"/>
      <w:pStyle w:val="Heading2"/>
      <w:isLgl/>
      <w:lvlText w:val="%1.%2"/>
      <w:lvlJc w:val="left"/>
      <w:pPr>
        <w:ind w:left="1440" w:hanging="720"/>
      </w:pPr>
      <w:rPr>
        <w:rFonts w:ascii="Times New Roman" w:hAnsi="Times New Roman" w:hint="default"/>
        <w:b w:val="0"/>
        <w:i w:val="0"/>
        <w:color w:val="010000"/>
        <w:sz w:val="24"/>
        <w:u w:val="none"/>
      </w:rPr>
    </w:lvl>
    <w:lvl w:ilvl="2">
      <w:start w:val="1"/>
      <w:numFmt w:val="lowerLetter"/>
      <w:pStyle w:val="Heading3"/>
      <w:lvlText w:val="(%3)"/>
      <w:lvlJc w:val="left"/>
      <w:pPr>
        <w:ind w:left="0" w:firstLine="72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abstractNum w:abstractNumId="2" w15:restartNumberingAfterBreak="0">
    <w:nsid w:val="359A04E2"/>
    <w:multiLevelType w:val="multilevel"/>
    <w:tmpl w:val="078AB7FA"/>
    <w:lvl w:ilvl="0">
      <w:start w:val="1"/>
      <w:numFmt w:val="decimal"/>
      <w:lvlText w:val="(%1)"/>
      <w:lvlJc w:val="left"/>
      <w:pPr>
        <w:tabs>
          <w:tab w:val="left" w:pos="648"/>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52577D"/>
    <w:multiLevelType w:val="multilevel"/>
    <w:tmpl w:val="54A82504"/>
    <w:lvl w:ilvl="0">
      <w:start w:val="3"/>
      <w:numFmt w:val="lowerLetter"/>
      <w:lvlText w:val="(%1)"/>
      <w:lvlJc w:val="left"/>
      <w:pPr>
        <w:tabs>
          <w:tab w:val="left" w:pos="720"/>
        </w:tabs>
      </w:pPr>
      <w:rPr>
        <w:rFonts w:ascii="Courier New" w:eastAsia="Courier New" w:hAnsi="Courier New"/>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BC04EF"/>
    <w:multiLevelType w:val="hybridMultilevel"/>
    <w:tmpl w:val="7F1CBBFC"/>
    <w:lvl w:ilvl="0" w:tplc="BAD8A000">
      <w:start w:val="1"/>
      <w:numFmt w:val="lowerLetter"/>
      <w:lvlText w:val="%1."/>
      <w:lvlJc w:val="left"/>
      <w:pPr>
        <w:ind w:left="720" w:hanging="360"/>
      </w:pPr>
      <w:rPr>
        <w:rFonts w:hint="default"/>
      </w:rPr>
    </w:lvl>
    <w:lvl w:ilvl="1" w:tplc="8C7E5CE6" w:tentative="1">
      <w:start w:val="1"/>
      <w:numFmt w:val="lowerLetter"/>
      <w:lvlText w:val="%2."/>
      <w:lvlJc w:val="left"/>
      <w:pPr>
        <w:ind w:left="1440" w:hanging="360"/>
      </w:pPr>
    </w:lvl>
    <w:lvl w:ilvl="2" w:tplc="6FA46948" w:tentative="1">
      <w:start w:val="1"/>
      <w:numFmt w:val="lowerRoman"/>
      <w:lvlText w:val="%3."/>
      <w:lvlJc w:val="right"/>
      <w:pPr>
        <w:ind w:left="2160" w:hanging="180"/>
      </w:pPr>
    </w:lvl>
    <w:lvl w:ilvl="3" w:tplc="5226F2A4" w:tentative="1">
      <w:start w:val="1"/>
      <w:numFmt w:val="decimal"/>
      <w:lvlText w:val="%4."/>
      <w:lvlJc w:val="left"/>
      <w:pPr>
        <w:ind w:left="2880" w:hanging="360"/>
      </w:pPr>
    </w:lvl>
    <w:lvl w:ilvl="4" w:tplc="1A48C54C" w:tentative="1">
      <w:start w:val="1"/>
      <w:numFmt w:val="lowerLetter"/>
      <w:lvlText w:val="%5."/>
      <w:lvlJc w:val="left"/>
      <w:pPr>
        <w:ind w:left="3600" w:hanging="360"/>
      </w:pPr>
    </w:lvl>
    <w:lvl w:ilvl="5" w:tplc="B0DA1D54" w:tentative="1">
      <w:start w:val="1"/>
      <w:numFmt w:val="lowerRoman"/>
      <w:lvlText w:val="%6."/>
      <w:lvlJc w:val="right"/>
      <w:pPr>
        <w:ind w:left="4320" w:hanging="180"/>
      </w:pPr>
    </w:lvl>
    <w:lvl w:ilvl="6" w:tplc="6408EF08" w:tentative="1">
      <w:start w:val="1"/>
      <w:numFmt w:val="decimal"/>
      <w:lvlText w:val="%7."/>
      <w:lvlJc w:val="left"/>
      <w:pPr>
        <w:ind w:left="5040" w:hanging="360"/>
      </w:pPr>
    </w:lvl>
    <w:lvl w:ilvl="7" w:tplc="A77E1ADC" w:tentative="1">
      <w:start w:val="1"/>
      <w:numFmt w:val="lowerLetter"/>
      <w:lvlText w:val="%8."/>
      <w:lvlJc w:val="left"/>
      <w:pPr>
        <w:ind w:left="5760" w:hanging="360"/>
      </w:pPr>
    </w:lvl>
    <w:lvl w:ilvl="8" w:tplc="C792DA1C" w:tentative="1">
      <w:start w:val="1"/>
      <w:numFmt w:val="lowerRoman"/>
      <w:lvlText w:val="%9."/>
      <w:lvlJc w:val="right"/>
      <w:pPr>
        <w:ind w:left="6480" w:hanging="180"/>
      </w:pPr>
    </w:lvl>
  </w:abstractNum>
  <w:abstractNum w:abstractNumId="5" w15:restartNumberingAfterBreak="0">
    <w:nsid w:val="4A3B70E7"/>
    <w:multiLevelType w:val="multilevel"/>
    <w:tmpl w:val="19EA65E8"/>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B27775"/>
    <w:multiLevelType w:val="multilevel"/>
    <w:tmpl w:val="3F5E83FA"/>
    <w:lvl w:ilvl="0">
      <w:start w:val="1"/>
      <w:numFmt w:val="decimal"/>
      <w:lvlText w:val="(%1)"/>
      <w:lvlJc w:val="left"/>
      <w:pPr>
        <w:tabs>
          <w:tab w:val="left" w:pos="792"/>
        </w:tabs>
      </w:pPr>
      <w:rPr>
        <w:rFonts w:ascii="Courier New" w:eastAsia="Courier New" w:hAnsi="Courier New"/>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1"/>
  </w:num>
  <w:num w:numId="8">
    <w:abstractNumId w:val="1"/>
    <w:lvlOverride w:ilvl="0">
      <w:startOverride w:val="2"/>
    </w:lvlOverride>
    <w:lvlOverride w:ilvl="1">
      <w:startOverride w:val="3"/>
    </w:lvlOverride>
  </w:num>
  <w:num w:numId="9">
    <w:abstractNumId w:val="1"/>
  </w:num>
  <w:num w:numId="10">
    <w:abstractNumId w:val="1"/>
  </w:num>
  <w:num w:numId="11">
    <w:abstractNumId w:val="1"/>
  </w:num>
  <w:num w:numId="12">
    <w:abstractNumId w:val="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03"/>
    <w:rsid w:val="00001760"/>
    <w:rsid w:val="0001635B"/>
    <w:rsid w:val="00072D63"/>
    <w:rsid w:val="00073322"/>
    <w:rsid w:val="00087701"/>
    <w:rsid w:val="000D28A1"/>
    <w:rsid w:val="000F4682"/>
    <w:rsid w:val="000F71FE"/>
    <w:rsid w:val="00100607"/>
    <w:rsid w:val="00132742"/>
    <w:rsid w:val="001358E4"/>
    <w:rsid w:val="00161179"/>
    <w:rsid w:val="00170F7B"/>
    <w:rsid w:val="00172FBC"/>
    <w:rsid w:val="00181D3C"/>
    <w:rsid w:val="00185E0C"/>
    <w:rsid w:val="001A4AFF"/>
    <w:rsid w:val="0020281B"/>
    <w:rsid w:val="002118FB"/>
    <w:rsid w:val="00233BBF"/>
    <w:rsid w:val="00280562"/>
    <w:rsid w:val="002850E7"/>
    <w:rsid w:val="002C3A63"/>
    <w:rsid w:val="002E16D5"/>
    <w:rsid w:val="002F2F3A"/>
    <w:rsid w:val="00307010"/>
    <w:rsid w:val="00334218"/>
    <w:rsid w:val="003772CC"/>
    <w:rsid w:val="003952E2"/>
    <w:rsid w:val="003E5C9C"/>
    <w:rsid w:val="0042245D"/>
    <w:rsid w:val="004338DB"/>
    <w:rsid w:val="00436FC3"/>
    <w:rsid w:val="00452982"/>
    <w:rsid w:val="00465377"/>
    <w:rsid w:val="004E6E77"/>
    <w:rsid w:val="004F1746"/>
    <w:rsid w:val="004F4F03"/>
    <w:rsid w:val="00551B53"/>
    <w:rsid w:val="00557F7E"/>
    <w:rsid w:val="00571197"/>
    <w:rsid w:val="005B5DE4"/>
    <w:rsid w:val="005C4FEE"/>
    <w:rsid w:val="00663FB1"/>
    <w:rsid w:val="006A30A6"/>
    <w:rsid w:val="006B4B88"/>
    <w:rsid w:val="006E630C"/>
    <w:rsid w:val="00705DFA"/>
    <w:rsid w:val="007230F9"/>
    <w:rsid w:val="00724341"/>
    <w:rsid w:val="00734FA6"/>
    <w:rsid w:val="00737115"/>
    <w:rsid w:val="0075738F"/>
    <w:rsid w:val="00792989"/>
    <w:rsid w:val="00793540"/>
    <w:rsid w:val="007A42B4"/>
    <w:rsid w:val="007B63C1"/>
    <w:rsid w:val="007C254D"/>
    <w:rsid w:val="007D1B43"/>
    <w:rsid w:val="007E4EF6"/>
    <w:rsid w:val="00803A43"/>
    <w:rsid w:val="00805F9C"/>
    <w:rsid w:val="008116AF"/>
    <w:rsid w:val="00813195"/>
    <w:rsid w:val="00837508"/>
    <w:rsid w:val="008455EE"/>
    <w:rsid w:val="00847846"/>
    <w:rsid w:val="0086595C"/>
    <w:rsid w:val="00871E6A"/>
    <w:rsid w:val="008D09F1"/>
    <w:rsid w:val="008E37E2"/>
    <w:rsid w:val="00906BAD"/>
    <w:rsid w:val="00963266"/>
    <w:rsid w:val="00993D48"/>
    <w:rsid w:val="009B5EE6"/>
    <w:rsid w:val="009F2704"/>
    <w:rsid w:val="009F2F00"/>
    <w:rsid w:val="00A51F83"/>
    <w:rsid w:val="00A579C7"/>
    <w:rsid w:val="00A6132B"/>
    <w:rsid w:val="00A81B29"/>
    <w:rsid w:val="00A87D58"/>
    <w:rsid w:val="00AA1563"/>
    <w:rsid w:val="00AB6D2B"/>
    <w:rsid w:val="00AD61D7"/>
    <w:rsid w:val="00AF0878"/>
    <w:rsid w:val="00B13BC0"/>
    <w:rsid w:val="00BB6BA6"/>
    <w:rsid w:val="00BE6FD3"/>
    <w:rsid w:val="00BF16EC"/>
    <w:rsid w:val="00C145DA"/>
    <w:rsid w:val="00C63F01"/>
    <w:rsid w:val="00C64CFC"/>
    <w:rsid w:val="00C67273"/>
    <w:rsid w:val="00C751B5"/>
    <w:rsid w:val="00C85854"/>
    <w:rsid w:val="00C8721A"/>
    <w:rsid w:val="00C92AAC"/>
    <w:rsid w:val="00CC4D92"/>
    <w:rsid w:val="00CD766E"/>
    <w:rsid w:val="00CF6ABD"/>
    <w:rsid w:val="00D079F8"/>
    <w:rsid w:val="00D1414A"/>
    <w:rsid w:val="00D4785E"/>
    <w:rsid w:val="00D50BA2"/>
    <w:rsid w:val="00D77203"/>
    <w:rsid w:val="00D85C80"/>
    <w:rsid w:val="00DA1A2B"/>
    <w:rsid w:val="00DC16B0"/>
    <w:rsid w:val="00DE6A0D"/>
    <w:rsid w:val="00E17ACC"/>
    <w:rsid w:val="00E20954"/>
    <w:rsid w:val="00E221CD"/>
    <w:rsid w:val="00E34939"/>
    <w:rsid w:val="00E37ED1"/>
    <w:rsid w:val="00E5280C"/>
    <w:rsid w:val="00E6186C"/>
    <w:rsid w:val="00F07B5F"/>
    <w:rsid w:val="00F16192"/>
    <w:rsid w:val="00F16A13"/>
    <w:rsid w:val="00F356F6"/>
    <w:rsid w:val="00F36FEA"/>
    <w:rsid w:val="00FD7112"/>
    <w:rsid w:val="00FD76EE"/>
    <w:rsid w:val="00FE2820"/>
    <w:rsid w:val="00F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38F"/>
    <w:rPr>
      <w:rFonts w:ascii="Times New Roman" w:hAnsi="Times New Roman"/>
      <w:sz w:val="24"/>
    </w:rPr>
  </w:style>
  <w:style w:type="paragraph" w:styleId="Heading1">
    <w:name w:val="heading 1"/>
    <w:basedOn w:val="Normal"/>
    <w:next w:val="BodyText"/>
    <w:link w:val="Heading1Char"/>
    <w:uiPriority w:val="14"/>
    <w:qFormat/>
    <w:rsid w:val="00C67273"/>
    <w:pPr>
      <w:keepLines/>
      <w:numPr>
        <w:numId w:val="6"/>
      </w:numPr>
      <w:spacing w:after="240" w:line="240" w:lineRule="auto"/>
      <w:outlineLvl w:val="0"/>
    </w:pPr>
    <w:rPr>
      <w:rFonts w:eastAsiaTheme="majorEastAsia" w:cstheme="majorBidi"/>
      <w:b/>
      <w:bCs/>
      <w:color w:val="000000"/>
      <w:szCs w:val="28"/>
      <w:u w:color="000000"/>
    </w:rPr>
  </w:style>
  <w:style w:type="paragraph" w:styleId="Heading2">
    <w:name w:val="heading 2"/>
    <w:basedOn w:val="Normal"/>
    <w:next w:val="BodyText"/>
    <w:link w:val="Heading2Char"/>
    <w:uiPriority w:val="14"/>
    <w:unhideWhenUsed/>
    <w:qFormat/>
    <w:rsid w:val="00C67273"/>
    <w:pPr>
      <w:numPr>
        <w:ilvl w:val="1"/>
        <w:numId w:val="6"/>
      </w:numPr>
      <w:spacing w:after="240" w:line="240" w:lineRule="auto"/>
      <w:outlineLvl w:val="1"/>
    </w:pPr>
    <w:rPr>
      <w:rFonts w:eastAsiaTheme="majorEastAsia" w:cstheme="majorBidi"/>
      <w:bCs/>
      <w:color w:val="000000"/>
      <w:szCs w:val="26"/>
      <w:u w:color="000000"/>
    </w:rPr>
  </w:style>
  <w:style w:type="paragraph" w:styleId="Heading3">
    <w:name w:val="heading 3"/>
    <w:basedOn w:val="Normal"/>
    <w:next w:val="BodyText"/>
    <w:link w:val="Heading3Char"/>
    <w:uiPriority w:val="14"/>
    <w:unhideWhenUsed/>
    <w:qFormat/>
    <w:rsid w:val="00C67273"/>
    <w:pPr>
      <w:numPr>
        <w:ilvl w:val="2"/>
        <w:numId w:val="6"/>
      </w:numPr>
      <w:spacing w:after="240" w:line="240" w:lineRule="auto"/>
      <w:outlineLvl w:val="2"/>
    </w:pPr>
    <w:rPr>
      <w:rFonts w:eastAsiaTheme="majorEastAsia" w:cstheme="majorBidi"/>
      <w:bCs/>
      <w:color w:val="000000"/>
      <w:u w:color="000000"/>
    </w:rPr>
  </w:style>
  <w:style w:type="paragraph" w:styleId="Heading4">
    <w:name w:val="heading 4"/>
    <w:basedOn w:val="Normal"/>
    <w:next w:val="BodyText"/>
    <w:link w:val="Heading4Char"/>
    <w:uiPriority w:val="14"/>
    <w:unhideWhenUsed/>
    <w:qFormat/>
    <w:rsid w:val="00C67273"/>
    <w:pPr>
      <w:numPr>
        <w:ilvl w:val="3"/>
        <w:numId w:val="6"/>
      </w:numPr>
      <w:spacing w:after="240" w:line="240" w:lineRule="auto"/>
      <w:outlineLvl w:val="3"/>
    </w:pPr>
    <w:rPr>
      <w:rFonts w:eastAsiaTheme="majorEastAsia" w:cstheme="majorBidi"/>
      <w:bCs/>
      <w:iCs/>
      <w:color w:val="000000"/>
      <w:u w:color="000000"/>
    </w:rPr>
  </w:style>
  <w:style w:type="paragraph" w:styleId="Heading5">
    <w:name w:val="heading 5"/>
    <w:basedOn w:val="Normal"/>
    <w:next w:val="BodyText"/>
    <w:link w:val="Heading5Char"/>
    <w:uiPriority w:val="14"/>
    <w:unhideWhenUsed/>
    <w:qFormat/>
    <w:rsid w:val="00C67273"/>
    <w:pPr>
      <w:numPr>
        <w:ilvl w:val="4"/>
        <w:numId w:val="6"/>
      </w:numPr>
      <w:spacing w:after="240" w:line="240" w:lineRule="auto"/>
      <w:outlineLvl w:val="4"/>
    </w:pPr>
    <w:rPr>
      <w:rFonts w:eastAsiaTheme="majorEastAsia" w:cstheme="majorBidi"/>
      <w:color w:val="000000"/>
      <w:u w:color="000000"/>
    </w:rPr>
  </w:style>
  <w:style w:type="paragraph" w:styleId="Heading6">
    <w:name w:val="heading 6"/>
    <w:basedOn w:val="Normal"/>
    <w:next w:val="BodyText"/>
    <w:link w:val="Heading6Char"/>
    <w:uiPriority w:val="14"/>
    <w:unhideWhenUsed/>
    <w:qFormat/>
    <w:rsid w:val="00C67273"/>
    <w:pPr>
      <w:numPr>
        <w:ilvl w:val="5"/>
        <w:numId w:val="6"/>
      </w:numPr>
      <w:spacing w:after="240" w:line="240" w:lineRule="auto"/>
      <w:outlineLvl w:val="5"/>
    </w:pPr>
    <w:rPr>
      <w:rFonts w:eastAsiaTheme="majorEastAsia" w:cstheme="majorBidi"/>
      <w:iCs/>
      <w:color w:val="000000"/>
      <w:u w:color="000000"/>
    </w:rPr>
  </w:style>
  <w:style w:type="paragraph" w:styleId="Heading7">
    <w:name w:val="heading 7"/>
    <w:basedOn w:val="Normal"/>
    <w:next w:val="BodyText"/>
    <w:link w:val="Heading7Char"/>
    <w:uiPriority w:val="14"/>
    <w:unhideWhenUsed/>
    <w:qFormat/>
    <w:rsid w:val="00C67273"/>
    <w:pPr>
      <w:numPr>
        <w:ilvl w:val="6"/>
        <w:numId w:val="6"/>
      </w:numPr>
      <w:spacing w:after="240" w:line="240" w:lineRule="auto"/>
      <w:outlineLvl w:val="6"/>
    </w:pPr>
    <w:rPr>
      <w:rFonts w:eastAsiaTheme="majorEastAsia" w:cstheme="majorBidi"/>
      <w:iCs/>
      <w:color w:val="000000"/>
      <w:u w:color="000000"/>
    </w:rPr>
  </w:style>
  <w:style w:type="paragraph" w:styleId="Heading8">
    <w:name w:val="heading 8"/>
    <w:basedOn w:val="Normal"/>
    <w:next w:val="BodyText"/>
    <w:link w:val="Heading8Char"/>
    <w:uiPriority w:val="14"/>
    <w:unhideWhenUsed/>
    <w:qFormat/>
    <w:rsid w:val="00C67273"/>
    <w:pPr>
      <w:numPr>
        <w:ilvl w:val="7"/>
        <w:numId w:val="6"/>
      </w:numPr>
      <w:spacing w:after="240" w:line="240" w:lineRule="auto"/>
      <w:outlineLvl w:val="7"/>
    </w:pPr>
    <w:rPr>
      <w:rFonts w:eastAsiaTheme="majorEastAsia" w:cstheme="majorBidi"/>
      <w:color w:val="000000"/>
      <w:szCs w:val="20"/>
      <w:u w:color="000000"/>
    </w:rPr>
  </w:style>
  <w:style w:type="paragraph" w:styleId="Heading9">
    <w:name w:val="heading 9"/>
    <w:basedOn w:val="Normal"/>
    <w:next w:val="BodyText"/>
    <w:link w:val="Heading9Char"/>
    <w:uiPriority w:val="14"/>
    <w:unhideWhenUsed/>
    <w:qFormat/>
    <w:rsid w:val="00C67273"/>
    <w:pPr>
      <w:numPr>
        <w:ilvl w:val="8"/>
        <w:numId w:val="6"/>
      </w:numPr>
      <w:spacing w:after="240" w:line="240" w:lineRule="auto"/>
      <w:outlineLvl w:val="8"/>
    </w:pPr>
    <w:rPr>
      <w:rFonts w:eastAsiaTheme="majorEastAsia" w:cstheme="majorBidi"/>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03"/>
  </w:style>
  <w:style w:type="paragraph" w:styleId="Footer">
    <w:name w:val="footer"/>
    <w:basedOn w:val="Normal"/>
    <w:link w:val="FooterChar"/>
    <w:uiPriority w:val="99"/>
    <w:unhideWhenUsed/>
    <w:rsid w:val="00D7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03"/>
  </w:style>
  <w:style w:type="character" w:customStyle="1" w:styleId="DocID">
    <w:name w:val="DocID"/>
    <w:basedOn w:val="DefaultParagraphFont"/>
    <w:uiPriority w:val="99"/>
    <w:rsid w:val="00D77203"/>
    <w:rPr>
      <w:rFonts w:ascii="Tahoma" w:hAnsi="Tahoma" w:cs="Tahoma"/>
      <w:sz w:val="16"/>
      <w:szCs w:val="24"/>
    </w:rPr>
  </w:style>
  <w:style w:type="character" w:customStyle="1" w:styleId="Heading1Char">
    <w:name w:val="Heading 1 Char"/>
    <w:basedOn w:val="DefaultParagraphFont"/>
    <w:link w:val="Heading1"/>
    <w:uiPriority w:val="14"/>
    <w:rsid w:val="00C67273"/>
    <w:rPr>
      <w:rFonts w:ascii="Times New Roman" w:eastAsiaTheme="majorEastAsia" w:hAnsi="Times New Roman" w:cstheme="majorBidi"/>
      <w:b/>
      <w:bCs/>
      <w:color w:val="000000"/>
      <w:sz w:val="24"/>
      <w:szCs w:val="28"/>
      <w:u w:color="000000"/>
    </w:rPr>
  </w:style>
  <w:style w:type="paragraph" w:styleId="FootnoteText">
    <w:name w:val="footnote text"/>
    <w:basedOn w:val="Normal"/>
    <w:link w:val="FootnoteTextChar"/>
    <w:uiPriority w:val="99"/>
    <w:unhideWhenUsed/>
    <w:rsid w:val="00C67273"/>
    <w:pPr>
      <w:spacing w:after="0" w:line="240" w:lineRule="auto"/>
    </w:pPr>
    <w:rPr>
      <w:sz w:val="20"/>
      <w:szCs w:val="20"/>
    </w:rPr>
  </w:style>
  <w:style w:type="character" w:customStyle="1" w:styleId="FootnoteTextChar">
    <w:name w:val="Footnote Text Char"/>
    <w:basedOn w:val="DefaultParagraphFont"/>
    <w:link w:val="FootnoteText"/>
    <w:uiPriority w:val="99"/>
    <w:rsid w:val="00C67273"/>
    <w:rPr>
      <w:rFonts w:ascii="Times New Roman" w:hAnsi="Times New Roman"/>
      <w:sz w:val="20"/>
      <w:szCs w:val="20"/>
    </w:rPr>
  </w:style>
  <w:style w:type="character" w:styleId="Emphasis">
    <w:name w:val="Emphasis"/>
    <w:basedOn w:val="DefaultParagraphFont"/>
    <w:uiPriority w:val="20"/>
    <w:qFormat/>
    <w:rsid w:val="0020281B"/>
    <w:rPr>
      <w:i/>
      <w:iCs/>
    </w:rPr>
  </w:style>
  <w:style w:type="character" w:styleId="FootnoteReference">
    <w:name w:val="footnote reference"/>
    <w:basedOn w:val="DefaultParagraphFont"/>
    <w:uiPriority w:val="99"/>
    <w:semiHidden/>
    <w:unhideWhenUsed/>
    <w:rsid w:val="0020281B"/>
    <w:rPr>
      <w:vertAlign w:val="superscript"/>
    </w:rPr>
  </w:style>
  <w:style w:type="paragraph" w:customStyle="1" w:styleId="Heading21">
    <w:name w:val="Heading 21"/>
    <w:basedOn w:val="Normal"/>
    <w:next w:val="BodyText"/>
    <w:uiPriority w:val="14"/>
    <w:qFormat/>
    <w:rsid w:val="00233BBF"/>
    <w:pPr>
      <w:tabs>
        <w:tab w:val="left" w:pos="1440"/>
      </w:tabs>
      <w:spacing w:after="240" w:line="240" w:lineRule="auto"/>
      <w:outlineLvl w:val="1"/>
    </w:pPr>
    <w:rPr>
      <w:rFonts w:ascii="Tahoma" w:eastAsia="SimSun" w:hAnsi="Tahoma" w:cs="Times New Roman"/>
      <w:bCs/>
      <w:color w:val="000000"/>
      <w:sz w:val="20"/>
      <w:szCs w:val="26"/>
    </w:rPr>
  </w:style>
  <w:style w:type="paragraph" w:customStyle="1" w:styleId="Heading31">
    <w:name w:val="Heading 31"/>
    <w:basedOn w:val="Normal"/>
    <w:next w:val="BodyText"/>
    <w:uiPriority w:val="14"/>
    <w:qFormat/>
    <w:rsid w:val="00233BBF"/>
    <w:pPr>
      <w:tabs>
        <w:tab w:val="left" w:pos="2160"/>
      </w:tabs>
      <w:spacing w:after="240" w:line="240" w:lineRule="auto"/>
      <w:outlineLvl w:val="2"/>
    </w:pPr>
    <w:rPr>
      <w:rFonts w:ascii="Tahoma" w:eastAsia="SimSun" w:hAnsi="Tahoma" w:cs="Times New Roman"/>
      <w:bCs/>
      <w:color w:val="000000"/>
      <w:sz w:val="20"/>
      <w:szCs w:val="20"/>
    </w:rPr>
  </w:style>
  <w:style w:type="paragraph" w:customStyle="1" w:styleId="Heading41">
    <w:name w:val="Heading 41"/>
    <w:basedOn w:val="Normal"/>
    <w:next w:val="BodyText"/>
    <w:uiPriority w:val="14"/>
    <w:qFormat/>
    <w:rsid w:val="00233BBF"/>
    <w:pPr>
      <w:tabs>
        <w:tab w:val="left" w:pos="2880"/>
      </w:tabs>
      <w:spacing w:after="240" w:line="240" w:lineRule="auto"/>
      <w:outlineLvl w:val="3"/>
    </w:pPr>
    <w:rPr>
      <w:rFonts w:ascii="Tahoma" w:eastAsia="SimSun" w:hAnsi="Tahoma" w:cs="Times New Roman"/>
      <w:bCs/>
      <w:iCs/>
      <w:color w:val="000000"/>
      <w:sz w:val="20"/>
      <w:szCs w:val="20"/>
    </w:rPr>
  </w:style>
  <w:style w:type="paragraph" w:customStyle="1" w:styleId="Heading51">
    <w:name w:val="Heading 51"/>
    <w:basedOn w:val="Normal"/>
    <w:next w:val="BodyText"/>
    <w:uiPriority w:val="14"/>
    <w:qFormat/>
    <w:rsid w:val="00233BBF"/>
    <w:pPr>
      <w:tabs>
        <w:tab w:val="left" w:pos="3600"/>
      </w:tabs>
      <w:spacing w:after="240" w:line="240" w:lineRule="auto"/>
      <w:outlineLvl w:val="4"/>
    </w:pPr>
    <w:rPr>
      <w:rFonts w:ascii="Tahoma" w:eastAsia="SimSun" w:hAnsi="Tahoma" w:cs="Times New Roman"/>
      <w:color w:val="000000"/>
      <w:sz w:val="20"/>
      <w:szCs w:val="20"/>
    </w:rPr>
  </w:style>
  <w:style w:type="paragraph" w:customStyle="1" w:styleId="Heading61">
    <w:name w:val="Heading 61"/>
    <w:basedOn w:val="Normal"/>
    <w:next w:val="BodyText"/>
    <w:uiPriority w:val="14"/>
    <w:qFormat/>
    <w:rsid w:val="00233BBF"/>
    <w:pPr>
      <w:tabs>
        <w:tab w:val="left" w:pos="4320"/>
      </w:tabs>
      <w:spacing w:after="240" w:line="240" w:lineRule="auto"/>
      <w:outlineLvl w:val="5"/>
    </w:pPr>
    <w:rPr>
      <w:rFonts w:ascii="Tahoma" w:eastAsia="SimSun" w:hAnsi="Tahoma" w:cs="Times New Roman"/>
      <w:iCs/>
      <w:color w:val="000000"/>
      <w:sz w:val="20"/>
      <w:szCs w:val="20"/>
    </w:rPr>
  </w:style>
  <w:style w:type="paragraph" w:customStyle="1" w:styleId="Heading71">
    <w:name w:val="Heading 71"/>
    <w:basedOn w:val="Normal"/>
    <w:next w:val="BodyText"/>
    <w:uiPriority w:val="14"/>
    <w:qFormat/>
    <w:rsid w:val="00233BBF"/>
    <w:pPr>
      <w:tabs>
        <w:tab w:val="left" w:pos="5040"/>
      </w:tabs>
      <w:spacing w:after="240" w:line="240" w:lineRule="auto"/>
      <w:outlineLvl w:val="6"/>
    </w:pPr>
    <w:rPr>
      <w:rFonts w:ascii="Tahoma" w:eastAsia="SimSun" w:hAnsi="Tahoma" w:cs="Times New Roman"/>
      <w:iCs/>
      <w:color w:val="000000"/>
      <w:sz w:val="20"/>
      <w:szCs w:val="20"/>
    </w:rPr>
  </w:style>
  <w:style w:type="paragraph" w:customStyle="1" w:styleId="Heading81">
    <w:name w:val="Heading 81"/>
    <w:basedOn w:val="Normal"/>
    <w:next w:val="BodyText"/>
    <w:uiPriority w:val="14"/>
    <w:qFormat/>
    <w:rsid w:val="00233BBF"/>
    <w:pPr>
      <w:tabs>
        <w:tab w:val="left" w:pos="5760"/>
      </w:tabs>
      <w:spacing w:after="240" w:line="240" w:lineRule="auto"/>
      <w:outlineLvl w:val="7"/>
    </w:pPr>
    <w:rPr>
      <w:rFonts w:ascii="Tahoma" w:eastAsia="SimSun" w:hAnsi="Tahoma" w:cs="Times New Roman"/>
      <w:color w:val="000000"/>
      <w:sz w:val="20"/>
      <w:szCs w:val="20"/>
    </w:rPr>
  </w:style>
  <w:style w:type="paragraph" w:customStyle="1" w:styleId="Heading91">
    <w:name w:val="Heading 91"/>
    <w:basedOn w:val="Normal"/>
    <w:next w:val="BodyText"/>
    <w:uiPriority w:val="14"/>
    <w:qFormat/>
    <w:rsid w:val="00233BBF"/>
    <w:pPr>
      <w:tabs>
        <w:tab w:val="left" w:pos="6480"/>
      </w:tabs>
      <w:spacing w:after="240" w:line="240" w:lineRule="auto"/>
      <w:outlineLvl w:val="8"/>
    </w:pPr>
    <w:rPr>
      <w:rFonts w:ascii="Tahoma" w:eastAsia="SimSun" w:hAnsi="Tahoma" w:cs="Times New Roman"/>
      <w:iCs/>
      <w:color w:val="000000"/>
      <w:sz w:val="20"/>
      <w:szCs w:val="20"/>
    </w:rPr>
  </w:style>
  <w:style w:type="paragraph" w:styleId="BodyText">
    <w:name w:val="Body Text"/>
    <w:basedOn w:val="Normal"/>
    <w:link w:val="BodyTextChar"/>
    <w:uiPriority w:val="99"/>
    <w:unhideWhenUsed/>
    <w:rsid w:val="0075738F"/>
    <w:pPr>
      <w:spacing w:after="240" w:line="240" w:lineRule="auto"/>
    </w:pPr>
    <w:rPr>
      <w:rFonts w:eastAsia="Arial" w:cs="Times New Roman"/>
      <w:i/>
      <w:szCs w:val="24"/>
    </w:rPr>
  </w:style>
  <w:style w:type="character" w:customStyle="1" w:styleId="BodyTextChar">
    <w:name w:val="Body Text Char"/>
    <w:basedOn w:val="DefaultParagraphFont"/>
    <w:link w:val="BodyText"/>
    <w:uiPriority w:val="99"/>
    <w:rsid w:val="0075738F"/>
    <w:rPr>
      <w:rFonts w:ascii="Times New Roman" w:eastAsia="Arial" w:hAnsi="Times New Roman" w:cs="Times New Roman"/>
      <w:i/>
      <w:sz w:val="24"/>
      <w:szCs w:val="24"/>
    </w:rPr>
  </w:style>
  <w:style w:type="character" w:customStyle="1" w:styleId="Heading2Char">
    <w:name w:val="Heading 2 Char"/>
    <w:basedOn w:val="DefaultParagraphFont"/>
    <w:link w:val="Heading2"/>
    <w:uiPriority w:val="9"/>
    <w:rsid w:val="00C67273"/>
    <w:rPr>
      <w:rFonts w:ascii="Times New Roman" w:eastAsiaTheme="majorEastAsia" w:hAnsi="Times New Roman" w:cstheme="majorBidi"/>
      <w:bCs/>
      <w:color w:val="000000"/>
      <w:sz w:val="24"/>
      <w:szCs w:val="26"/>
      <w:u w:color="000000"/>
    </w:rPr>
  </w:style>
  <w:style w:type="character" w:customStyle="1" w:styleId="Heading3Char">
    <w:name w:val="Heading 3 Char"/>
    <w:basedOn w:val="DefaultParagraphFont"/>
    <w:link w:val="Heading3"/>
    <w:uiPriority w:val="9"/>
    <w:rsid w:val="00C67273"/>
    <w:rPr>
      <w:rFonts w:ascii="Times New Roman" w:eastAsiaTheme="majorEastAsia" w:hAnsi="Times New Roman" w:cstheme="majorBidi"/>
      <w:bCs/>
      <w:color w:val="000000"/>
      <w:sz w:val="24"/>
      <w:u w:color="000000"/>
    </w:rPr>
  </w:style>
  <w:style w:type="character" w:customStyle="1" w:styleId="Heading4Char">
    <w:name w:val="Heading 4 Char"/>
    <w:basedOn w:val="DefaultParagraphFont"/>
    <w:link w:val="Heading4"/>
    <w:uiPriority w:val="9"/>
    <w:semiHidden/>
    <w:rsid w:val="00C67273"/>
    <w:rPr>
      <w:rFonts w:ascii="Calibri" w:eastAsiaTheme="majorEastAsia" w:hAnsi="Calibri" w:cstheme="majorBidi"/>
      <w:bCs/>
      <w:iCs/>
      <w:color w:val="000000"/>
      <w:u w:color="000000"/>
    </w:rPr>
  </w:style>
  <w:style w:type="character" w:customStyle="1" w:styleId="Heading5Char">
    <w:name w:val="Heading 5 Char"/>
    <w:basedOn w:val="DefaultParagraphFont"/>
    <w:link w:val="Heading5"/>
    <w:uiPriority w:val="9"/>
    <w:semiHidden/>
    <w:rsid w:val="00C67273"/>
    <w:rPr>
      <w:rFonts w:ascii="Calibri" w:eastAsiaTheme="majorEastAsia" w:hAnsi="Calibri" w:cstheme="majorBidi"/>
      <w:color w:val="000000"/>
      <w:u w:color="000000"/>
    </w:rPr>
  </w:style>
  <w:style w:type="character" w:customStyle="1" w:styleId="Heading6Char">
    <w:name w:val="Heading 6 Char"/>
    <w:basedOn w:val="DefaultParagraphFont"/>
    <w:link w:val="Heading6"/>
    <w:uiPriority w:val="9"/>
    <w:semiHidden/>
    <w:rsid w:val="00C67273"/>
    <w:rPr>
      <w:rFonts w:ascii="Calibri" w:eastAsiaTheme="majorEastAsia" w:hAnsi="Calibri" w:cstheme="majorBidi"/>
      <w:iCs/>
      <w:color w:val="000000"/>
      <w:u w:color="000000"/>
    </w:rPr>
  </w:style>
  <w:style w:type="character" w:customStyle="1" w:styleId="Heading7Char">
    <w:name w:val="Heading 7 Char"/>
    <w:basedOn w:val="DefaultParagraphFont"/>
    <w:link w:val="Heading7"/>
    <w:uiPriority w:val="9"/>
    <w:semiHidden/>
    <w:rsid w:val="00C67273"/>
    <w:rPr>
      <w:rFonts w:ascii="Calibri" w:eastAsiaTheme="majorEastAsia" w:hAnsi="Calibri" w:cstheme="majorBidi"/>
      <w:iCs/>
      <w:color w:val="000000"/>
      <w:u w:color="000000"/>
    </w:rPr>
  </w:style>
  <w:style w:type="character" w:customStyle="1" w:styleId="Heading8Char">
    <w:name w:val="Heading 8 Char"/>
    <w:basedOn w:val="DefaultParagraphFont"/>
    <w:link w:val="Heading8"/>
    <w:uiPriority w:val="9"/>
    <w:semiHidden/>
    <w:rsid w:val="00C67273"/>
    <w:rPr>
      <w:rFonts w:ascii="Calibri" w:eastAsiaTheme="majorEastAsia" w:hAnsi="Calibri" w:cstheme="majorBidi"/>
      <w:color w:val="000000"/>
      <w:szCs w:val="20"/>
      <w:u w:color="000000"/>
    </w:rPr>
  </w:style>
  <w:style w:type="character" w:customStyle="1" w:styleId="Heading9Char">
    <w:name w:val="Heading 9 Char"/>
    <w:basedOn w:val="DefaultParagraphFont"/>
    <w:link w:val="Heading9"/>
    <w:uiPriority w:val="9"/>
    <w:semiHidden/>
    <w:rsid w:val="00C67273"/>
    <w:rPr>
      <w:rFonts w:ascii="Calibri" w:eastAsiaTheme="majorEastAsia" w:hAnsi="Calibri" w:cstheme="majorBidi"/>
      <w:iCs/>
      <w:color w:val="000000"/>
      <w:szCs w:val="20"/>
      <w:u w:color="000000"/>
    </w:rPr>
  </w:style>
  <w:style w:type="paragraph" w:styleId="BalloonText">
    <w:name w:val="Balloon Text"/>
    <w:basedOn w:val="Normal"/>
    <w:link w:val="BalloonTextChar"/>
    <w:uiPriority w:val="99"/>
    <w:semiHidden/>
    <w:unhideWhenUsed/>
    <w:rsid w:val="00C64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FC"/>
    <w:rPr>
      <w:rFonts w:ascii="Tahoma" w:hAnsi="Tahoma" w:cs="Tahoma"/>
      <w:sz w:val="16"/>
      <w:szCs w:val="16"/>
    </w:rPr>
  </w:style>
  <w:style w:type="character" w:styleId="CommentReference">
    <w:name w:val="annotation reference"/>
    <w:basedOn w:val="DefaultParagraphFont"/>
    <w:uiPriority w:val="99"/>
    <w:semiHidden/>
    <w:unhideWhenUsed/>
    <w:rsid w:val="001A4AFF"/>
    <w:rPr>
      <w:sz w:val="16"/>
      <w:szCs w:val="16"/>
    </w:rPr>
  </w:style>
  <w:style w:type="paragraph" w:styleId="CommentText">
    <w:name w:val="annotation text"/>
    <w:basedOn w:val="Normal"/>
    <w:link w:val="CommentTextChar"/>
    <w:uiPriority w:val="99"/>
    <w:semiHidden/>
    <w:unhideWhenUsed/>
    <w:rsid w:val="001A4AFF"/>
    <w:pPr>
      <w:spacing w:line="240" w:lineRule="auto"/>
    </w:pPr>
    <w:rPr>
      <w:sz w:val="20"/>
      <w:szCs w:val="20"/>
    </w:rPr>
  </w:style>
  <w:style w:type="character" w:customStyle="1" w:styleId="CommentTextChar">
    <w:name w:val="Comment Text Char"/>
    <w:basedOn w:val="DefaultParagraphFont"/>
    <w:link w:val="CommentText"/>
    <w:uiPriority w:val="99"/>
    <w:semiHidden/>
    <w:rsid w:val="001A4A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4AFF"/>
    <w:rPr>
      <w:b/>
      <w:bCs/>
    </w:rPr>
  </w:style>
  <w:style w:type="character" w:customStyle="1" w:styleId="CommentSubjectChar">
    <w:name w:val="Comment Subject Char"/>
    <w:basedOn w:val="CommentTextChar"/>
    <w:link w:val="CommentSubject"/>
    <w:uiPriority w:val="99"/>
    <w:semiHidden/>
    <w:rsid w:val="001A4AFF"/>
    <w:rPr>
      <w:rFonts w:ascii="Times New Roman" w:hAnsi="Times New Roman"/>
      <w:b/>
      <w:bCs/>
      <w:sz w:val="20"/>
      <w:szCs w:val="20"/>
    </w:rPr>
  </w:style>
  <w:style w:type="paragraph" w:styleId="Title">
    <w:name w:val="Title"/>
    <w:basedOn w:val="Normal"/>
    <w:next w:val="Normal"/>
    <w:link w:val="TitleChar"/>
    <w:uiPriority w:val="10"/>
    <w:qFormat/>
    <w:rsid w:val="0075738F"/>
    <w:pPr>
      <w:jc w:val="center"/>
    </w:pPr>
    <w:rPr>
      <w:rFonts w:cs="Times New Roman"/>
      <w:b/>
      <w:szCs w:val="24"/>
    </w:rPr>
  </w:style>
  <w:style w:type="character" w:customStyle="1" w:styleId="TitleChar">
    <w:name w:val="Title Char"/>
    <w:basedOn w:val="DefaultParagraphFont"/>
    <w:link w:val="Title"/>
    <w:uiPriority w:val="10"/>
    <w:rsid w:val="0075738F"/>
    <w:rPr>
      <w:rFonts w:ascii="Times New Roman" w:hAnsi="Times New Roman" w:cs="Times New Roman"/>
      <w:b/>
      <w:sz w:val="24"/>
      <w:szCs w:val="24"/>
    </w:rPr>
  </w:style>
  <w:style w:type="paragraph" w:styleId="BlockText">
    <w:name w:val="Block Text"/>
    <w:basedOn w:val="Normal"/>
    <w:uiPriority w:val="99"/>
    <w:unhideWhenUsed/>
    <w:rsid w:val="0075738F"/>
    <w:pPr>
      <w:spacing w:before="29" w:line="237" w:lineRule="exact"/>
      <w:ind w:left="1440" w:right="720"/>
      <w:textAlignment w:val="baseline"/>
    </w:pPr>
    <w:rPr>
      <w:rFonts w:eastAsia="Times New Roman" w:cs="Times New Roman"/>
      <w:color w:val="000000"/>
      <w:spacing w:val="-2"/>
      <w:szCs w:val="24"/>
    </w:rPr>
  </w:style>
  <w:style w:type="paragraph" w:styleId="Revision">
    <w:name w:val="Revision"/>
    <w:hidden/>
    <w:uiPriority w:val="99"/>
    <w:semiHidden/>
    <w:rsid w:val="00705DFA"/>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13BC0"/>
  </w:style>
  <w:style w:type="paragraph" w:styleId="ListParagraph">
    <w:name w:val="List Paragraph"/>
    <w:basedOn w:val="Normal"/>
    <w:uiPriority w:val="34"/>
    <w:qFormat/>
    <w:rsid w:val="00B13BC0"/>
    <w:pPr>
      <w:ind w:left="720"/>
      <w:contextualSpacing/>
    </w:pPr>
  </w:style>
  <w:style w:type="character" w:styleId="Hyperlink">
    <w:name w:val="Hyperlink"/>
    <w:basedOn w:val="DefaultParagraphFont"/>
    <w:uiPriority w:val="99"/>
    <w:unhideWhenUsed/>
    <w:rsid w:val="005C4FEE"/>
    <w:rPr>
      <w:color w:val="0000FF" w:themeColor="hyperlink"/>
      <w:u w:val="single"/>
    </w:rPr>
  </w:style>
  <w:style w:type="character" w:customStyle="1" w:styleId="UnresolvedMention1">
    <w:name w:val="Unresolved Mention1"/>
    <w:basedOn w:val="DefaultParagraphFont"/>
    <w:uiPriority w:val="99"/>
    <w:semiHidden/>
    <w:unhideWhenUsed/>
    <w:rsid w:val="005C4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2020-06-02T23:09:00Z</dcterms:created>
  <dcterms:modified xsi:type="dcterms:W3CDTF">2020-06-02T23:09:00Z</dcterms:modified>
</cp:coreProperties>
</file>