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7B6B" w14:textId="6C87B7D9" w:rsidR="00021CC9" w:rsidRDefault="00021CC9" w:rsidP="006B3189">
      <w:pPr>
        <w:pStyle w:val="BlockTextJ"/>
        <w:ind w:left="720" w:hanging="720"/>
        <w:jc w:val="center"/>
      </w:pPr>
      <w:r w:rsidRPr="00021CC9">
        <w:t xml:space="preserve">This document has been prepared as part of the implementation project of Legal Pathways to Deep Decarbonization (Michael B. Gerrard and John C. </w:t>
      </w:r>
      <w:proofErr w:type="spellStart"/>
      <w:r w:rsidRPr="00021CC9">
        <w:t>Dernbach</w:t>
      </w:r>
      <w:proofErr w:type="spellEnd"/>
      <w:r w:rsidRPr="00021CC9">
        <w:t>, eds. Environmental Law Institute [2019]) (LPDD).  For background information on the project, see https://lpdd.org</w:t>
      </w:r>
    </w:p>
    <w:p w14:paraId="5F2B5E5F" w14:textId="00A04742" w:rsidR="006B3189" w:rsidRDefault="003D3839" w:rsidP="006B3189">
      <w:pPr>
        <w:pStyle w:val="BlockTextJ"/>
        <w:ind w:left="720" w:hanging="720"/>
        <w:jc w:val="center"/>
      </w:pPr>
      <w:r>
        <w:t xml:space="preserve">MODEL </w:t>
      </w:r>
      <w:r w:rsidR="008D4DF4">
        <w:t xml:space="preserve">STATE </w:t>
      </w:r>
      <w:r>
        <w:t xml:space="preserve">LAW </w:t>
      </w:r>
      <w:r w:rsidR="00C37465">
        <w:t>PROVISION</w:t>
      </w:r>
      <w:r w:rsidR="008D4DF4">
        <w:t xml:space="preserve"> TO PROMOTE LOCAL EMPLOYMENT IN CONNECTION WITH DECARBONIZATION LAWS AND POLICIES</w:t>
      </w:r>
      <w:r w:rsidR="009E63D1">
        <w:t>*</w:t>
      </w:r>
    </w:p>
    <w:p w14:paraId="684F1F2A" w14:textId="7BEDCCAA" w:rsidR="009E63D1" w:rsidRDefault="009E63D1" w:rsidP="006B3189">
      <w:pPr>
        <w:pStyle w:val="BlockTextJ"/>
        <w:ind w:left="720" w:hanging="720"/>
        <w:jc w:val="center"/>
      </w:pPr>
    </w:p>
    <w:p w14:paraId="1DD05574" w14:textId="77777777" w:rsidR="006B3189" w:rsidRDefault="006B3189" w:rsidP="00A84CC6">
      <w:pPr>
        <w:pStyle w:val="BlockTextJ"/>
        <w:spacing w:line="360" w:lineRule="auto"/>
        <w:ind w:left="720" w:hanging="720"/>
        <w:rPr>
          <w:b/>
        </w:rPr>
      </w:pPr>
      <w:r>
        <w:rPr>
          <w:b/>
        </w:rPr>
        <w:t>Introduction</w:t>
      </w:r>
    </w:p>
    <w:p w14:paraId="5C6B0F0B" w14:textId="25EE242D" w:rsidR="006B3189" w:rsidRDefault="006B3189" w:rsidP="00A84CC6">
      <w:pPr>
        <w:pStyle w:val="BlockTextJ"/>
        <w:spacing w:line="360" w:lineRule="auto"/>
        <w:ind w:firstLine="720"/>
      </w:pPr>
      <w:r>
        <w:t xml:space="preserve">The </w:t>
      </w:r>
      <w:r w:rsidRPr="00183B40">
        <w:rPr>
          <w:i/>
        </w:rPr>
        <w:t>Model Laws for Deep Decarbonization in the United States</w:t>
      </w:r>
      <w:r>
        <w:t xml:space="preserve"> project at Columbia Law School’s Sabin </w:t>
      </w:r>
      <w:r w:rsidRPr="00697DDB">
        <w:t xml:space="preserve">Center for Climate Change Law develops model laws that can be adopted by all levels of government </w:t>
      </w:r>
      <w:r w:rsidR="004A723D">
        <w:t xml:space="preserve">to </w:t>
      </w:r>
      <w:r w:rsidR="00697DDB" w:rsidRPr="00697DDB">
        <w:t xml:space="preserve">help accelerate a sustainable U.S. transition to net zero greenhouse gas </w:t>
      </w:r>
      <w:r w:rsidR="00C2636D">
        <w:t>(“</w:t>
      </w:r>
      <w:r w:rsidR="00C2636D" w:rsidRPr="00C2636D">
        <w:rPr>
          <w:b/>
          <w:bCs/>
        </w:rPr>
        <w:t>GHG</w:t>
      </w:r>
      <w:r w:rsidR="00C2636D">
        <w:t xml:space="preserve">”) </w:t>
      </w:r>
      <w:r w:rsidR="00697DDB" w:rsidRPr="00697DDB">
        <w:t>emissions</w:t>
      </w:r>
      <w:r w:rsidR="004A13A9">
        <w:t>,</w:t>
      </w:r>
      <w:r w:rsidR="00686123" w:rsidRPr="00697DDB">
        <w:t xml:space="preserve"> </w:t>
      </w:r>
      <w:r w:rsidR="00697DDB">
        <w:t>at the same time as</w:t>
      </w:r>
      <w:r w:rsidR="00686123" w:rsidRPr="00697DDB">
        <w:t xml:space="preserve"> </w:t>
      </w:r>
      <w:r w:rsidR="00697DDB" w:rsidRPr="00697DDB">
        <w:t>creatin</w:t>
      </w:r>
      <w:r w:rsidR="00464FCC">
        <w:t xml:space="preserve">g </w:t>
      </w:r>
      <w:r w:rsidR="003C7D41">
        <w:t>decent</w:t>
      </w:r>
      <w:r w:rsidR="00697DDB">
        <w:t xml:space="preserve"> </w:t>
      </w:r>
      <w:r w:rsidR="00697DDB" w:rsidRPr="00697DDB">
        <w:t>jobs</w:t>
      </w:r>
      <w:r w:rsidR="00697DDB">
        <w:t xml:space="preserve"> for </w:t>
      </w:r>
      <w:r w:rsidR="00E033BE">
        <w:t>local communities</w:t>
      </w:r>
      <w:r w:rsidRPr="00697DDB">
        <w:t>.</w:t>
      </w:r>
      <w:r w:rsidRPr="00697DDB">
        <w:rPr>
          <w:rStyle w:val="FootnoteReference"/>
        </w:rPr>
        <w:footnoteReference w:id="1"/>
      </w:r>
    </w:p>
    <w:p w14:paraId="122CF2EA" w14:textId="6C41B6E4" w:rsidR="00C37465" w:rsidRDefault="006B3189" w:rsidP="00A84CC6">
      <w:pPr>
        <w:pStyle w:val="BlockTextJ"/>
        <w:spacing w:line="360" w:lineRule="auto"/>
        <w:ind w:firstLine="720"/>
      </w:pPr>
      <w:r>
        <w:t xml:space="preserve">Further </w:t>
      </w:r>
      <w:r w:rsidRPr="007E4AAA">
        <w:t>to the recommendation</w:t>
      </w:r>
      <w:r w:rsidRPr="00F50CFB">
        <w:t xml:space="preserve"> set out in </w:t>
      </w:r>
      <w:r w:rsidRPr="00E25252">
        <w:rPr>
          <w:i/>
        </w:rPr>
        <w:t>Legal Pathways to Deep Decarbonization in the United States</w:t>
      </w:r>
      <w:r w:rsidRPr="00725AC0">
        <w:t xml:space="preserve"> that </w:t>
      </w:r>
      <w:r w:rsidR="00C37465">
        <w:t>state and local governments should avoid adopting decarbonization laws that contain</w:t>
      </w:r>
      <w:r w:rsidR="00C577AE">
        <w:t xml:space="preserve"> </w:t>
      </w:r>
      <w:r w:rsidR="00EC067A">
        <w:t>“</w:t>
      </w:r>
      <w:r w:rsidR="00C37465">
        <w:t>local content requirements</w:t>
      </w:r>
      <w:r w:rsidR="00EC067A">
        <w:t>”</w:t>
      </w:r>
      <w:r w:rsidR="00C37465">
        <w:t xml:space="preserve"> (“</w:t>
      </w:r>
      <w:r w:rsidR="00C37465" w:rsidRPr="00C37465">
        <w:rPr>
          <w:b/>
        </w:rPr>
        <w:t>LCRs</w:t>
      </w:r>
      <w:r w:rsidR="00C37465">
        <w:t>”)</w:t>
      </w:r>
      <w:r w:rsidRPr="00725AC0">
        <w:t>,</w:t>
      </w:r>
      <w:r>
        <w:rPr>
          <w:rStyle w:val="FootnoteReference"/>
        </w:rPr>
        <w:footnoteReference w:id="2"/>
      </w:r>
      <w:r w:rsidRPr="00725AC0">
        <w:t xml:space="preserve"> </w:t>
      </w:r>
      <w:r w:rsidRPr="00183B40">
        <w:t xml:space="preserve">this Model </w:t>
      </w:r>
      <w:r w:rsidR="00C37465">
        <w:t xml:space="preserve">State Law Provision to Promote Local Employment in Connection with Decarbonization Laws and Policies </w:t>
      </w:r>
      <w:r w:rsidRPr="00183B40">
        <w:t>(the “</w:t>
      </w:r>
      <w:r w:rsidRPr="00183B40">
        <w:rPr>
          <w:b/>
        </w:rPr>
        <w:t xml:space="preserve">Model </w:t>
      </w:r>
      <w:r w:rsidR="0092038E">
        <w:rPr>
          <w:b/>
        </w:rPr>
        <w:t>Provision</w:t>
      </w:r>
      <w:r w:rsidRPr="00183B40">
        <w:t xml:space="preserve">”) provides </w:t>
      </w:r>
      <w:r w:rsidR="00F07560">
        <w:t>a regulatory</w:t>
      </w:r>
      <w:r w:rsidRPr="00183B40">
        <w:t xml:space="preserve"> </w:t>
      </w:r>
      <w:r w:rsidR="00C37465">
        <w:t xml:space="preserve">framework to promote local employment without </w:t>
      </w:r>
      <w:r w:rsidR="00882EE1">
        <w:t xml:space="preserve">resorting to </w:t>
      </w:r>
      <w:r w:rsidR="00181BF9">
        <w:t xml:space="preserve">protectionist </w:t>
      </w:r>
      <w:r w:rsidR="008E573F">
        <w:t>measures</w:t>
      </w:r>
      <w:r w:rsidRPr="00183B40">
        <w:t>.</w:t>
      </w:r>
    </w:p>
    <w:p w14:paraId="616FAD48" w14:textId="77777777" w:rsidR="00860358" w:rsidRDefault="0092038E" w:rsidP="00A84CC6">
      <w:pPr>
        <w:pStyle w:val="BlockTextJ"/>
        <w:spacing w:line="360" w:lineRule="auto"/>
        <w:ind w:firstLine="720"/>
      </w:pPr>
      <w:r>
        <w:t>A key goal</w:t>
      </w:r>
      <w:r w:rsidR="000B6412">
        <w:t xml:space="preserve"> </w:t>
      </w:r>
      <w:r>
        <w:t>of the Model Provision is</w:t>
      </w:r>
      <w:r w:rsidR="000B6412">
        <w:t xml:space="preserve"> to </w:t>
      </w:r>
      <w:r w:rsidR="00220D76">
        <w:t xml:space="preserve">help </w:t>
      </w:r>
      <w:r w:rsidR="00D234B6">
        <w:t>secure</w:t>
      </w:r>
      <w:r w:rsidR="004A13A9">
        <w:t xml:space="preserve"> public support and private investment </w:t>
      </w:r>
      <w:r w:rsidR="00DB54DE">
        <w:t>in</w:t>
      </w:r>
      <w:r w:rsidR="004A13A9">
        <w:t xml:space="preserve"> a “just transition” to a zero</w:t>
      </w:r>
      <w:r w:rsidR="00D234B6">
        <w:t>-</w:t>
      </w:r>
      <w:r w:rsidR="004A13A9">
        <w:t>carbon economy</w:t>
      </w:r>
      <w:r w:rsidR="00361731">
        <w:t xml:space="preserve"> </w:t>
      </w:r>
      <w:r w:rsidR="00DB54DE">
        <w:t>through</w:t>
      </w:r>
      <w:r w:rsidR="00361731">
        <w:t xml:space="preserve"> </w:t>
      </w:r>
      <w:r w:rsidR="00A1647E">
        <w:t xml:space="preserve">evidence-based </w:t>
      </w:r>
      <w:r w:rsidR="00400905">
        <w:t xml:space="preserve">policies </w:t>
      </w:r>
      <w:r w:rsidR="00400905">
        <w:lastRenderedPageBreak/>
        <w:t xml:space="preserve">that facilitate </w:t>
      </w:r>
      <w:r w:rsidR="000B6412" w:rsidRPr="000B6412">
        <w:t>a virtuous circle of cost reduc</w:t>
      </w:r>
      <w:r w:rsidR="003A0EF7">
        <w:t xml:space="preserve">tion, </w:t>
      </w:r>
      <w:r w:rsidR="000B6412" w:rsidRPr="000B6412">
        <w:t>economic growth</w:t>
      </w:r>
      <w:r w:rsidR="003A0EF7">
        <w:t xml:space="preserve">, and </w:t>
      </w:r>
      <w:r w:rsidR="004A13A9">
        <w:t xml:space="preserve">the </w:t>
      </w:r>
      <w:r w:rsidR="003A0EF7">
        <w:t>creation</w:t>
      </w:r>
      <w:r w:rsidR="004A13A9">
        <w:t xml:space="preserve"> of local, decent</w:t>
      </w:r>
      <w:r w:rsidR="00400905">
        <w:t xml:space="preserve"> </w:t>
      </w:r>
      <w:r w:rsidR="004A13A9">
        <w:t>jobs</w:t>
      </w:r>
      <w:r w:rsidR="000B6412" w:rsidRPr="000B6412">
        <w:t>.</w:t>
      </w:r>
      <w:r w:rsidR="007532C9">
        <w:rPr>
          <w:rStyle w:val="FootnoteReference"/>
        </w:rPr>
        <w:footnoteReference w:id="3"/>
      </w:r>
      <w:r w:rsidR="004A13A9">
        <w:t xml:space="preserve"> </w:t>
      </w:r>
    </w:p>
    <w:p w14:paraId="14579ECA" w14:textId="4F88EA56" w:rsidR="000B6412" w:rsidRDefault="00860358" w:rsidP="00A84CC6">
      <w:pPr>
        <w:pStyle w:val="BlockTextJ"/>
        <w:spacing w:line="360" w:lineRule="auto"/>
        <w:ind w:firstLine="720"/>
      </w:pPr>
      <w:r>
        <w:t>The Model Provision is not intended to be a comprehensive,</w:t>
      </w:r>
      <w:r w:rsidR="00D679AA">
        <w:t xml:space="preserve"> </w:t>
      </w:r>
      <w:r>
        <w:t xml:space="preserve">stand-alone </w:t>
      </w:r>
      <w:r w:rsidR="00D679AA">
        <w:t xml:space="preserve">state </w:t>
      </w:r>
      <w:r>
        <w:t>law. Rather, it is</w:t>
      </w:r>
      <w:r w:rsidR="00D679AA">
        <w:t xml:space="preserve"> a provision </w:t>
      </w:r>
      <w:r>
        <w:t>designed to be included in more comprehensive state legislation addressing climate change mitigation or adaptation, or other legislation</w:t>
      </w:r>
      <w:r w:rsidR="00D679AA">
        <w:t xml:space="preserve"> addressing decarbonization</w:t>
      </w:r>
      <w:r>
        <w:t>.</w:t>
      </w:r>
      <w:r w:rsidR="00DB5A7E">
        <w:t xml:space="preserve">  Such legislation should take into consideration </w:t>
      </w:r>
      <w:r w:rsidR="000510CC">
        <w:t xml:space="preserve">international and regional trade law implications under </w:t>
      </w:r>
      <w:r w:rsidR="00DB5A7E">
        <w:t xml:space="preserve">both </w:t>
      </w:r>
      <w:r w:rsidR="000510CC">
        <w:t>World Trade Organization (“</w:t>
      </w:r>
      <w:r w:rsidR="000510CC" w:rsidRPr="00686123">
        <w:rPr>
          <w:b/>
        </w:rPr>
        <w:t>WTO</w:t>
      </w:r>
      <w:r w:rsidR="000510CC">
        <w:t>”) rules and</w:t>
      </w:r>
      <w:r w:rsidR="00DB5A7E">
        <w:rPr>
          <w:lang w:val="en-GB"/>
        </w:rPr>
        <w:t xml:space="preserve"> </w:t>
      </w:r>
      <w:r w:rsidR="000510CC">
        <w:rPr>
          <w:lang w:val="en-GB"/>
        </w:rPr>
        <w:t xml:space="preserve">the </w:t>
      </w:r>
      <w:r w:rsidR="000510CC">
        <w:t>United States-Mexico-Canada-Agreement (“</w:t>
      </w:r>
      <w:r w:rsidR="000510CC" w:rsidRPr="0009549F">
        <w:rPr>
          <w:b/>
          <w:bCs/>
        </w:rPr>
        <w:t>USMCA</w:t>
      </w:r>
      <w:r w:rsidR="000510CC">
        <w:t>”) (which replaced NAFTA)</w:t>
      </w:r>
      <w:r w:rsidR="00DB5A7E">
        <w:rPr>
          <w:lang w:val="en-GB"/>
        </w:rPr>
        <w:t>.</w:t>
      </w:r>
      <w:r w:rsidR="000510CC">
        <w:rPr>
          <w:lang w:val="en-GB"/>
        </w:rPr>
        <w:t xml:space="preserve">  </w:t>
      </w:r>
      <w:r w:rsidR="003D530A">
        <w:t>For completeness</w:t>
      </w:r>
      <w:r w:rsidR="00DB5A7E">
        <w:t>,</w:t>
      </w:r>
      <w:r w:rsidR="003D530A">
        <w:t xml:space="preserve"> it should also be noted that</w:t>
      </w:r>
      <w:r w:rsidR="00DB5A7E">
        <w:t xml:space="preserve"> </w:t>
      </w:r>
      <w:r w:rsidR="00DB5A7E">
        <w:rPr>
          <w:lang w:val="en-GB"/>
        </w:rPr>
        <w:t xml:space="preserve">LCRs – </w:t>
      </w:r>
      <w:r w:rsidR="000510CC">
        <w:rPr>
          <w:lang w:val="en-GB"/>
        </w:rPr>
        <w:t>although</w:t>
      </w:r>
      <w:r w:rsidR="00DB5A7E">
        <w:rPr>
          <w:lang w:val="en-GB"/>
        </w:rPr>
        <w:t xml:space="preserve"> the focus here – are not the only trade issue implicated in the Model Provision or decarbonization policies generally.  </w:t>
      </w:r>
    </w:p>
    <w:p w14:paraId="007379FD" w14:textId="77777777" w:rsidR="00C37465" w:rsidRDefault="00C37465" w:rsidP="00A661D7">
      <w:pPr>
        <w:pStyle w:val="BlockTextJ"/>
        <w:keepNext/>
        <w:spacing w:line="360" w:lineRule="auto"/>
        <w:rPr>
          <w:b/>
        </w:rPr>
      </w:pPr>
      <w:r>
        <w:rPr>
          <w:b/>
        </w:rPr>
        <w:t>LCRs are prohibited by WTO rules</w:t>
      </w:r>
      <w:r w:rsidR="007A1311">
        <w:rPr>
          <w:b/>
        </w:rPr>
        <w:t xml:space="preserve"> and </w:t>
      </w:r>
      <w:r>
        <w:rPr>
          <w:b/>
        </w:rPr>
        <w:t>international trade law</w:t>
      </w:r>
    </w:p>
    <w:p w14:paraId="691B80C7" w14:textId="77777777" w:rsidR="00186C05" w:rsidRDefault="00E25252" w:rsidP="00A661D7">
      <w:pPr>
        <w:pStyle w:val="BlockTextJ"/>
        <w:keepNext/>
        <w:spacing w:line="360" w:lineRule="auto"/>
      </w:pPr>
      <w:r>
        <w:t>As described</w:t>
      </w:r>
      <w:r w:rsidRPr="00F50CFB">
        <w:t xml:space="preserve"> in</w:t>
      </w:r>
      <w:r>
        <w:t xml:space="preserve"> detail in</w:t>
      </w:r>
      <w:r w:rsidRPr="00F50CFB">
        <w:t xml:space="preserve"> </w:t>
      </w:r>
      <w:r w:rsidRPr="00E25252">
        <w:rPr>
          <w:i/>
        </w:rPr>
        <w:t>Legal Pathways to Deep Decarbonization in the United States</w:t>
      </w:r>
      <w:r>
        <w:t>, governments must ensure that their climate change policies and decarbonization strategies comply with international trade rules.</w:t>
      </w:r>
      <w:r>
        <w:rPr>
          <w:rStyle w:val="FootnoteReference"/>
        </w:rPr>
        <w:footnoteReference w:id="4"/>
      </w:r>
    </w:p>
    <w:p w14:paraId="5F283007" w14:textId="77777777" w:rsidR="00E10812" w:rsidRDefault="00DB54DE" w:rsidP="00A661D7">
      <w:pPr>
        <w:pStyle w:val="BlockTextJ"/>
        <w:keepNext/>
        <w:spacing w:line="360" w:lineRule="auto"/>
      </w:pPr>
      <w:r>
        <w:t xml:space="preserve">In the context of international trade, </w:t>
      </w:r>
      <w:r w:rsidR="00FD177D">
        <w:t xml:space="preserve">LCRs </w:t>
      </w:r>
      <w:r w:rsidR="00BA18A1">
        <w:t>are “policies imposed by governments that require firms to use domestically-manufactured goods or domestically-supplied services in order to operate in an economy.”</w:t>
      </w:r>
      <w:r w:rsidR="00BA18A1">
        <w:rPr>
          <w:rStyle w:val="FootnoteReference"/>
        </w:rPr>
        <w:footnoteReference w:id="5"/>
      </w:r>
      <w:r w:rsidR="006C33F0">
        <w:t xml:space="preserve">  Governments often resort to LCRs more frequently during economic difficulties.</w:t>
      </w:r>
      <w:r w:rsidR="006C33F0">
        <w:rPr>
          <w:rStyle w:val="FootnoteReference"/>
        </w:rPr>
        <w:footnoteReference w:id="6"/>
      </w:r>
      <w:r w:rsidR="00E10812">
        <w:t xml:space="preserve">  </w:t>
      </w:r>
    </w:p>
    <w:p w14:paraId="23C76AC4" w14:textId="77777777" w:rsidR="00FD177D" w:rsidRDefault="00E10812" w:rsidP="00A84CC6">
      <w:pPr>
        <w:pStyle w:val="BlockTextJ"/>
        <w:spacing w:line="360" w:lineRule="auto"/>
      </w:pPr>
      <w:r>
        <w:t>There are two broad categories of LCRs:</w:t>
      </w:r>
    </w:p>
    <w:p w14:paraId="34579C19" w14:textId="77777777" w:rsidR="00E10812" w:rsidRPr="00E10812" w:rsidRDefault="00E10812" w:rsidP="00A84CC6">
      <w:pPr>
        <w:pStyle w:val="BlockTextJ"/>
        <w:spacing w:line="360" w:lineRule="auto"/>
        <w:ind w:left="720"/>
        <w:rPr>
          <w:sz w:val="22"/>
          <w:szCs w:val="22"/>
        </w:rPr>
      </w:pPr>
      <w:r w:rsidRPr="00E10812">
        <w:rPr>
          <w:sz w:val="22"/>
          <w:szCs w:val="22"/>
        </w:rPr>
        <w:t xml:space="preserve">First, they can take the form of quantitative requirements that are legally binding in terms of volumes, such as number of local staff and contracts to domestic suppliers, or in value such as </w:t>
      </w:r>
      <w:r w:rsidRPr="00E10812">
        <w:rPr>
          <w:sz w:val="22"/>
          <w:szCs w:val="22"/>
        </w:rPr>
        <w:lastRenderedPageBreak/>
        <w:t>the percentage of local procurement in the overall investment. Second, they can also be qualitative requirements such as local technology transfer and local staff training.</w:t>
      </w:r>
      <w:r>
        <w:rPr>
          <w:rStyle w:val="FootnoteReference"/>
          <w:sz w:val="22"/>
          <w:szCs w:val="22"/>
        </w:rPr>
        <w:footnoteReference w:id="7"/>
      </w:r>
    </w:p>
    <w:p w14:paraId="200C3C15" w14:textId="738B1A19" w:rsidR="00BA18A1" w:rsidRDefault="00686123" w:rsidP="00A84CC6">
      <w:pPr>
        <w:pStyle w:val="BlockTextJ"/>
        <w:spacing w:line="360" w:lineRule="auto"/>
      </w:pPr>
      <w:r>
        <w:t xml:space="preserve">LCRs are prohibited under </w:t>
      </w:r>
      <w:r w:rsidR="000510CC">
        <w:t xml:space="preserve">WTO </w:t>
      </w:r>
      <w:r>
        <w:t>rules and international trade law</w:t>
      </w:r>
      <w:r w:rsidR="00E96B1D">
        <w:t xml:space="preserve"> because </w:t>
      </w:r>
      <w:r w:rsidR="00E96B1D" w:rsidRPr="001D0B1C">
        <w:t xml:space="preserve">they </w:t>
      </w:r>
      <w:r w:rsidR="001D0B1C" w:rsidRPr="001D0B1C">
        <w:t>have a discriminatory impact on imported goods</w:t>
      </w:r>
      <w:r w:rsidR="00041CBD">
        <w:t>,</w:t>
      </w:r>
      <w:r w:rsidR="00E95031">
        <w:rPr>
          <w:rStyle w:val="FootnoteReference"/>
        </w:rPr>
        <w:footnoteReference w:id="8"/>
      </w:r>
      <w:r w:rsidR="008912FA" w:rsidRPr="001D0B1C">
        <w:t xml:space="preserve">  </w:t>
      </w:r>
      <w:r w:rsidR="00041CBD">
        <w:t>unless they come under a government procurement exception under GATT Article III:8.</w:t>
      </w:r>
      <w:r w:rsidR="00C36C5E">
        <w:rPr>
          <w:rStyle w:val="FootnoteReference"/>
        </w:rPr>
        <w:footnoteReference w:id="9"/>
      </w:r>
      <w:r w:rsidR="00041CBD">
        <w:t xml:space="preserve">  </w:t>
      </w:r>
      <w:r w:rsidR="008912FA" w:rsidRPr="001D0B1C">
        <w:t>“</w:t>
      </w:r>
      <w:r w:rsidR="008912FA">
        <w:t>Voluntary” commitments by investors to use local content are also prohibited.</w:t>
      </w:r>
      <w:r w:rsidR="008912FA">
        <w:rPr>
          <w:rStyle w:val="FootnoteReference"/>
        </w:rPr>
        <w:footnoteReference w:id="10"/>
      </w:r>
      <w:r w:rsidR="008912FA">
        <w:t xml:space="preserve">  In spite of these restrictions, however, LCRs “have remained, and will likely continue to be, in wide use.”</w:t>
      </w:r>
      <w:r w:rsidR="008912FA">
        <w:rPr>
          <w:rStyle w:val="FootnoteReference"/>
        </w:rPr>
        <w:footnoteReference w:id="11"/>
      </w:r>
    </w:p>
    <w:p w14:paraId="1069B2AB" w14:textId="77777777" w:rsidR="00686123" w:rsidRDefault="00AA6415" w:rsidP="00A84CC6">
      <w:pPr>
        <w:pStyle w:val="BlockTextJ"/>
        <w:spacing w:line="360" w:lineRule="auto"/>
      </w:pPr>
      <w:r>
        <w:t>Particularly s</w:t>
      </w:r>
      <w:r w:rsidR="00686123">
        <w:t xml:space="preserve">ince the 2008 Global Financial Crisis, LCRs have proliferated </w:t>
      </w:r>
      <w:r>
        <w:t xml:space="preserve">as a component of “green industrial policies” to promote </w:t>
      </w:r>
      <w:r w:rsidR="00650775">
        <w:t>local</w:t>
      </w:r>
      <w:r>
        <w:t xml:space="preserve"> manufacturing</w:t>
      </w:r>
      <w:r w:rsidR="00EC3E51">
        <w:t xml:space="preserve"> firms</w:t>
      </w:r>
      <w:r w:rsidR="00650775">
        <w:t xml:space="preserve"> and jobs</w:t>
      </w:r>
      <w:r>
        <w:t>, most notably in the renewable energy sector</w:t>
      </w:r>
      <w:r w:rsidR="00686123">
        <w:t>.</w:t>
      </w:r>
      <w:r w:rsidR="00686123">
        <w:rPr>
          <w:rStyle w:val="FootnoteReference"/>
        </w:rPr>
        <w:footnoteReference w:id="12"/>
      </w:r>
      <w:r w:rsidR="00686123">
        <w:t xml:space="preserve">  </w:t>
      </w:r>
    </w:p>
    <w:p w14:paraId="41F81713" w14:textId="77777777" w:rsidR="00686123" w:rsidRDefault="00686123" w:rsidP="00A84CC6">
      <w:pPr>
        <w:pStyle w:val="BlockTextJ"/>
        <w:spacing w:line="360" w:lineRule="auto"/>
      </w:pPr>
      <w:r>
        <w:t>In</w:t>
      </w:r>
      <w:r w:rsidR="00A733F2">
        <w:t xml:space="preserve">deed, </w:t>
      </w:r>
      <w:r w:rsidR="00E10812">
        <w:t xml:space="preserve">the use of </w:t>
      </w:r>
      <w:r>
        <w:t xml:space="preserve">LCRs </w:t>
      </w:r>
      <w:r w:rsidR="00A733F2">
        <w:t xml:space="preserve">in the renewable energy sector </w:t>
      </w:r>
      <w:r>
        <w:t>ha</w:t>
      </w:r>
      <w:r w:rsidR="00A733F2">
        <w:t>s</w:t>
      </w:r>
      <w:r>
        <w:t xml:space="preserve"> given rise to WTO disputes against the EU, Canada, India, and the United States.</w:t>
      </w:r>
      <w:r>
        <w:rPr>
          <w:rStyle w:val="FootnoteReference"/>
        </w:rPr>
        <w:footnoteReference w:id="13"/>
      </w:r>
      <w:r>
        <w:t xml:space="preserve">     </w:t>
      </w:r>
    </w:p>
    <w:p w14:paraId="6599FC48" w14:textId="77777777" w:rsidR="008912FA" w:rsidRDefault="00686123" w:rsidP="00A84CC6">
      <w:pPr>
        <w:pStyle w:val="BlockTextJ"/>
        <w:spacing w:line="360" w:lineRule="auto"/>
      </w:pPr>
      <w:r>
        <w:lastRenderedPageBreak/>
        <w:t xml:space="preserve">In 2019, the WTO </w:t>
      </w:r>
      <w:r w:rsidR="008912FA">
        <w:t>held that a number of US state renewable energy subsidies contained prohibited LCRs.</w:t>
      </w:r>
      <w:r w:rsidR="008912FA">
        <w:rPr>
          <w:rStyle w:val="FootnoteReference"/>
        </w:rPr>
        <w:footnoteReference w:id="14"/>
      </w:r>
      <w:r w:rsidR="008912FA">
        <w:t xml:space="preserve">  The offending measures offered additional incentives contingent upon the use of domestic over imported </w:t>
      </w:r>
      <w:r w:rsidR="009E6E78" w:rsidRPr="00D1749C">
        <w:t>goods such as solar panel components</w:t>
      </w:r>
      <w:r w:rsidR="008912FA" w:rsidRPr="00D1749C">
        <w:t>.  The</w:t>
      </w:r>
      <w:r w:rsidR="008912FA">
        <w:t xml:space="preserve"> WTO ordered the US to bring the measures into conformity with its obligations under Article III:4 of the GATT 1994.  As of late 2020, the US’s appeal of the decision to the WTO’s Appellate Body is pending.</w:t>
      </w:r>
      <w:r w:rsidR="008912FA">
        <w:rPr>
          <w:rStyle w:val="FootnoteReference"/>
        </w:rPr>
        <w:footnoteReference w:id="15"/>
      </w:r>
    </w:p>
    <w:p w14:paraId="5F7041D4" w14:textId="77777777" w:rsidR="001115D6" w:rsidRDefault="001115D6" w:rsidP="00A84CC6">
      <w:pPr>
        <w:pStyle w:val="BlockTextJ"/>
        <w:spacing w:line="360" w:lineRule="auto"/>
        <w:rPr>
          <w:b/>
        </w:rPr>
      </w:pPr>
      <w:r w:rsidRPr="001115D6">
        <w:rPr>
          <w:b/>
        </w:rPr>
        <w:t xml:space="preserve">LCRs may be incompatible with </w:t>
      </w:r>
      <w:r>
        <w:rPr>
          <w:b/>
        </w:rPr>
        <w:t>International Investment Agreements</w:t>
      </w:r>
    </w:p>
    <w:p w14:paraId="709A3C87" w14:textId="76830C2D" w:rsidR="007D5852" w:rsidRPr="001115D6" w:rsidRDefault="00464FCC" w:rsidP="00A84CC6">
      <w:pPr>
        <w:pStyle w:val="BlockTextJ"/>
        <w:spacing w:line="360" w:lineRule="auto"/>
      </w:pPr>
      <w:r>
        <w:t>In addition to WTO and international trade law, the US is also subject to international investment law obligations arising under numerous bilateral investment treaties and investment chapters of free trade agreements</w:t>
      </w:r>
      <w:r w:rsidR="007D5852">
        <w:t xml:space="preserve"> concerning the protection of foreign investment</w:t>
      </w:r>
      <w:r w:rsidR="005127F6">
        <w:t xml:space="preserve"> such as the</w:t>
      </w:r>
      <w:r w:rsidR="000510CC">
        <w:t xml:space="preserve"> USMCA</w:t>
      </w:r>
      <w:r>
        <w:t>.</w:t>
      </w:r>
      <w:r w:rsidR="005127F6">
        <w:t xml:space="preserve">  </w:t>
      </w:r>
      <w:r w:rsidR="007D5852">
        <w:t xml:space="preserve">LCRs may be prohibited under </w:t>
      </w:r>
      <w:r w:rsidR="005127F6">
        <w:t>such international</w:t>
      </w:r>
      <w:r w:rsidR="007D5852">
        <w:t xml:space="preserve"> investment </w:t>
      </w:r>
      <w:r w:rsidR="005127F6">
        <w:t xml:space="preserve">protection </w:t>
      </w:r>
      <w:r w:rsidR="007D5852">
        <w:t>agreements.</w:t>
      </w:r>
      <w:r w:rsidR="007D5852">
        <w:rPr>
          <w:rStyle w:val="FootnoteReference"/>
        </w:rPr>
        <w:footnoteReference w:id="16"/>
      </w:r>
      <w:r>
        <w:t xml:space="preserve">  </w:t>
      </w:r>
    </w:p>
    <w:p w14:paraId="6810F110" w14:textId="77777777" w:rsidR="001115D6" w:rsidRPr="001115D6" w:rsidRDefault="001115D6" w:rsidP="00A84CC6">
      <w:pPr>
        <w:pStyle w:val="BlockTextJ"/>
        <w:spacing w:line="360" w:lineRule="auto"/>
        <w:rPr>
          <w:b/>
        </w:rPr>
      </w:pPr>
      <w:r>
        <w:rPr>
          <w:b/>
        </w:rPr>
        <w:t>Alternatives to LCRs</w:t>
      </w:r>
    </w:p>
    <w:p w14:paraId="6CFCF3E9" w14:textId="77777777" w:rsidR="001115D6" w:rsidRDefault="00382147" w:rsidP="00A84CC6">
      <w:pPr>
        <w:pStyle w:val="BlockTextJ"/>
        <w:spacing w:line="360" w:lineRule="auto"/>
      </w:pPr>
      <w:r>
        <w:t>LCRs are politically attractive because of their potential to have immediate import-substitutive and job-creative effects at little or no fiscal cost to the government.</w:t>
      </w:r>
      <w:r>
        <w:rPr>
          <w:rStyle w:val="FootnoteReference"/>
        </w:rPr>
        <w:footnoteReference w:id="17"/>
      </w:r>
      <w:r>
        <w:t xml:space="preserve">  </w:t>
      </w:r>
      <w:r w:rsidR="00EB0026">
        <w:t xml:space="preserve">LCRs </w:t>
      </w:r>
      <w:r>
        <w:t>may</w:t>
      </w:r>
      <w:r w:rsidR="00EB0026">
        <w:t xml:space="preserve"> </w:t>
      </w:r>
      <w:r>
        <w:t>therefore be viewed as a tool</w:t>
      </w:r>
      <w:r w:rsidR="00EB0026">
        <w:t xml:space="preserve"> to secure local political</w:t>
      </w:r>
      <w:r w:rsidR="003B2D18">
        <w:t xml:space="preserve">, public and </w:t>
      </w:r>
      <w:r w:rsidR="00EB0026">
        <w:t xml:space="preserve">trade union support for decarbonization </w:t>
      </w:r>
      <w:r w:rsidR="00EB0026">
        <w:lastRenderedPageBreak/>
        <w:t>programs.</w:t>
      </w:r>
      <w:r w:rsidR="00CE7029">
        <w:t xml:space="preserve">  </w:t>
      </w:r>
      <w:r w:rsidR="002D6049">
        <w:t>Arguably</w:t>
      </w:r>
      <w:r w:rsidR="00CE7029">
        <w:t xml:space="preserve">, </w:t>
      </w:r>
      <w:r w:rsidR="002D6049">
        <w:t>LCRs</w:t>
      </w:r>
      <w:r w:rsidR="00CE7029">
        <w:t xml:space="preserve"> can deliver “instant political gratification”</w:t>
      </w:r>
      <w:r w:rsidR="001115D6">
        <w:t xml:space="preserve"> compared to other more complex and long-term industrial support measures addressed to underlying competitiveness </w:t>
      </w:r>
      <w:r>
        <w:t xml:space="preserve">and labor market </w:t>
      </w:r>
      <w:r w:rsidR="001115D6">
        <w:t>challenges</w:t>
      </w:r>
      <w:r w:rsidR="00CE7029">
        <w:t>.</w:t>
      </w:r>
      <w:r w:rsidR="00CE7029">
        <w:rPr>
          <w:rStyle w:val="FootnoteReference"/>
        </w:rPr>
        <w:footnoteReference w:id="18"/>
      </w:r>
      <w:r w:rsidR="00CE7029">
        <w:t xml:space="preserve">  </w:t>
      </w:r>
    </w:p>
    <w:p w14:paraId="3F263093" w14:textId="77777777" w:rsidR="00EC3E51" w:rsidRDefault="007D5852" w:rsidP="00A84CC6">
      <w:pPr>
        <w:pStyle w:val="BlockTextJ"/>
        <w:spacing w:line="360" w:lineRule="auto"/>
      </w:pPr>
      <w:r>
        <w:t>T</w:t>
      </w:r>
      <w:r w:rsidR="00650775">
        <w:t xml:space="preserve">he </w:t>
      </w:r>
      <w:r w:rsidR="00382147">
        <w:t xml:space="preserve">economic and labor market </w:t>
      </w:r>
      <w:r w:rsidR="00650775">
        <w:t>benefits of LCRs are</w:t>
      </w:r>
      <w:r>
        <w:t>, however,</w:t>
      </w:r>
      <w:r w:rsidR="00650775">
        <w:t xml:space="preserve"> heavily debated.</w:t>
      </w:r>
      <w:r w:rsidR="00650775">
        <w:rPr>
          <w:rStyle w:val="FootnoteReference"/>
        </w:rPr>
        <w:footnoteReference w:id="19"/>
      </w:r>
      <w:r w:rsidR="00EB0026">
        <w:t xml:space="preserve">  T</w:t>
      </w:r>
      <w:r w:rsidR="00C0162E">
        <w:t xml:space="preserve">here is </w:t>
      </w:r>
      <w:r w:rsidR="00EB0026">
        <w:t xml:space="preserve">clear </w:t>
      </w:r>
      <w:r w:rsidR="00C0162E">
        <w:t xml:space="preserve">evidence that </w:t>
      </w:r>
      <w:r w:rsidR="00EB0026">
        <w:t>LCRs</w:t>
      </w:r>
      <w:r w:rsidR="00C0162E">
        <w:t xml:space="preserve"> </w:t>
      </w:r>
      <w:r w:rsidR="00616CD5">
        <w:t xml:space="preserve">can </w:t>
      </w:r>
      <w:r w:rsidR="00E10812">
        <w:t>distort trade</w:t>
      </w:r>
      <w:r w:rsidR="00C0162E">
        <w:t xml:space="preserve">, </w:t>
      </w:r>
      <w:r w:rsidR="00BA18A1">
        <w:t>undermine long-term competitiveness</w:t>
      </w:r>
      <w:r w:rsidR="00C0162E">
        <w:t>,</w:t>
      </w:r>
      <w:r w:rsidR="00BA18A1">
        <w:t xml:space="preserve"> drive up costs </w:t>
      </w:r>
      <w:r w:rsidR="00C0162E">
        <w:t>that feed through to consumer prices, and have mixed effects on local job creation</w:t>
      </w:r>
      <w:r w:rsidR="00BA18A1">
        <w:t>.</w:t>
      </w:r>
      <w:r w:rsidR="00BA18A1">
        <w:rPr>
          <w:rStyle w:val="FootnoteReference"/>
        </w:rPr>
        <w:footnoteReference w:id="20"/>
      </w:r>
      <w:r w:rsidR="00EB20B1">
        <w:t xml:space="preserve">  </w:t>
      </w:r>
      <w:r w:rsidR="00650775">
        <w:t>In a 2014 survey by the OECD, foreign investors stated that LCRs were the main policy impediment to international investment in solar and wind energy projects.</w:t>
      </w:r>
      <w:r w:rsidR="00650775">
        <w:rPr>
          <w:rStyle w:val="FootnoteReference"/>
        </w:rPr>
        <w:footnoteReference w:id="21"/>
      </w:r>
      <w:r w:rsidR="003B33CB">
        <w:t xml:space="preserve">  In the US and abroad, LCRs have been blamed for increasing renewable energy costs.</w:t>
      </w:r>
      <w:r w:rsidR="00EB20B1">
        <w:rPr>
          <w:rStyle w:val="FootnoteReference"/>
        </w:rPr>
        <w:footnoteReference w:id="22"/>
      </w:r>
      <w:r w:rsidR="00616CD5">
        <w:t xml:space="preserve">  </w:t>
      </w:r>
      <w:r w:rsidR="00EB20B1">
        <w:t xml:space="preserve">  </w:t>
      </w:r>
      <w:r w:rsidR="00650775">
        <w:t xml:space="preserve">    </w:t>
      </w:r>
      <w:r w:rsidR="00E10812">
        <w:t xml:space="preserve">  </w:t>
      </w:r>
      <w:r w:rsidR="00BA18A1">
        <w:t xml:space="preserve"> </w:t>
      </w:r>
    </w:p>
    <w:p w14:paraId="372245DA" w14:textId="77777777" w:rsidR="0073128C" w:rsidRDefault="0073128C" w:rsidP="00A84CC6">
      <w:pPr>
        <w:pStyle w:val="BlockTextJ"/>
        <w:spacing w:line="360" w:lineRule="auto"/>
      </w:pPr>
      <w:r>
        <w:t xml:space="preserve">In nascent markets, there is a balance to be struck between securing immediate local support for decarbonization policies and building a competitive sector that will </w:t>
      </w:r>
      <w:r w:rsidR="00466B2D">
        <w:t>benefit</w:t>
      </w:r>
      <w:r>
        <w:t xml:space="preserve"> the local economy and workers</w:t>
      </w:r>
      <w:r w:rsidR="00466B2D">
        <w:t xml:space="preserve"> in the long</w:t>
      </w:r>
      <w:r w:rsidR="007D5852">
        <w:t>er</w:t>
      </w:r>
      <w:r w:rsidR="00466B2D">
        <w:t xml:space="preserve"> term</w:t>
      </w:r>
      <w:r>
        <w:t>.</w:t>
      </w:r>
      <w:r>
        <w:rPr>
          <w:rStyle w:val="FootnoteReference"/>
        </w:rPr>
        <w:footnoteReference w:id="23"/>
      </w:r>
      <w:r w:rsidR="00466B2D">
        <w:t xml:space="preserve">  Particularly in new technologies, it may be </w:t>
      </w:r>
      <w:r w:rsidR="00466B2D">
        <w:lastRenderedPageBreak/>
        <w:t>unavoidable to import proven technical expertise and established supply chains</w:t>
      </w:r>
      <w:r w:rsidR="004537FC">
        <w:t>, at least initially</w:t>
      </w:r>
      <w:r w:rsidR="00466B2D">
        <w:t xml:space="preserve">. </w:t>
      </w:r>
    </w:p>
    <w:p w14:paraId="38DE9CDB" w14:textId="77777777" w:rsidR="00107A20" w:rsidRDefault="0073128C" w:rsidP="00A84CC6">
      <w:pPr>
        <w:pStyle w:val="BlockTextJ"/>
        <w:spacing w:line="360" w:lineRule="auto"/>
      </w:pPr>
      <w:r>
        <w:t>It is nevertheless possible to implement an i</w:t>
      </w:r>
      <w:r w:rsidR="00107A20">
        <w:t xml:space="preserve">ndustrial policy </w:t>
      </w:r>
      <w:r>
        <w:t>that promotes</w:t>
      </w:r>
      <w:r w:rsidR="00107A20">
        <w:t xml:space="preserve"> </w:t>
      </w:r>
      <w:r>
        <w:t xml:space="preserve">sustainable </w:t>
      </w:r>
      <w:r w:rsidR="00107A20">
        <w:t xml:space="preserve">local employment </w:t>
      </w:r>
      <w:r>
        <w:t>in new, green industries without breaching international trade and investment rules</w:t>
      </w:r>
      <w:r w:rsidR="00107A20">
        <w:t>.</w:t>
      </w:r>
      <w:r w:rsidR="00107A20">
        <w:rPr>
          <w:rStyle w:val="FootnoteReference"/>
        </w:rPr>
        <w:footnoteReference w:id="24"/>
      </w:r>
    </w:p>
    <w:p w14:paraId="4F343D2C" w14:textId="77777777" w:rsidR="00616CD5" w:rsidRDefault="00C0162E" w:rsidP="00A84CC6">
      <w:pPr>
        <w:pStyle w:val="BlockTextJ"/>
        <w:spacing w:line="360" w:lineRule="auto"/>
      </w:pPr>
      <w:r>
        <w:t>Alternatives to</w:t>
      </w:r>
      <w:r w:rsidR="00EC3E51">
        <w:t xml:space="preserve"> </w:t>
      </w:r>
      <w:r w:rsidR="004537FC">
        <w:t xml:space="preserve">prohibited </w:t>
      </w:r>
      <w:r>
        <w:t xml:space="preserve">LCRs include </w:t>
      </w:r>
      <w:r w:rsidR="00517D93">
        <w:t xml:space="preserve">government </w:t>
      </w:r>
      <w:r>
        <w:t xml:space="preserve">policies to create a </w:t>
      </w:r>
      <w:r w:rsidR="00616CD5">
        <w:t xml:space="preserve">long-term, </w:t>
      </w:r>
      <w:r>
        <w:t>competitive</w:t>
      </w:r>
      <w:r w:rsidR="00650775">
        <w:t>, market-driven</w:t>
      </w:r>
      <w:r>
        <w:t xml:space="preserve"> local industry through research and development support programs, training programs, </w:t>
      </w:r>
      <w:r w:rsidR="00EC3E51">
        <w:t xml:space="preserve">infrastructure investment, </w:t>
      </w:r>
      <w:r>
        <w:t xml:space="preserve">and demand-side instruments </w:t>
      </w:r>
      <w:r w:rsidR="00EB20B1">
        <w:t xml:space="preserve">(such as feed-in-tariffs, auctions, and tax incentives) </w:t>
      </w:r>
      <w:r>
        <w:t>to increase domestic demand.</w:t>
      </w:r>
      <w:r w:rsidR="009A10D6">
        <w:rPr>
          <w:rStyle w:val="FootnoteReference"/>
        </w:rPr>
        <w:footnoteReference w:id="25"/>
      </w:r>
      <w:r w:rsidR="00616CD5">
        <w:t xml:space="preserve">  </w:t>
      </w:r>
    </w:p>
    <w:p w14:paraId="221BA2FE" w14:textId="77777777" w:rsidR="00EC3E51" w:rsidRDefault="00107A20" w:rsidP="00A84CC6">
      <w:pPr>
        <w:pStyle w:val="BlockTextJ"/>
        <w:spacing w:line="360" w:lineRule="auto"/>
      </w:pPr>
      <w:r>
        <w:t xml:space="preserve">To </w:t>
      </w:r>
      <w:r w:rsidR="00C24BB6">
        <w:t xml:space="preserve">help </w:t>
      </w:r>
      <w:r>
        <w:t xml:space="preserve">develop a competitive local industry, governments can </w:t>
      </w:r>
      <w:r w:rsidR="004502F1">
        <w:t xml:space="preserve">also </w:t>
      </w:r>
      <w:r>
        <w:t>work with foreign investors to promote corporate social responsibility</w:t>
      </w:r>
      <w:r w:rsidR="0050376A">
        <w:t>/sustainability</w:t>
      </w:r>
      <w:r>
        <w:t xml:space="preserve"> best practices and supplier developer programs to </w:t>
      </w:r>
      <w:r w:rsidR="00C24BB6">
        <w:t>build competitive</w:t>
      </w:r>
      <w:r>
        <w:t xml:space="preserve"> local suppl</w:t>
      </w:r>
      <w:r w:rsidR="0073128C">
        <w:t>y chains</w:t>
      </w:r>
      <w:r>
        <w:t>.</w:t>
      </w:r>
      <w:r>
        <w:rPr>
          <w:rStyle w:val="FootnoteReference"/>
        </w:rPr>
        <w:footnoteReference w:id="26"/>
      </w:r>
      <w:r>
        <w:t xml:space="preserve">  T</w:t>
      </w:r>
      <w:r w:rsidR="00EC3E51">
        <w:t xml:space="preserve">he OECD </w:t>
      </w:r>
      <w:r>
        <w:t>G</w:t>
      </w:r>
      <w:r w:rsidR="00EC3E51">
        <w:t>uidelines</w:t>
      </w:r>
      <w:r>
        <w:t xml:space="preserve"> for Multinational Enterprises</w:t>
      </w:r>
      <w:r w:rsidR="00D41D01">
        <w:t xml:space="preserve"> </w:t>
      </w:r>
      <w:r>
        <w:t>recommend</w:t>
      </w:r>
      <w:r w:rsidR="00D41D01">
        <w:t xml:space="preserve"> </w:t>
      </w:r>
      <w:r w:rsidR="00D41D01" w:rsidRPr="00D41D01">
        <w:rPr>
          <w:i/>
        </w:rPr>
        <w:t>inter alia</w:t>
      </w:r>
      <w:r w:rsidR="00D41D01">
        <w:t xml:space="preserve"> that </w:t>
      </w:r>
      <w:r w:rsidR="0073128C">
        <w:t>foreign investors</w:t>
      </w:r>
      <w:r w:rsidR="005533F3">
        <w:t xml:space="preserve"> should</w:t>
      </w:r>
      <w:r w:rsidR="00EC3E51">
        <w:t>:</w:t>
      </w:r>
    </w:p>
    <w:p w14:paraId="1948B43B" w14:textId="77777777" w:rsidR="005533F3" w:rsidRPr="005533F3" w:rsidRDefault="005533F3" w:rsidP="00A84CC6">
      <w:pPr>
        <w:pStyle w:val="BlockTextJ"/>
        <w:spacing w:line="360" w:lineRule="auto"/>
        <w:ind w:left="720"/>
        <w:rPr>
          <w:sz w:val="22"/>
          <w:szCs w:val="22"/>
        </w:rPr>
      </w:pPr>
      <w:r w:rsidRPr="005533F3">
        <w:rPr>
          <w:sz w:val="22"/>
          <w:szCs w:val="22"/>
        </w:rPr>
        <w:t xml:space="preserve">[] </w:t>
      </w:r>
      <w:r w:rsidRPr="00C21FB6">
        <w:rPr>
          <w:b/>
          <w:sz w:val="22"/>
          <w:szCs w:val="22"/>
        </w:rPr>
        <w:t>Encourage local capacity building</w:t>
      </w:r>
      <w:r w:rsidRPr="005533F3">
        <w:rPr>
          <w:sz w:val="22"/>
          <w:szCs w:val="22"/>
        </w:rPr>
        <w:t xml:space="preserve"> through close co-operation with the local community, including business interests, as well as developing the enterprise’s activities in domestic and foreign markets, consistent with the need for sound commercial practice.</w:t>
      </w:r>
    </w:p>
    <w:p w14:paraId="1536F9A1" w14:textId="77777777" w:rsidR="005533F3" w:rsidRDefault="005533F3" w:rsidP="00A84CC6">
      <w:pPr>
        <w:pStyle w:val="BlockTextJ"/>
        <w:spacing w:line="360" w:lineRule="auto"/>
        <w:ind w:left="720"/>
      </w:pPr>
      <w:r w:rsidRPr="005533F3">
        <w:rPr>
          <w:sz w:val="22"/>
          <w:szCs w:val="22"/>
        </w:rPr>
        <w:t xml:space="preserve">[] </w:t>
      </w:r>
      <w:r w:rsidRPr="00C21FB6">
        <w:rPr>
          <w:b/>
          <w:sz w:val="22"/>
          <w:szCs w:val="22"/>
        </w:rPr>
        <w:t>Encourage human capital formation</w:t>
      </w:r>
      <w:r w:rsidRPr="005533F3">
        <w:rPr>
          <w:sz w:val="22"/>
          <w:szCs w:val="22"/>
        </w:rPr>
        <w:t>, in particular by creating employment opportunities and facilitating training opportunities for employees.</w:t>
      </w:r>
      <w:r>
        <w:rPr>
          <w:rStyle w:val="FootnoteReference"/>
          <w:sz w:val="22"/>
          <w:szCs w:val="22"/>
        </w:rPr>
        <w:footnoteReference w:id="27"/>
      </w:r>
    </w:p>
    <w:p w14:paraId="79133FD2" w14:textId="77777777" w:rsidR="003D6743" w:rsidRDefault="00A95E6E" w:rsidP="00A84CC6">
      <w:pPr>
        <w:pStyle w:val="BlockTextJ"/>
        <w:spacing w:line="360" w:lineRule="auto"/>
      </w:pPr>
      <w:r>
        <w:lastRenderedPageBreak/>
        <w:t>Such an approach would also be consistent with the Sustainable Development Goals (“</w:t>
      </w:r>
      <w:r w:rsidRPr="00A95E6E">
        <w:rPr>
          <w:b/>
        </w:rPr>
        <w:t>SDGs</w:t>
      </w:r>
      <w:r>
        <w:t>”), which were adopted by the U.S. and all other United Nations Member States in 2015.  The following individual SDGs are particularly relevant:</w:t>
      </w:r>
    </w:p>
    <w:p w14:paraId="72844D2D" w14:textId="77777777" w:rsidR="00A95E6E" w:rsidRPr="00BF1559" w:rsidRDefault="00A95E6E" w:rsidP="00A95E6E">
      <w:pPr>
        <w:pStyle w:val="BlockTextJ"/>
        <w:spacing w:line="360" w:lineRule="auto"/>
        <w:ind w:left="720"/>
        <w:rPr>
          <w:sz w:val="22"/>
          <w:szCs w:val="22"/>
        </w:rPr>
      </w:pPr>
      <w:r w:rsidRPr="00BF1559">
        <w:rPr>
          <w:sz w:val="22"/>
          <w:szCs w:val="22"/>
        </w:rPr>
        <w:t>Sustainable Development Goal 8: Promote sustained, inclusive and sustainable economic growth, full and productive employment and decent work for all.</w:t>
      </w:r>
    </w:p>
    <w:p w14:paraId="5891BB25" w14:textId="77777777" w:rsidR="00A95E6E" w:rsidRPr="00BF1559" w:rsidRDefault="00A95E6E" w:rsidP="00A95E6E">
      <w:pPr>
        <w:pStyle w:val="BlockTextJ"/>
        <w:spacing w:line="360" w:lineRule="auto"/>
        <w:ind w:left="720"/>
        <w:rPr>
          <w:sz w:val="22"/>
          <w:szCs w:val="22"/>
        </w:rPr>
      </w:pPr>
      <w:r w:rsidRPr="00BF1559">
        <w:rPr>
          <w:sz w:val="22"/>
          <w:szCs w:val="22"/>
        </w:rPr>
        <w:t>Sustainable Development Goal 9: Build resilient infrastructure, promote inclusive and sustainable industrialization, and foster innovation.</w:t>
      </w:r>
    </w:p>
    <w:p w14:paraId="02382CEB" w14:textId="77777777" w:rsidR="0098719C" w:rsidRDefault="00A95E6E" w:rsidP="00A95E6E">
      <w:pPr>
        <w:pStyle w:val="BlockTextJ"/>
        <w:spacing w:line="360" w:lineRule="auto"/>
        <w:ind w:left="720"/>
        <w:rPr>
          <w:sz w:val="22"/>
          <w:szCs w:val="22"/>
        </w:rPr>
      </w:pPr>
      <w:r w:rsidRPr="00BF1559">
        <w:rPr>
          <w:sz w:val="22"/>
          <w:szCs w:val="22"/>
        </w:rPr>
        <w:t>Sustainable Development Goal 10: Reduce income inequality within and among countries.</w:t>
      </w:r>
    </w:p>
    <w:p w14:paraId="438D9073" w14:textId="77777777" w:rsidR="0098719C" w:rsidRDefault="0098719C" w:rsidP="00A95E6E">
      <w:pPr>
        <w:pStyle w:val="BlockTextJ"/>
        <w:spacing w:line="360" w:lineRule="auto"/>
        <w:ind w:left="720"/>
        <w:rPr>
          <w:sz w:val="22"/>
          <w:szCs w:val="22"/>
        </w:rPr>
      </w:pPr>
      <w:r>
        <w:rPr>
          <w:sz w:val="22"/>
          <w:szCs w:val="22"/>
        </w:rPr>
        <w:t>Sustainable Development Goal 11: Make cities and human settlements inclusive, safe, resilient and sustainable.</w:t>
      </w:r>
    </w:p>
    <w:p w14:paraId="69C567C2" w14:textId="4A50E82F" w:rsidR="00A95E6E" w:rsidRDefault="0098719C" w:rsidP="00A95E6E">
      <w:pPr>
        <w:pStyle w:val="BlockTextJ"/>
        <w:spacing w:line="360" w:lineRule="auto"/>
        <w:ind w:left="720"/>
        <w:rPr>
          <w:sz w:val="22"/>
          <w:szCs w:val="22"/>
        </w:rPr>
      </w:pPr>
      <w:r>
        <w:rPr>
          <w:sz w:val="22"/>
          <w:szCs w:val="22"/>
        </w:rPr>
        <w:t>Sustainable Development Goal 13: Take urgent action to combat climate change and its impacts.</w:t>
      </w:r>
      <w:r w:rsidR="00A95E6E" w:rsidRPr="00BF1559">
        <w:rPr>
          <w:rStyle w:val="FootnoteReference"/>
          <w:sz w:val="22"/>
          <w:szCs w:val="22"/>
        </w:rPr>
        <w:footnoteReference w:id="28"/>
      </w:r>
    </w:p>
    <w:p w14:paraId="552A7E34" w14:textId="25C5D80D" w:rsidR="0010123F" w:rsidRDefault="00FB2BCD" w:rsidP="00A84CC6">
      <w:pPr>
        <w:pStyle w:val="BlockTextJ"/>
        <w:spacing w:line="360" w:lineRule="auto"/>
      </w:pPr>
      <w:r>
        <w:t>In the United Kingdom,</w:t>
      </w:r>
      <w:r w:rsidR="009273E9">
        <w:t xml:space="preserve"> for example,</w:t>
      </w:r>
      <w:r>
        <w:t xml:space="preserve"> </w:t>
      </w:r>
      <w:r w:rsidR="00466B2D">
        <w:t xml:space="preserve">the government has </w:t>
      </w:r>
      <w:r w:rsidR="00065C79">
        <w:t>entered into</w:t>
      </w:r>
      <w:r w:rsidR="00466B2D">
        <w:t xml:space="preserve"> a “sector deal” </w:t>
      </w:r>
      <w:r w:rsidR="0010123F">
        <w:t>with the</w:t>
      </w:r>
      <w:r w:rsidR="00466B2D">
        <w:t xml:space="preserve"> offshore wind industry</w:t>
      </w:r>
      <w:r w:rsidR="009273E9">
        <w:t xml:space="preserve"> (</w:t>
      </w:r>
      <w:r w:rsidR="0010123F">
        <w:t>represented by its trade association)</w:t>
      </w:r>
      <w:r w:rsidR="009273E9">
        <w:t>.</w:t>
      </w:r>
      <w:r w:rsidR="00094A6C">
        <w:rPr>
          <w:rStyle w:val="FootnoteReference"/>
        </w:rPr>
        <w:footnoteReference w:id="29"/>
      </w:r>
      <w:r w:rsidR="009273E9">
        <w:t xml:space="preserve">  </w:t>
      </w:r>
      <w:r w:rsidR="00065C79">
        <w:t>Instead of LCRs, t</w:t>
      </w:r>
      <w:r w:rsidR="009273E9">
        <w:t xml:space="preserve">he sector deal </w:t>
      </w:r>
      <w:r w:rsidR="00466B2D">
        <w:t xml:space="preserve">sets non-binding </w:t>
      </w:r>
      <w:r w:rsidR="00B32121">
        <w:t xml:space="preserve">industry-wide </w:t>
      </w:r>
      <w:r w:rsidR="00466B2D">
        <w:t>targets for local content and employment</w:t>
      </w:r>
      <w:r w:rsidR="0010123F">
        <w:t xml:space="preserve">, together with </w:t>
      </w:r>
      <w:r w:rsidR="009273E9">
        <w:lastRenderedPageBreak/>
        <w:t>voluntary</w:t>
      </w:r>
      <w:r w:rsidR="00B32121">
        <w:t xml:space="preserve"> disclosure of</w:t>
      </w:r>
      <w:r w:rsidR="009273E9">
        <w:t xml:space="preserve"> </w:t>
      </w:r>
      <w:r w:rsidR="0010123F">
        <w:t>local content</w:t>
      </w:r>
      <w:r w:rsidR="00466B2D">
        <w:t>.</w:t>
      </w:r>
      <w:r w:rsidR="0010123F">
        <w:rPr>
          <w:rStyle w:val="FootnoteReference"/>
        </w:rPr>
        <w:footnoteReference w:id="30"/>
      </w:r>
      <w:r w:rsidR="0010123F">
        <w:t xml:space="preserve">  </w:t>
      </w:r>
      <w:r w:rsidR="00283AD2">
        <w:t>T</w:t>
      </w:r>
      <w:r w:rsidR="0010123F">
        <w:t>he sector deal is b</w:t>
      </w:r>
      <w:r w:rsidR="0010123F" w:rsidRPr="003B2D18">
        <w:t xml:space="preserve">ased on </w:t>
      </w:r>
      <w:r w:rsidR="0010123F">
        <w:t>mutual benefi</w:t>
      </w:r>
      <w:r w:rsidR="00794C36">
        <w:t>t and trust</w:t>
      </w:r>
      <w:r w:rsidR="00283AD2">
        <w:t>, rather than legally binding commitments</w:t>
      </w:r>
      <w:r w:rsidR="0010123F">
        <w:t>.</w:t>
      </w:r>
      <w:r w:rsidR="0010123F">
        <w:rPr>
          <w:rStyle w:val="FootnoteReference"/>
        </w:rPr>
        <w:footnoteReference w:id="31"/>
      </w:r>
      <w:r w:rsidR="00355ED9">
        <w:t xml:space="preserve">  </w:t>
      </w:r>
    </w:p>
    <w:p w14:paraId="5A386CFA" w14:textId="77777777" w:rsidR="00001514" w:rsidRDefault="000048A5" w:rsidP="00A84CC6">
      <w:pPr>
        <w:pStyle w:val="BlockTextJ"/>
        <w:spacing w:line="360" w:lineRule="auto"/>
      </w:pPr>
      <w:r>
        <w:t xml:space="preserve">Under the Climate Leadership and Community Protection Act 2019, </w:t>
      </w:r>
      <w:r w:rsidR="00EB745F" w:rsidRPr="00EB745F">
        <w:t>New York</w:t>
      </w:r>
      <w:r>
        <w:t xml:space="preserve"> State</w:t>
      </w:r>
      <w:r w:rsidR="00E47721">
        <w:t xml:space="preserve"> has established </w:t>
      </w:r>
      <w:r>
        <w:t>a</w:t>
      </w:r>
      <w:r w:rsidR="00E47721">
        <w:t xml:space="preserve"> </w:t>
      </w:r>
      <w:r>
        <w:t xml:space="preserve">just transition </w:t>
      </w:r>
      <w:r w:rsidR="00E47721">
        <w:t xml:space="preserve">working group </w:t>
      </w:r>
      <w:r>
        <w:t>that will provide recommendations for the development of statewide environmental justice policies.</w:t>
      </w:r>
      <w:r>
        <w:rPr>
          <w:rStyle w:val="FootnoteReference"/>
        </w:rPr>
        <w:footnoteReference w:id="32"/>
      </w:r>
      <w:r>
        <w:t xml:space="preserve">  The working group is intended </w:t>
      </w:r>
      <w:r w:rsidRPr="000048A5">
        <w:rPr>
          <w:i/>
        </w:rPr>
        <w:t>inter alia</w:t>
      </w:r>
      <w:r>
        <w:t xml:space="preserve"> to “</w:t>
      </w:r>
      <w:r w:rsidRPr="000048A5">
        <w:t>advise the council on issues and opportunities for workforce development and training related to energy efficiency measures, renewable energy and other clean energy technologies</w:t>
      </w:r>
      <w:r>
        <w:t>.”</w:t>
      </w:r>
      <w:r>
        <w:rPr>
          <w:rStyle w:val="FootnoteReference"/>
        </w:rPr>
        <w:footnoteReference w:id="33"/>
      </w:r>
    </w:p>
    <w:p w14:paraId="41B995BA" w14:textId="77777777" w:rsidR="00001514" w:rsidRPr="00001514" w:rsidRDefault="00001514" w:rsidP="00AE15D4">
      <w:pPr>
        <w:pStyle w:val="BlockTextJ"/>
        <w:keepNext/>
        <w:spacing w:line="360" w:lineRule="auto"/>
        <w:rPr>
          <w:b/>
        </w:rPr>
      </w:pPr>
      <w:r>
        <w:rPr>
          <w:b/>
        </w:rPr>
        <w:t>The Model Provision</w:t>
      </w:r>
    </w:p>
    <w:p w14:paraId="07B1D16C" w14:textId="77777777" w:rsidR="00DB0310" w:rsidRDefault="00176D26" w:rsidP="00AE15D4">
      <w:pPr>
        <w:pStyle w:val="BlockTextJ"/>
        <w:keepNext/>
        <w:spacing w:line="360" w:lineRule="auto"/>
        <w:rPr>
          <w:lang w:val="en-GB"/>
        </w:rPr>
      </w:pPr>
      <w:r>
        <w:t>We consider that the approach taken by New York’s Climate Leadership and Community Protection Act 2019</w:t>
      </w:r>
      <w:r w:rsidR="00AA1C7A">
        <w:t xml:space="preserve"> – </w:t>
      </w:r>
      <w:r>
        <w:t xml:space="preserve">which </w:t>
      </w:r>
      <w:r w:rsidR="00CA7055">
        <w:t xml:space="preserve">establishes </w:t>
      </w:r>
      <w:r w:rsidR="00EE2249">
        <w:t xml:space="preserve">processes for </w:t>
      </w:r>
      <w:r w:rsidR="008355E8">
        <w:t xml:space="preserve">ongoing </w:t>
      </w:r>
      <w:r w:rsidR="00AA1C7A">
        <w:t xml:space="preserve">public </w:t>
      </w:r>
      <w:r w:rsidR="00A34818">
        <w:t>investigation</w:t>
      </w:r>
      <w:r w:rsidR="00AA1C7A">
        <w:t xml:space="preserve">, </w:t>
      </w:r>
      <w:r>
        <w:t>reporting</w:t>
      </w:r>
      <w:r w:rsidR="00AA1C7A">
        <w:t xml:space="preserve">, and consultation </w:t>
      </w:r>
      <w:r w:rsidR="00EE2249">
        <w:t>into</w:t>
      </w:r>
      <w:r>
        <w:t xml:space="preserve"> the impact of climate change and decarbonization policies on the local workforce</w:t>
      </w:r>
      <w:r w:rsidR="00AA1C7A">
        <w:t xml:space="preserve"> –</w:t>
      </w:r>
      <w:r>
        <w:t xml:space="preserve"> is an appropriate way to </w:t>
      </w:r>
      <w:r>
        <w:rPr>
          <w:lang w:val="en-GB"/>
        </w:rPr>
        <w:t>focus on the promotion of</w:t>
      </w:r>
      <w:r w:rsidRPr="00176D26">
        <w:rPr>
          <w:lang w:val="en-GB"/>
        </w:rPr>
        <w:t xml:space="preserve"> local employment </w:t>
      </w:r>
      <w:r w:rsidR="00A34818">
        <w:rPr>
          <w:lang w:val="en-GB"/>
        </w:rPr>
        <w:t xml:space="preserve">in green industry </w:t>
      </w:r>
      <w:r w:rsidRPr="00176D26">
        <w:rPr>
          <w:lang w:val="en-GB"/>
        </w:rPr>
        <w:t>without resorting to protectionist measures</w:t>
      </w:r>
      <w:r>
        <w:rPr>
          <w:lang w:val="en-GB"/>
        </w:rPr>
        <w:t>.</w:t>
      </w:r>
      <w:r w:rsidR="00D1104F">
        <w:rPr>
          <w:lang w:val="en-GB"/>
        </w:rPr>
        <w:t xml:space="preserve">  </w:t>
      </w:r>
    </w:p>
    <w:p w14:paraId="4BBBCF56" w14:textId="77777777" w:rsidR="00176D26" w:rsidRDefault="00D1104F" w:rsidP="00A84CC6">
      <w:pPr>
        <w:pStyle w:val="BlockTextJ"/>
        <w:spacing w:line="360" w:lineRule="auto"/>
        <w:rPr>
          <w:lang w:val="en-GB"/>
        </w:rPr>
      </w:pPr>
      <w:r>
        <w:rPr>
          <w:lang w:val="en-GB"/>
        </w:rPr>
        <w:t xml:space="preserve">In particular, we consider that the </w:t>
      </w:r>
      <w:r w:rsidR="000A1CAE">
        <w:rPr>
          <w:lang w:val="en-GB"/>
        </w:rPr>
        <w:t>collection and disclosure</w:t>
      </w:r>
      <w:r>
        <w:rPr>
          <w:lang w:val="en-GB"/>
        </w:rPr>
        <w:t xml:space="preserve"> of </w:t>
      </w:r>
      <w:r w:rsidR="00693886">
        <w:rPr>
          <w:lang w:val="en-GB"/>
        </w:rPr>
        <w:t>employment</w:t>
      </w:r>
      <w:r>
        <w:rPr>
          <w:lang w:val="en-GB"/>
        </w:rPr>
        <w:t xml:space="preserve"> information is important </w:t>
      </w:r>
      <w:r w:rsidR="006A2A73">
        <w:rPr>
          <w:lang w:val="en-GB"/>
        </w:rPr>
        <w:t>because it demonstrates</w:t>
      </w:r>
      <w:r>
        <w:rPr>
          <w:lang w:val="en-GB"/>
        </w:rPr>
        <w:t xml:space="preserve"> </w:t>
      </w:r>
      <w:r w:rsidR="009A1714">
        <w:rPr>
          <w:lang w:val="en-GB"/>
        </w:rPr>
        <w:t xml:space="preserve">commitment to </w:t>
      </w:r>
      <w:r w:rsidR="002D5733">
        <w:rPr>
          <w:lang w:val="en-GB"/>
        </w:rPr>
        <w:t>social</w:t>
      </w:r>
      <w:r>
        <w:rPr>
          <w:lang w:val="en-GB"/>
        </w:rPr>
        <w:t xml:space="preserve"> priorities</w:t>
      </w:r>
      <w:r w:rsidR="002D5733">
        <w:rPr>
          <w:lang w:val="en-GB"/>
        </w:rPr>
        <w:t xml:space="preserve"> </w:t>
      </w:r>
      <w:r w:rsidR="006A2A73">
        <w:rPr>
          <w:lang w:val="en-GB"/>
        </w:rPr>
        <w:t xml:space="preserve">– </w:t>
      </w:r>
      <w:r w:rsidR="007A78B6">
        <w:rPr>
          <w:lang w:val="en-GB"/>
        </w:rPr>
        <w:t>i.e.</w:t>
      </w:r>
      <w:r w:rsidR="006A2A73">
        <w:rPr>
          <w:lang w:val="en-GB"/>
        </w:rPr>
        <w:t xml:space="preserve"> </w:t>
      </w:r>
      <w:r w:rsidR="004A1FFF">
        <w:rPr>
          <w:lang w:val="en-GB"/>
        </w:rPr>
        <w:t xml:space="preserve">to </w:t>
      </w:r>
      <w:r w:rsidR="006A2A73">
        <w:rPr>
          <w:lang w:val="en-GB"/>
        </w:rPr>
        <w:t>ensuring a “just transition” –</w:t>
      </w:r>
      <w:r>
        <w:rPr>
          <w:lang w:val="en-GB"/>
        </w:rPr>
        <w:t xml:space="preserve"> and </w:t>
      </w:r>
      <w:r w:rsidR="00454400">
        <w:rPr>
          <w:lang w:val="en-GB"/>
        </w:rPr>
        <w:t xml:space="preserve">also </w:t>
      </w:r>
      <w:r w:rsidR="006A2A73">
        <w:rPr>
          <w:lang w:val="en-GB"/>
        </w:rPr>
        <w:t>assists</w:t>
      </w:r>
      <w:r>
        <w:rPr>
          <w:lang w:val="en-GB"/>
        </w:rPr>
        <w:t xml:space="preserve"> </w:t>
      </w:r>
      <w:r w:rsidR="00454400">
        <w:rPr>
          <w:lang w:val="en-GB"/>
        </w:rPr>
        <w:t xml:space="preserve">in </w:t>
      </w:r>
      <w:r>
        <w:rPr>
          <w:lang w:val="en-GB"/>
        </w:rPr>
        <w:t xml:space="preserve">the </w:t>
      </w:r>
      <w:r w:rsidR="008355E8">
        <w:rPr>
          <w:lang w:val="en-GB"/>
        </w:rPr>
        <w:t xml:space="preserve">continuous </w:t>
      </w:r>
      <w:r>
        <w:rPr>
          <w:lang w:val="en-GB"/>
        </w:rPr>
        <w:t xml:space="preserve">development of evidence-based policies </w:t>
      </w:r>
      <w:r w:rsidR="006A2A73">
        <w:rPr>
          <w:lang w:val="en-GB"/>
        </w:rPr>
        <w:t>that promote</w:t>
      </w:r>
      <w:r>
        <w:rPr>
          <w:lang w:val="en-GB"/>
        </w:rPr>
        <w:t xml:space="preserve"> </w:t>
      </w:r>
      <w:r w:rsidR="007F41B9">
        <w:rPr>
          <w:lang w:val="en-GB"/>
        </w:rPr>
        <w:t xml:space="preserve">decent, </w:t>
      </w:r>
      <w:r w:rsidR="006A2A73">
        <w:rPr>
          <w:lang w:val="en-GB"/>
        </w:rPr>
        <w:t xml:space="preserve">long-term </w:t>
      </w:r>
      <w:r>
        <w:rPr>
          <w:lang w:val="en-GB"/>
        </w:rPr>
        <w:t>green jobs</w:t>
      </w:r>
      <w:r w:rsidR="00DB0310">
        <w:rPr>
          <w:lang w:val="en-GB"/>
        </w:rPr>
        <w:t xml:space="preserve"> in the local community</w:t>
      </w:r>
      <w:r>
        <w:rPr>
          <w:lang w:val="en-GB"/>
        </w:rPr>
        <w:t xml:space="preserve">.   </w:t>
      </w:r>
      <w:r w:rsidR="00176D26" w:rsidRPr="00176D26">
        <w:rPr>
          <w:lang w:val="en-GB"/>
        </w:rPr>
        <w:t xml:space="preserve"> </w:t>
      </w:r>
      <w:r w:rsidR="00176D26">
        <w:rPr>
          <w:lang w:val="en-GB"/>
        </w:rPr>
        <w:t xml:space="preserve"> </w:t>
      </w:r>
    </w:p>
    <w:p w14:paraId="7F0DEB6F" w14:textId="77777777" w:rsidR="00D8065A" w:rsidRDefault="00176D26" w:rsidP="00A84CC6">
      <w:pPr>
        <w:pStyle w:val="BlockTextJ"/>
        <w:spacing w:line="360" w:lineRule="auto"/>
      </w:pPr>
      <w:r>
        <w:lastRenderedPageBreak/>
        <w:t>Accordingly, t</w:t>
      </w:r>
      <w:r w:rsidR="000048A5">
        <w:t xml:space="preserve">he following Model Provision </w:t>
      </w:r>
      <w:r>
        <w:t>is adapted from the</w:t>
      </w:r>
      <w:r w:rsidR="000048A5">
        <w:t xml:space="preserve"> Climate Leadership and Community Protection Act 2019</w:t>
      </w:r>
      <w:r>
        <w:t xml:space="preserve">.  </w:t>
      </w:r>
      <w:r w:rsidR="00001514">
        <w:t>The Model Provision focuses on the local employment aspect</w:t>
      </w:r>
      <w:r w:rsidR="00A34818">
        <w:t>s</w:t>
      </w:r>
      <w:r w:rsidR="00001514">
        <w:t xml:space="preserve"> of climate change and decarbonization policy</w:t>
      </w:r>
      <w:r w:rsidR="00D8065A">
        <w:t>, and could be incorporated into a State’s broader regulatory framework</w:t>
      </w:r>
      <w:r w:rsidR="00001514">
        <w:t>.</w:t>
      </w:r>
      <w:r w:rsidR="009639A0">
        <w:t xml:space="preserve">  The Model Provision </w:t>
      </w:r>
      <w:r w:rsidR="005F3003">
        <w:t>assumes</w:t>
      </w:r>
      <w:r w:rsidR="009639A0">
        <w:t xml:space="preserve"> </w:t>
      </w:r>
      <w:r w:rsidR="005F3003">
        <w:t>the</w:t>
      </w:r>
      <w:r w:rsidR="009639A0">
        <w:t xml:space="preserve"> </w:t>
      </w:r>
      <w:r w:rsidR="005F3003">
        <w:t xml:space="preserve">central </w:t>
      </w:r>
      <w:r w:rsidR="009639A0">
        <w:t>role of the private sector</w:t>
      </w:r>
      <w:r w:rsidR="00C64450">
        <w:t xml:space="preserve"> in local green industry job creation</w:t>
      </w:r>
      <w:r w:rsidR="006C66E2">
        <w:t xml:space="preserve">; it </w:t>
      </w:r>
      <w:r w:rsidR="009639A0">
        <w:t xml:space="preserve">does not </w:t>
      </w:r>
      <w:r w:rsidR="00C64450">
        <w:t>prescribe or suggest</w:t>
      </w:r>
      <w:r w:rsidR="009639A0">
        <w:t xml:space="preserve"> p</w:t>
      </w:r>
      <w:r w:rsidR="00C64450">
        <w:t>ublic measures that would have a substantial fiscal impact on the State, such as subsidies or research and development investment</w:t>
      </w:r>
      <w:r w:rsidR="006C66E2">
        <w:t>, though such measures are worthy of separate consideration</w:t>
      </w:r>
      <w:r w:rsidR="00C64450">
        <w:t>.</w:t>
      </w:r>
    </w:p>
    <w:p w14:paraId="540DEF51" w14:textId="77777777" w:rsidR="00D8065A" w:rsidRDefault="00001514" w:rsidP="00A84CC6">
      <w:pPr>
        <w:pStyle w:val="BlockTextJ"/>
        <w:spacing w:line="360" w:lineRule="auto"/>
      </w:pPr>
      <w:r>
        <w:t xml:space="preserve">Although it does not comment on protectionist measures, the Model Provision </w:t>
      </w:r>
      <w:r w:rsidR="00D8065A">
        <w:t xml:space="preserve">goes beyond the New York precedent and </w:t>
      </w:r>
      <w:r>
        <w:t xml:space="preserve">expressly provides that the State’s intention is to create an “internationally competitive” green industry.    </w:t>
      </w:r>
    </w:p>
    <w:p w14:paraId="35A2E924" w14:textId="77777777" w:rsidR="00001514" w:rsidRPr="000048A5" w:rsidRDefault="00001514" w:rsidP="00A84CC6">
      <w:pPr>
        <w:pStyle w:val="BlockTextJ"/>
        <w:spacing w:line="360" w:lineRule="auto"/>
      </w:pPr>
      <w:r>
        <w:t xml:space="preserve">The Model Provision </w:t>
      </w:r>
      <w:r w:rsidR="00D8065A">
        <w:t xml:space="preserve">also </w:t>
      </w:r>
      <w:r>
        <w:t xml:space="preserve">expands on the </w:t>
      </w:r>
      <w:r w:rsidR="00D8065A">
        <w:t>j</w:t>
      </w:r>
      <w:r>
        <w:t xml:space="preserve">ust </w:t>
      </w:r>
      <w:r w:rsidR="00D8065A">
        <w:t>t</w:t>
      </w:r>
      <w:r>
        <w:t>ransition</w:t>
      </w:r>
      <w:r w:rsidR="007532C9">
        <w:t xml:space="preserve"> </w:t>
      </w:r>
      <w:r w:rsidR="00D8065A">
        <w:t>w</w:t>
      </w:r>
      <w:r>
        <w:t xml:space="preserve">orking </w:t>
      </w:r>
      <w:r w:rsidR="00D8065A">
        <w:t>g</w:t>
      </w:r>
      <w:r>
        <w:t xml:space="preserve">roup’s mandate to include research and </w:t>
      </w:r>
      <w:r w:rsidR="00A34818">
        <w:t>proposals</w:t>
      </w:r>
      <w:r>
        <w:t xml:space="preserve"> on ways to (</w:t>
      </w:r>
      <w:proofErr w:type="spellStart"/>
      <w:r>
        <w:t>i</w:t>
      </w:r>
      <w:proofErr w:type="spellEnd"/>
      <w:r>
        <w:t xml:space="preserve">) increase green sector exports, and (ii) </w:t>
      </w:r>
      <w:r w:rsidR="00A34818">
        <w:t>establish</w:t>
      </w:r>
      <w:r>
        <w:t xml:space="preserve"> corporate social responsibility</w:t>
      </w:r>
      <w:r w:rsidR="0050376A">
        <w:t>/sustainability</w:t>
      </w:r>
      <w:r>
        <w:t xml:space="preserve"> best practices </w:t>
      </w:r>
      <w:r w:rsidR="00A34818">
        <w:t xml:space="preserve">that encourage the private sector </w:t>
      </w:r>
      <w:r>
        <w:t xml:space="preserve">to develop local capacity building and local human capital formation. </w:t>
      </w:r>
    </w:p>
    <w:p w14:paraId="45D6E770" w14:textId="77777777" w:rsidR="00464FCC" w:rsidRDefault="00464FCC">
      <w:pPr>
        <w:rPr>
          <w:b/>
          <w:lang w:val="en-US"/>
        </w:rPr>
      </w:pPr>
      <w:r>
        <w:rPr>
          <w:b/>
        </w:rPr>
        <w:br w:type="page"/>
      </w:r>
    </w:p>
    <w:p w14:paraId="607999F7" w14:textId="77777777" w:rsidR="007864D6" w:rsidRDefault="007864D6" w:rsidP="00A661D7">
      <w:pPr>
        <w:pStyle w:val="BlockTextJ"/>
        <w:spacing w:line="360" w:lineRule="auto"/>
        <w:jc w:val="center"/>
        <w:rPr>
          <w:b/>
        </w:rPr>
      </w:pPr>
      <w:r>
        <w:rPr>
          <w:b/>
        </w:rPr>
        <w:lastRenderedPageBreak/>
        <w:t>[</w:t>
      </w:r>
      <w:r w:rsidRPr="007864D6">
        <w:rPr>
          <w:b/>
        </w:rPr>
        <w:t>Model Provision</w:t>
      </w:r>
      <w:r>
        <w:rPr>
          <w:b/>
        </w:rPr>
        <w:t>]</w:t>
      </w:r>
    </w:p>
    <w:p w14:paraId="3414703F" w14:textId="77777777" w:rsidR="009E2822" w:rsidRPr="009E2822" w:rsidRDefault="009E2822" w:rsidP="00A84CC6">
      <w:pPr>
        <w:pStyle w:val="BlockTextJ"/>
        <w:spacing w:line="360" w:lineRule="auto"/>
      </w:pPr>
      <w:r w:rsidRPr="009E2822">
        <w:t>[</w:t>
      </w:r>
      <w:r w:rsidRPr="00AE1F79">
        <w:rPr>
          <w:b/>
          <w:i/>
        </w:rPr>
        <w:t>To be incorporated into State legislation concerning climate change mitigation and adaptation</w:t>
      </w:r>
      <w:r w:rsidRPr="009E2822">
        <w:t>]</w:t>
      </w:r>
    </w:p>
    <w:p w14:paraId="0F2300B9" w14:textId="77777777" w:rsidR="00E8134E" w:rsidRDefault="00D91C8D" w:rsidP="00A84CC6">
      <w:pPr>
        <w:pStyle w:val="BlockTextJ"/>
        <w:spacing w:line="360" w:lineRule="auto"/>
      </w:pPr>
      <w:r>
        <w:t>[</w:t>
      </w:r>
      <w:r w:rsidR="000B431D">
        <w:t>[</w:t>
      </w:r>
      <w:r w:rsidR="00E8134E" w:rsidRPr="00E8134E">
        <w:t>AN ACT</w:t>
      </w:r>
      <w:r w:rsidR="000B431D">
        <w:t>]</w:t>
      </w:r>
      <w:r w:rsidR="00E8134E" w:rsidRPr="00E8134E">
        <w:t xml:space="preserve"> relating to [energy][energy and the environment][[climate change mitigation, adaptation]</w:t>
      </w:r>
      <w:r w:rsidR="003746F1">
        <w:t>[,</w:t>
      </w:r>
      <w:r w:rsidR="00E8134E" w:rsidRPr="00E8134E">
        <w:t xml:space="preserve"> [climate] resiliency]</w:t>
      </w:r>
      <w:r w:rsidR="003746F1">
        <w:t>[, and deep decarbonization]</w:t>
      </w:r>
      <w:r w:rsidR="00E8134E" w:rsidRPr="00E8134E">
        <w:t xml:space="preserve">; creating </w:t>
      </w:r>
      <w:r w:rsidR="00E8134E">
        <w:t>a comprehensive regulatory program to reduce greenhouse gas emissions</w:t>
      </w:r>
      <w:r w:rsidR="00DD6314">
        <w:t>,</w:t>
      </w:r>
      <w:r w:rsidR="003746F1">
        <w:t xml:space="preserve"> </w:t>
      </w:r>
      <w:r w:rsidR="00DE6EB8">
        <w:t xml:space="preserve">and to </w:t>
      </w:r>
      <w:r w:rsidR="00E8134E">
        <w:t xml:space="preserve">develop </w:t>
      </w:r>
      <w:r w:rsidR="000D0821">
        <w:t xml:space="preserve">internationally </w:t>
      </w:r>
      <w:r w:rsidR="008B6390">
        <w:t xml:space="preserve">competitive </w:t>
      </w:r>
      <w:r w:rsidR="00E8134E" w:rsidRPr="00E8134E">
        <w:t xml:space="preserve">green technologies and </w:t>
      </w:r>
      <w:r w:rsidR="00DD6314">
        <w:t xml:space="preserve">inclusive and </w:t>
      </w:r>
      <w:r w:rsidR="00E8134E" w:rsidRPr="00E8134E">
        <w:t>sustainable practices</w:t>
      </w:r>
      <w:r w:rsidR="00DE6EB8">
        <w:t xml:space="preserve"> and projects</w:t>
      </w:r>
      <w:r w:rsidR="00E8134E" w:rsidRPr="00E8134E">
        <w:t xml:space="preserve"> within the private sector</w:t>
      </w:r>
      <w:r w:rsidR="00947C74">
        <w:t xml:space="preserve"> to</w:t>
      </w:r>
      <w:r w:rsidR="003746F1">
        <w:t xml:space="preserve"> achieve deep decarbonization</w:t>
      </w:r>
      <w:r w:rsidR="00947C74">
        <w:t xml:space="preserve"> and long-term local economic benefits</w:t>
      </w:r>
      <w:r w:rsidR="00E8134E" w:rsidRPr="00E8134E">
        <w:t xml:space="preserve">; creating the </w:t>
      </w:r>
      <w:r w:rsidR="00E8134E">
        <w:t xml:space="preserve">[State Climate Action Council], which shall </w:t>
      </w:r>
      <w:r w:rsidR="00E8134E" w:rsidRPr="009E2822">
        <w:t xml:space="preserve">identify and make recommendations on regulatory measures and other </w:t>
      </w:r>
      <w:r w:rsidR="008B6390">
        <w:t>S</w:t>
      </w:r>
      <w:r w:rsidR="00E8134E" w:rsidRPr="009E2822">
        <w:t>tate actions that will ensure the attainment of the statewide greenhouse gas emissions limits</w:t>
      </w:r>
      <w:r w:rsidR="00E8134E" w:rsidRPr="00E8134E">
        <w:t xml:space="preserve">; </w:t>
      </w:r>
      <w:r w:rsidR="00E8134E">
        <w:t xml:space="preserve">creating the Just Transition Working Group, which shall advise and report on </w:t>
      </w:r>
      <w:r w:rsidR="006D4386">
        <w:t xml:space="preserve">the impact of climate change on the workforce; </w:t>
      </w:r>
      <w:r w:rsidR="00E8134E" w:rsidRPr="00E8134E">
        <w:t>and providing other matters properly relating thereto.</w:t>
      </w:r>
      <w:r>
        <w:t>]</w:t>
      </w:r>
    </w:p>
    <w:p w14:paraId="4CDF78E5" w14:textId="77777777" w:rsidR="009550E9" w:rsidRPr="009E2822" w:rsidRDefault="009E2822" w:rsidP="00A84CC6">
      <w:pPr>
        <w:pStyle w:val="BlockTextJ"/>
        <w:spacing w:line="360" w:lineRule="auto"/>
      </w:pPr>
      <w:r>
        <w:t>[</w:t>
      </w:r>
      <w:r w:rsidRPr="00AE1F79">
        <w:rPr>
          <w:b/>
          <w:i/>
        </w:rPr>
        <w:t>Relevant Definitions:</w:t>
      </w:r>
      <w:r>
        <w:t>]</w:t>
      </w:r>
    </w:p>
    <w:p w14:paraId="342DD22B" w14:textId="77777777" w:rsidR="00296459" w:rsidRPr="009E2822" w:rsidRDefault="00296459" w:rsidP="00A84CC6">
      <w:pPr>
        <w:pStyle w:val="BlockTextJ"/>
        <w:spacing w:line="360" w:lineRule="auto"/>
      </w:pPr>
      <w:r w:rsidRPr="009E2822">
        <w:t>“Council” means the [State Climate Action Council] established pursuant to section [</w:t>
      </w:r>
      <w:r w:rsidR="006D4386">
        <w:sym w:font="Symbol" w:char="F0B7"/>
      </w:r>
      <w:r w:rsidRPr="009E2822">
        <w:t>] of this article.</w:t>
      </w:r>
    </w:p>
    <w:p w14:paraId="5CE48174" w14:textId="77777777" w:rsidR="006D4386" w:rsidRPr="009E2822" w:rsidRDefault="00296459" w:rsidP="00A84CC6">
      <w:pPr>
        <w:pStyle w:val="BlockTextJ"/>
        <w:spacing w:line="360" w:lineRule="auto"/>
      </w:pPr>
      <w:r w:rsidRPr="009E2822">
        <w:t>“Disadvantaged communities” means communities that bear burdens of negative public health effects, environmental pollution, impacts of climate change, and possess certain socioeconomic criteria, or comprise high-concentrations of low- and moderate- income households, as identified pursuant to section [</w:t>
      </w:r>
      <w:r w:rsidR="006D4386">
        <w:sym w:font="Symbol" w:char="F0B7"/>
      </w:r>
      <w:r w:rsidRPr="009E2822">
        <w:t>] of this article.</w:t>
      </w:r>
    </w:p>
    <w:p w14:paraId="45472412" w14:textId="77777777" w:rsidR="00296459" w:rsidRPr="009E2822" w:rsidRDefault="009E2822" w:rsidP="00A84CC6">
      <w:pPr>
        <w:pStyle w:val="BlockTextJ"/>
        <w:spacing w:line="360" w:lineRule="auto"/>
      </w:pPr>
      <w:r>
        <w:t>[</w:t>
      </w:r>
      <w:r w:rsidRPr="00AE1F79">
        <w:rPr>
          <w:b/>
          <w:i/>
        </w:rPr>
        <w:t>Operative Sections:</w:t>
      </w:r>
      <w:r>
        <w:t>]</w:t>
      </w:r>
      <w:r w:rsidR="006104FA">
        <w:rPr>
          <w:rStyle w:val="FootnoteReference"/>
        </w:rPr>
        <w:footnoteReference w:id="34"/>
      </w:r>
    </w:p>
    <w:p w14:paraId="553F93B7" w14:textId="77777777" w:rsidR="00B76F11" w:rsidRPr="009E2822" w:rsidRDefault="009E2822" w:rsidP="00A84CC6">
      <w:pPr>
        <w:pStyle w:val="BlockTextJ"/>
        <w:spacing w:line="360" w:lineRule="auto"/>
      </w:pPr>
      <w:r>
        <w:t>Section [</w:t>
      </w:r>
      <w:r>
        <w:sym w:font="Symbol" w:char="F0B7"/>
      </w:r>
      <w:r>
        <w:t>].</w:t>
      </w:r>
      <w:r>
        <w:tab/>
      </w:r>
      <w:r w:rsidR="00B76F11" w:rsidRPr="009E2822">
        <w:t xml:space="preserve">Action undertaken by </w:t>
      </w:r>
      <w:r w:rsidR="00141F93" w:rsidRPr="009E2822">
        <w:t>[</w:t>
      </w:r>
      <w:r w:rsidR="006D4386">
        <w:t>S</w:t>
      </w:r>
      <w:r w:rsidR="00141F93" w:rsidRPr="009E2822">
        <w:t>tate]</w:t>
      </w:r>
      <w:r w:rsidR="00B76F11" w:rsidRPr="009E2822">
        <w:t xml:space="preserve"> to reduce greenhouse emissions </w:t>
      </w:r>
      <w:r w:rsidR="00AD455C">
        <w:t xml:space="preserve">and achieve deep decarbonization </w:t>
      </w:r>
      <w:r w:rsidR="00B76F11" w:rsidRPr="009E2822">
        <w:t xml:space="preserve">will advance the development of </w:t>
      </w:r>
      <w:r w:rsidR="000D0821">
        <w:t xml:space="preserve">internationally </w:t>
      </w:r>
      <w:r w:rsidR="008B6390">
        <w:t xml:space="preserve">competitive </w:t>
      </w:r>
      <w:r w:rsidR="00B76F11" w:rsidRPr="009E2822">
        <w:t xml:space="preserve">green technologies and sustainable practices </w:t>
      </w:r>
      <w:r w:rsidR="00DE6EB8">
        <w:t xml:space="preserve">and projects </w:t>
      </w:r>
      <w:r w:rsidR="00B76F11" w:rsidRPr="009E2822">
        <w:t>within the private sector, which</w:t>
      </w:r>
      <w:r w:rsidR="003B56EC" w:rsidRPr="009E2822">
        <w:t xml:space="preserve"> </w:t>
      </w:r>
      <w:r w:rsidR="00B76F11" w:rsidRPr="009E2822">
        <w:t xml:space="preserve">can have far-reaching impacts such as a reduction in the cost of renewable energy components, and the creation of jobs and tax revenues in </w:t>
      </w:r>
      <w:r w:rsidR="00141F93" w:rsidRPr="009E2822">
        <w:t>[</w:t>
      </w:r>
      <w:r w:rsidR="006D4386">
        <w:t>S</w:t>
      </w:r>
      <w:r w:rsidR="00141F93" w:rsidRPr="009E2822">
        <w:t>tate]</w:t>
      </w:r>
      <w:r w:rsidR="00B76F11" w:rsidRPr="009E2822">
        <w:t>.</w:t>
      </w:r>
    </w:p>
    <w:p w14:paraId="0312B0C5" w14:textId="77777777" w:rsidR="00464FCC" w:rsidRPr="009E2822" w:rsidRDefault="009E2822" w:rsidP="00A84CC6">
      <w:pPr>
        <w:pStyle w:val="BlockTextJ"/>
        <w:spacing w:line="360" w:lineRule="auto"/>
      </w:pPr>
      <w:r>
        <w:lastRenderedPageBreak/>
        <w:t>Section [</w:t>
      </w:r>
      <w:r>
        <w:sym w:font="Symbol" w:char="F0B7"/>
      </w:r>
      <w:r>
        <w:t>].</w:t>
      </w:r>
      <w:r>
        <w:tab/>
      </w:r>
      <w:r w:rsidR="00464FCC" w:rsidRPr="009E2822">
        <w:t>Climate change especially heightens the vulnerability of disadvantaged communities, which bear environmental and socioeconomic burdens as</w:t>
      </w:r>
      <w:r w:rsidR="00B76F11" w:rsidRPr="009E2822">
        <w:t xml:space="preserve"> </w:t>
      </w:r>
      <w:r w:rsidR="00464FCC" w:rsidRPr="009E2822">
        <w:t>well as legacies of racial and ethnic discrimination. Actions undertaken</w:t>
      </w:r>
      <w:r w:rsidR="00B76F11" w:rsidRPr="009E2822">
        <w:t xml:space="preserve"> </w:t>
      </w:r>
      <w:r w:rsidR="00464FCC" w:rsidRPr="009E2822">
        <w:t xml:space="preserve">by </w:t>
      </w:r>
      <w:r w:rsidR="00315F39" w:rsidRPr="009E2822">
        <w:t>[</w:t>
      </w:r>
      <w:r w:rsidR="006D4386">
        <w:t>S</w:t>
      </w:r>
      <w:r w:rsidR="00464FCC" w:rsidRPr="009E2822">
        <w:t>tate</w:t>
      </w:r>
      <w:r w:rsidR="00315F39" w:rsidRPr="009E2822">
        <w:t>]</w:t>
      </w:r>
      <w:r w:rsidR="00464FCC" w:rsidRPr="009E2822">
        <w:t xml:space="preserve"> to mitigate greenhouse gas emissions should prioritize</w:t>
      </w:r>
      <w:r w:rsidR="00B76F11" w:rsidRPr="009E2822">
        <w:t xml:space="preserve"> </w:t>
      </w:r>
      <w:r w:rsidR="00464FCC" w:rsidRPr="009E2822">
        <w:t>the safety and</w:t>
      </w:r>
      <w:r w:rsidR="00B76F11" w:rsidRPr="009E2822">
        <w:t xml:space="preserve"> </w:t>
      </w:r>
      <w:r w:rsidR="00464FCC" w:rsidRPr="009E2822">
        <w:t>health of disadvantaged communities, control potential</w:t>
      </w:r>
      <w:r w:rsidR="00B76F11" w:rsidRPr="009E2822">
        <w:t xml:space="preserve"> </w:t>
      </w:r>
      <w:r w:rsidR="00464FCC" w:rsidRPr="009E2822">
        <w:t>regressive impacts of future climate change mitigation and adaptation</w:t>
      </w:r>
      <w:r w:rsidR="00B76F11" w:rsidRPr="009E2822">
        <w:t xml:space="preserve"> </w:t>
      </w:r>
      <w:r w:rsidR="00464FCC" w:rsidRPr="009E2822">
        <w:t>policies on these communities, and prioritize the allocation of public</w:t>
      </w:r>
      <w:r w:rsidR="00B76F11" w:rsidRPr="009E2822">
        <w:t xml:space="preserve"> </w:t>
      </w:r>
      <w:r w:rsidR="00464FCC" w:rsidRPr="009E2822">
        <w:t>investments in these areas.</w:t>
      </w:r>
    </w:p>
    <w:p w14:paraId="7F142E82" w14:textId="77777777" w:rsidR="00464FCC" w:rsidRPr="009E2822" w:rsidRDefault="009E2822" w:rsidP="00A84CC6">
      <w:pPr>
        <w:pStyle w:val="BlockTextJ"/>
        <w:spacing w:line="360" w:lineRule="auto"/>
      </w:pPr>
      <w:r>
        <w:t>Section [</w:t>
      </w:r>
      <w:r>
        <w:sym w:font="Symbol" w:char="F0B7"/>
      </w:r>
      <w:r>
        <w:t>].</w:t>
      </w:r>
      <w:r>
        <w:tab/>
      </w:r>
      <w:r w:rsidR="00464FCC" w:rsidRPr="009E2822">
        <w:t xml:space="preserve">Creating good jobs and a thriving economy is a core concern of </w:t>
      </w:r>
      <w:r w:rsidR="00315F39" w:rsidRPr="009E2822">
        <w:t>[</w:t>
      </w:r>
      <w:r w:rsidR="006D4386">
        <w:t>S</w:t>
      </w:r>
      <w:r w:rsidR="00464FCC" w:rsidRPr="009E2822">
        <w:t>tate</w:t>
      </w:r>
      <w:r w:rsidR="00315F39" w:rsidRPr="009E2822">
        <w:t>]</w:t>
      </w:r>
      <w:r w:rsidR="00464FCC" w:rsidRPr="009E2822">
        <w:t xml:space="preserve">.    Shaping the ongoing transition in </w:t>
      </w:r>
      <w:r w:rsidR="00995901" w:rsidRPr="009E2822">
        <w:t>[</w:t>
      </w:r>
      <w:r w:rsidR="006D4386">
        <w:t>S</w:t>
      </w:r>
      <w:r w:rsidR="00995901" w:rsidRPr="009E2822">
        <w:t>tate’s]</w:t>
      </w:r>
      <w:r w:rsidR="00464FCC" w:rsidRPr="009E2822">
        <w:t xml:space="preserve"> energy sector to</w:t>
      </w:r>
      <w:r w:rsidR="00B76F11" w:rsidRPr="009E2822">
        <w:t xml:space="preserve"> </w:t>
      </w:r>
      <w:r w:rsidR="00464FCC" w:rsidRPr="009E2822">
        <w:t xml:space="preserve">ensure that it creates good jobs and </w:t>
      </w:r>
      <w:r w:rsidR="00947C74">
        <w:t>supports</w:t>
      </w:r>
      <w:r w:rsidR="003B56EC" w:rsidRPr="009E2822">
        <w:t xml:space="preserve"> </w:t>
      </w:r>
      <w:r w:rsidR="00464FCC" w:rsidRPr="009E2822">
        <w:t>workers and communities</w:t>
      </w:r>
      <w:r w:rsidR="003B56EC" w:rsidRPr="009E2822">
        <w:t xml:space="preserve"> </w:t>
      </w:r>
      <w:r w:rsidR="00464FCC" w:rsidRPr="009E2822">
        <w:t>that may lose employment in the current transition must be key concerns</w:t>
      </w:r>
      <w:r w:rsidR="00B76F11" w:rsidRPr="009E2822">
        <w:t xml:space="preserve"> </w:t>
      </w:r>
      <w:r w:rsidR="00464FCC" w:rsidRPr="009E2822">
        <w:t xml:space="preserve">of </w:t>
      </w:r>
      <w:r w:rsidR="00995901" w:rsidRPr="009E2822">
        <w:t>[</w:t>
      </w:r>
      <w:r w:rsidR="006D4386">
        <w:t>S</w:t>
      </w:r>
      <w:r w:rsidR="00995901" w:rsidRPr="009E2822">
        <w:t>tate’s]</w:t>
      </w:r>
      <w:r w:rsidR="00464FCC" w:rsidRPr="009E2822">
        <w:t xml:space="preserve"> climate policy. Setting clear standards for job quality and</w:t>
      </w:r>
      <w:r w:rsidR="00B76F11" w:rsidRPr="009E2822">
        <w:t xml:space="preserve"> </w:t>
      </w:r>
      <w:r w:rsidR="00464FCC" w:rsidRPr="009E2822">
        <w:t>training standards encourages not only high-quality work but positive</w:t>
      </w:r>
      <w:r w:rsidR="00B76F11" w:rsidRPr="009E2822">
        <w:t xml:space="preserve"> </w:t>
      </w:r>
      <w:r w:rsidR="00464FCC" w:rsidRPr="009E2822">
        <w:t>economic impacts.</w:t>
      </w:r>
    </w:p>
    <w:p w14:paraId="4449333B" w14:textId="77777777" w:rsidR="00FD177D" w:rsidRPr="009E2822" w:rsidRDefault="009E2822" w:rsidP="00A84CC6">
      <w:pPr>
        <w:pStyle w:val="BlockTextJ"/>
        <w:spacing w:line="360" w:lineRule="auto"/>
      </w:pPr>
      <w:r>
        <w:t>Section [</w:t>
      </w:r>
      <w:r>
        <w:sym w:font="Symbol" w:char="F0B7"/>
      </w:r>
      <w:r>
        <w:t>].</w:t>
      </w:r>
      <w:r>
        <w:tab/>
      </w:r>
      <w:r w:rsidR="00464FCC" w:rsidRPr="009E2822">
        <w:t>Ensuring career opportunities are</w:t>
      </w:r>
      <w:r w:rsidR="006D4386">
        <w:t xml:space="preserve"> </w:t>
      </w:r>
      <w:r w:rsidR="00464FCC" w:rsidRPr="009E2822">
        <w:t>created and shared geographically and demographically is necessary to ensure increased access to</w:t>
      </w:r>
      <w:r w:rsidR="00976E01">
        <w:t xml:space="preserve"> </w:t>
      </w:r>
      <w:r w:rsidR="00464FCC" w:rsidRPr="009E2822">
        <w:t>good jobs for marginalized communities while making the same neighborhoods more resilient.  Climate change has a disproportionate impact on</w:t>
      </w:r>
      <w:r w:rsidR="00B76F11" w:rsidRPr="009E2822">
        <w:t xml:space="preserve"> </w:t>
      </w:r>
      <w:r w:rsidR="00464FCC" w:rsidRPr="009E2822">
        <w:t>low-income people, women, and workers.  It is in the interest of the</w:t>
      </w:r>
      <w:r w:rsidR="00B76F11" w:rsidRPr="009E2822">
        <w:t xml:space="preserve"> </w:t>
      </w:r>
      <w:r w:rsidR="000934AA" w:rsidRPr="009E2822">
        <w:t>[</w:t>
      </w:r>
      <w:r w:rsidR="006D4386">
        <w:t>S</w:t>
      </w:r>
      <w:r w:rsidR="000934AA" w:rsidRPr="009E2822">
        <w:t>tate]</w:t>
      </w:r>
      <w:r w:rsidR="00464FCC" w:rsidRPr="009E2822">
        <w:t xml:space="preserve"> to </w:t>
      </w:r>
      <w:r w:rsidR="00947C74">
        <w:t>support</w:t>
      </w:r>
      <w:r w:rsidR="00464FCC" w:rsidRPr="009E2822">
        <w:t xml:space="preserve"> and promote the interests of these groups</w:t>
      </w:r>
      <w:r w:rsidR="00B76F11" w:rsidRPr="009E2822">
        <w:t xml:space="preserve"> </w:t>
      </w:r>
      <w:r w:rsidR="00464FCC" w:rsidRPr="009E2822">
        <w:t xml:space="preserve">against </w:t>
      </w:r>
      <w:r w:rsidR="00976E01">
        <w:t>t</w:t>
      </w:r>
      <w:r w:rsidR="00464FCC" w:rsidRPr="009E2822">
        <w:t>he impacts of climate change and severe weather events and to</w:t>
      </w:r>
      <w:r w:rsidR="00B76F11" w:rsidRPr="009E2822">
        <w:t xml:space="preserve"> </w:t>
      </w:r>
      <w:r w:rsidR="00464FCC" w:rsidRPr="009E2822">
        <w:t>advance our equity goals by ensuring quality employment opportunities in</w:t>
      </w:r>
      <w:r w:rsidR="00B76F11" w:rsidRPr="009E2822">
        <w:t xml:space="preserve"> </w:t>
      </w:r>
      <w:r w:rsidR="00464FCC" w:rsidRPr="009E2822">
        <w:t>safe working environments.</w:t>
      </w:r>
    </w:p>
    <w:p w14:paraId="473F2E88" w14:textId="77777777" w:rsidR="00464FCC" w:rsidRPr="009E2822" w:rsidRDefault="009E2822" w:rsidP="00A84CC6">
      <w:pPr>
        <w:pStyle w:val="BlockTextJ"/>
        <w:spacing w:line="360" w:lineRule="auto"/>
      </w:pPr>
      <w:r>
        <w:t>Section [</w:t>
      </w:r>
      <w:r>
        <w:sym w:font="Symbol" w:char="F0B7"/>
      </w:r>
      <w:r>
        <w:t>].</w:t>
      </w:r>
      <w:r>
        <w:tab/>
      </w:r>
      <w:r w:rsidR="00464FCC" w:rsidRPr="009E2822">
        <w:t>The complexity of the ongoing energy transition, the uneven</w:t>
      </w:r>
      <w:r w:rsidR="00B76F11" w:rsidRPr="009E2822">
        <w:t xml:space="preserve"> </w:t>
      </w:r>
      <w:r w:rsidR="00464FCC" w:rsidRPr="009E2822">
        <w:t>distribution of economic opportunity, and the disproportionate cumulative economic and environmental burdens on communities mean that there</w:t>
      </w:r>
      <w:r w:rsidR="00B76F11" w:rsidRPr="009E2822">
        <w:t xml:space="preserve"> </w:t>
      </w:r>
      <w:r w:rsidR="00464FCC" w:rsidRPr="009E2822">
        <w:t xml:space="preserve">is a strong </w:t>
      </w:r>
      <w:r w:rsidR="007158DF">
        <w:t>[</w:t>
      </w:r>
      <w:r w:rsidR="006D4386">
        <w:t>S</w:t>
      </w:r>
      <w:r w:rsidR="00464FCC" w:rsidRPr="009E2822">
        <w:t>tate</w:t>
      </w:r>
      <w:r w:rsidR="007158DF">
        <w:t>]</w:t>
      </w:r>
      <w:r w:rsidR="00464FCC" w:rsidRPr="009E2822">
        <w:t xml:space="preserve"> interest in setting a floor statewide for labor standards, but allowing and encouraging individual agencies and local governments to raise standards.</w:t>
      </w:r>
    </w:p>
    <w:p w14:paraId="5DE8F7EA" w14:textId="77777777" w:rsidR="00464FCC" w:rsidRPr="00CA1642" w:rsidRDefault="00296459" w:rsidP="00A84CC6">
      <w:pPr>
        <w:pStyle w:val="BlockTextJ"/>
        <w:spacing w:line="360" w:lineRule="auto"/>
        <w:rPr>
          <w:b/>
        </w:rPr>
      </w:pPr>
      <w:r w:rsidRPr="00CA1642">
        <w:rPr>
          <w:b/>
        </w:rPr>
        <w:t>[S</w:t>
      </w:r>
      <w:r w:rsidR="00464FCC" w:rsidRPr="00CA1642">
        <w:rPr>
          <w:b/>
        </w:rPr>
        <w:t>tate</w:t>
      </w:r>
      <w:r w:rsidRPr="00CA1642">
        <w:rPr>
          <w:b/>
        </w:rPr>
        <w:t>]</w:t>
      </w:r>
      <w:r w:rsidR="00464FCC" w:rsidRPr="00CA1642">
        <w:rPr>
          <w:b/>
        </w:rPr>
        <w:t xml:space="preserve"> </w:t>
      </w:r>
      <w:r w:rsidRPr="00CA1642">
        <w:rPr>
          <w:b/>
        </w:rPr>
        <w:t>C</w:t>
      </w:r>
      <w:r w:rsidR="00464FCC" w:rsidRPr="00CA1642">
        <w:rPr>
          <w:b/>
        </w:rPr>
        <w:t xml:space="preserve">limate </w:t>
      </w:r>
      <w:r w:rsidRPr="00CA1642">
        <w:rPr>
          <w:b/>
        </w:rPr>
        <w:t>A</w:t>
      </w:r>
      <w:r w:rsidR="00464FCC" w:rsidRPr="00CA1642">
        <w:rPr>
          <w:b/>
        </w:rPr>
        <w:t xml:space="preserve">ction </w:t>
      </w:r>
      <w:r w:rsidRPr="00CA1642">
        <w:rPr>
          <w:b/>
        </w:rPr>
        <w:t>C</w:t>
      </w:r>
      <w:r w:rsidR="00464FCC" w:rsidRPr="00CA1642">
        <w:rPr>
          <w:b/>
        </w:rPr>
        <w:t>ouncil.</w:t>
      </w:r>
    </w:p>
    <w:p w14:paraId="4D7BA40C" w14:textId="77777777" w:rsidR="009550E9" w:rsidRPr="009E2822" w:rsidRDefault="009E2822" w:rsidP="00A84CC6">
      <w:pPr>
        <w:pStyle w:val="BlockTextJ"/>
        <w:spacing w:line="360" w:lineRule="auto"/>
      </w:pPr>
      <w:r>
        <w:t>Section [</w:t>
      </w:r>
      <w:r>
        <w:sym w:font="Symbol" w:char="F0B7"/>
      </w:r>
      <w:r>
        <w:t>].</w:t>
      </w:r>
      <w:r>
        <w:tab/>
      </w:r>
      <w:r w:rsidR="00464FCC" w:rsidRPr="009E2822">
        <w:t xml:space="preserve">There is hereby established the </w:t>
      </w:r>
      <w:r w:rsidR="009550E9" w:rsidRPr="009E2822">
        <w:t>[</w:t>
      </w:r>
      <w:r w:rsidR="006D4386">
        <w:t>S</w:t>
      </w:r>
      <w:r w:rsidR="00464FCC" w:rsidRPr="009E2822">
        <w:t>tate</w:t>
      </w:r>
      <w:r w:rsidR="009550E9" w:rsidRPr="009E2822">
        <w:t>]</w:t>
      </w:r>
      <w:r w:rsidR="00464FCC" w:rsidRPr="009E2822">
        <w:t xml:space="preserve"> </w:t>
      </w:r>
      <w:r w:rsidR="00D92093">
        <w:t>C</w:t>
      </w:r>
      <w:r w:rsidR="00464FCC" w:rsidRPr="009E2822">
        <w:t xml:space="preserve">limate </w:t>
      </w:r>
      <w:r w:rsidR="00D92093">
        <w:t>A</w:t>
      </w:r>
      <w:r w:rsidR="00464FCC" w:rsidRPr="009E2822">
        <w:t xml:space="preserve">ction </w:t>
      </w:r>
      <w:r w:rsidR="00D92093">
        <w:t>C</w:t>
      </w:r>
      <w:r w:rsidR="00464FCC" w:rsidRPr="009E2822">
        <w:t>ouncil (</w:t>
      </w:r>
      <w:r w:rsidR="009550E9" w:rsidRPr="009E2822">
        <w:t>“</w:t>
      </w:r>
      <w:r w:rsidR="00B21579" w:rsidRPr="009E2822">
        <w:t>C</w:t>
      </w:r>
      <w:r w:rsidR="00464FCC" w:rsidRPr="009E2822">
        <w:t>ouncil</w:t>
      </w:r>
      <w:r w:rsidR="009550E9" w:rsidRPr="009E2822">
        <w:t>”</w:t>
      </w:r>
      <w:r w:rsidR="00464FCC" w:rsidRPr="009E2822">
        <w:t xml:space="preserve">) which shall consist of the following members: </w:t>
      </w:r>
    </w:p>
    <w:p w14:paraId="1B514A9C" w14:textId="77777777" w:rsidR="00464FCC" w:rsidRPr="009E2822" w:rsidRDefault="00464FCC" w:rsidP="00A84CC6">
      <w:pPr>
        <w:pStyle w:val="BlockTextJ"/>
        <w:spacing w:line="360" w:lineRule="auto"/>
        <w:ind w:left="720"/>
      </w:pPr>
      <w:r w:rsidRPr="009E2822">
        <w:t xml:space="preserve">a. the </w:t>
      </w:r>
      <w:r w:rsidR="00B21579" w:rsidRPr="009E2822">
        <w:t>[governmental leaders/</w:t>
      </w:r>
      <w:r w:rsidRPr="009E2822">
        <w:t xml:space="preserve">commissioners of </w:t>
      </w:r>
      <w:r w:rsidR="00B21579" w:rsidRPr="009E2822">
        <w:t xml:space="preserve">relevant departments including </w:t>
      </w:r>
      <w:r w:rsidRPr="009E2822">
        <w:t>transportation, health, economic development, agriculture, housing</w:t>
      </w:r>
      <w:r w:rsidR="00B21579" w:rsidRPr="009E2822">
        <w:t xml:space="preserve">, </w:t>
      </w:r>
      <w:r w:rsidRPr="009E2822">
        <w:t xml:space="preserve">community, environmental conservation, labor, </w:t>
      </w:r>
      <w:r w:rsidR="00B21579" w:rsidRPr="009E2822">
        <w:t xml:space="preserve">state energy programs, state </w:t>
      </w:r>
      <w:r w:rsidRPr="009E2822">
        <w:t xml:space="preserve">power </w:t>
      </w:r>
      <w:proofErr w:type="gramStart"/>
      <w:r w:rsidRPr="009E2822">
        <w:t>authority</w:t>
      </w:r>
      <w:r w:rsidR="00B21579" w:rsidRPr="009E2822">
        <w:t>][</w:t>
      </w:r>
      <w:proofErr w:type="gramEnd"/>
      <w:r w:rsidR="00B21579" w:rsidRPr="009E2822">
        <w:t xml:space="preserve">, </w:t>
      </w:r>
      <w:r w:rsidRPr="009E2822">
        <w:t>or their designees</w:t>
      </w:r>
      <w:r w:rsidR="00B21579" w:rsidRPr="009E2822">
        <w:t>]</w:t>
      </w:r>
      <w:r w:rsidRPr="009E2822">
        <w:t>.</w:t>
      </w:r>
    </w:p>
    <w:p w14:paraId="18A80BE1" w14:textId="77777777" w:rsidR="00464FCC" w:rsidRPr="009E2822" w:rsidRDefault="00464FCC" w:rsidP="00A84CC6">
      <w:pPr>
        <w:pStyle w:val="BlockTextJ"/>
        <w:spacing w:line="360" w:lineRule="auto"/>
        <w:ind w:left="720"/>
      </w:pPr>
      <w:r w:rsidRPr="009E2822">
        <w:lastRenderedPageBreak/>
        <w:t xml:space="preserve">b. </w:t>
      </w:r>
      <w:r w:rsidR="00B21579" w:rsidRPr="009E2822">
        <w:t>[</w:t>
      </w:r>
      <w:r w:rsidR="006D4386">
        <w:sym w:font="Symbol" w:char="F0B7"/>
      </w:r>
      <w:r w:rsidR="00B21579" w:rsidRPr="009E2822">
        <w:t>]</w:t>
      </w:r>
      <w:r w:rsidRPr="009E2822">
        <w:t xml:space="preserve"> non-agency expert members appointed by the governor;</w:t>
      </w:r>
    </w:p>
    <w:p w14:paraId="01DC7BFA" w14:textId="77777777" w:rsidR="00464FCC" w:rsidRPr="009E2822" w:rsidRDefault="00464FCC" w:rsidP="00A84CC6">
      <w:pPr>
        <w:pStyle w:val="BlockTextJ"/>
        <w:spacing w:line="360" w:lineRule="auto"/>
        <w:ind w:left="720"/>
      </w:pPr>
      <w:r w:rsidRPr="009E2822">
        <w:t xml:space="preserve">c. </w:t>
      </w:r>
      <w:r w:rsidR="00B21579" w:rsidRPr="009E2822">
        <w:t>[</w:t>
      </w:r>
      <w:r w:rsidR="006D4386">
        <w:sym w:font="Symbol" w:char="F0B7"/>
      </w:r>
      <w:r w:rsidR="00296459" w:rsidRPr="009E2822">
        <w:t>]</w:t>
      </w:r>
      <w:r w:rsidRPr="009E2822">
        <w:t xml:space="preserve"> member</w:t>
      </w:r>
      <w:r w:rsidR="00EF795C" w:rsidRPr="009E2822">
        <w:t>[</w:t>
      </w:r>
      <w:r w:rsidRPr="009E2822">
        <w:t>s</w:t>
      </w:r>
      <w:r w:rsidR="00EF795C" w:rsidRPr="009E2822">
        <w:t>]</w:t>
      </w:r>
      <w:r w:rsidRPr="009E2822">
        <w:t xml:space="preserve"> to be appointed by the </w:t>
      </w:r>
      <w:r w:rsidR="00EF795C" w:rsidRPr="009E2822">
        <w:t>[</w:t>
      </w:r>
      <w:r w:rsidR="00296459" w:rsidRPr="009E2822">
        <w:t>majority leader]</w:t>
      </w:r>
      <w:r w:rsidRPr="009E2822">
        <w:t xml:space="preserve"> of the</w:t>
      </w:r>
      <w:r w:rsidR="001751BF" w:rsidRPr="009E2822">
        <w:t xml:space="preserve"> </w:t>
      </w:r>
      <w:r w:rsidR="00EF795C" w:rsidRPr="009E2822">
        <w:t>[state legislature upper house]</w:t>
      </w:r>
      <w:r w:rsidRPr="009E2822">
        <w:t>;</w:t>
      </w:r>
    </w:p>
    <w:p w14:paraId="028CD302" w14:textId="77777777" w:rsidR="00464FCC" w:rsidRPr="009E2822" w:rsidRDefault="00464FCC" w:rsidP="00A84CC6">
      <w:pPr>
        <w:pStyle w:val="BlockTextJ"/>
        <w:spacing w:line="360" w:lineRule="auto"/>
        <w:ind w:left="720"/>
      </w:pPr>
      <w:r w:rsidRPr="009E2822">
        <w:t xml:space="preserve">d. </w:t>
      </w:r>
      <w:r w:rsidR="00296459" w:rsidRPr="009E2822">
        <w:t>[</w:t>
      </w:r>
      <w:r w:rsidR="006D4386">
        <w:sym w:font="Symbol" w:char="F0B7"/>
      </w:r>
      <w:r w:rsidR="00296459" w:rsidRPr="009E2822">
        <w:t>]</w:t>
      </w:r>
      <w:r w:rsidRPr="009E2822">
        <w:t xml:space="preserve"> member</w:t>
      </w:r>
      <w:r w:rsidR="00EF795C" w:rsidRPr="009E2822">
        <w:t>[</w:t>
      </w:r>
      <w:r w:rsidRPr="009E2822">
        <w:t>s</w:t>
      </w:r>
      <w:r w:rsidR="00EF795C" w:rsidRPr="009E2822">
        <w:t>]</w:t>
      </w:r>
      <w:r w:rsidRPr="009E2822">
        <w:t xml:space="preserve"> to be appointed by the </w:t>
      </w:r>
      <w:r w:rsidR="00EF795C" w:rsidRPr="009E2822">
        <w:t>[majority leader]</w:t>
      </w:r>
      <w:r w:rsidRPr="009E2822">
        <w:t xml:space="preserve"> of the </w:t>
      </w:r>
      <w:r w:rsidR="00EF795C" w:rsidRPr="009E2822">
        <w:t>[state legislature lower house]</w:t>
      </w:r>
      <w:r w:rsidRPr="009E2822">
        <w:t>;</w:t>
      </w:r>
    </w:p>
    <w:p w14:paraId="6F879525" w14:textId="77777777" w:rsidR="00464FCC" w:rsidRPr="009E2822" w:rsidRDefault="00464FCC" w:rsidP="00A84CC6">
      <w:pPr>
        <w:pStyle w:val="BlockTextJ"/>
        <w:spacing w:line="360" w:lineRule="auto"/>
        <w:ind w:left="720"/>
      </w:pPr>
      <w:r w:rsidRPr="009E2822">
        <w:t xml:space="preserve">e. </w:t>
      </w:r>
      <w:r w:rsidR="00296459" w:rsidRPr="009E2822">
        <w:t>[</w:t>
      </w:r>
      <w:r w:rsidR="006D4386">
        <w:sym w:font="Symbol" w:char="F0B7"/>
      </w:r>
      <w:r w:rsidR="00296459" w:rsidRPr="009E2822">
        <w:t>]</w:t>
      </w:r>
      <w:r w:rsidRPr="009E2822">
        <w:t xml:space="preserve"> member</w:t>
      </w:r>
      <w:r w:rsidR="00EF795C" w:rsidRPr="009E2822">
        <w:t>[s]</w:t>
      </w:r>
      <w:r w:rsidRPr="009E2822">
        <w:t xml:space="preserve"> to be appointed by the </w:t>
      </w:r>
      <w:r w:rsidR="00EF795C" w:rsidRPr="009E2822">
        <w:t>[</w:t>
      </w:r>
      <w:r w:rsidRPr="009E2822">
        <w:t>minority leader</w:t>
      </w:r>
      <w:r w:rsidR="00EF795C" w:rsidRPr="009E2822">
        <w:t>]</w:t>
      </w:r>
      <w:r w:rsidRPr="009E2822">
        <w:t xml:space="preserve"> of the </w:t>
      </w:r>
      <w:r w:rsidR="00EF795C" w:rsidRPr="009E2822">
        <w:t>[state legislature upper house]</w:t>
      </w:r>
      <w:r w:rsidRPr="009E2822">
        <w:t>;</w:t>
      </w:r>
      <w:r w:rsidR="001751BF" w:rsidRPr="009E2822">
        <w:t xml:space="preserve"> </w:t>
      </w:r>
      <w:r w:rsidRPr="009E2822">
        <w:t>and</w:t>
      </w:r>
    </w:p>
    <w:p w14:paraId="3F719DBB" w14:textId="77777777" w:rsidR="00464FCC" w:rsidRPr="009E2822" w:rsidRDefault="00464FCC" w:rsidP="00A84CC6">
      <w:pPr>
        <w:pStyle w:val="BlockTextJ"/>
        <w:spacing w:line="360" w:lineRule="auto"/>
        <w:ind w:left="720"/>
      </w:pPr>
      <w:r w:rsidRPr="009E2822">
        <w:t xml:space="preserve">f. </w:t>
      </w:r>
      <w:r w:rsidR="00296459" w:rsidRPr="009E2822">
        <w:t>[</w:t>
      </w:r>
      <w:r w:rsidR="006D4386">
        <w:sym w:font="Symbol" w:char="F0B7"/>
      </w:r>
      <w:r w:rsidR="00296459" w:rsidRPr="009E2822">
        <w:t>]</w:t>
      </w:r>
      <w:r w:rsidRPr="009E2822">
        <w:t xml:space="preserve"> member</w:t>
      </w:r>
      <w:r w:rsidR="00EF795C" w:rsidRPr="009E2822">
        <w:t>[s]</w:t>
      </w:r>
      <w:r w:rsidRPr="009E2822">
        <w:t xml:space="preserve"> to be appointed by the </w:t>
      </w:r>
      <w:r w:rsidR="00EF795C" w:rsidRPr="009E2822">
        <w:t>[</w:t>
      </w:r>
      <w:r w:rsidRPr="009E2822">
        <w:t>minority leader</w:t>
      </w:r>
      <w:r w:rsidR="00EF795C" w:rsidRPr="009E2822">
        <w:t>]</w:t>
      </w:r>
      <w:r w:rsidRPr="009E2822">
        <w:t xml:space="preserve"> of the </w:t>
      </w:r>
      <w:r w:rsidR="00EF795C" w:rsidRPr="009E2822">
        <w:t>[state legislature lower house]</w:t>
      </w:r>
      <w:r w:rsidRPr="009E2822">
        <w:t>.</w:t>
      </w:r>
    </w:p>
    <w:p w14:paraId="04BCD37F" w14:textId="2A3A23E4" w:rsidR="00464FCC" w:rsidRPr="009E2822" w:rsidRDefault="009E2822" w:rsidP="00A84CC6">
      <w:pPr>
        <w:pStyle w:val="BlockTextJ"/>
        <w:spacing w:line="360" w:lineRule="auto"/>
      </w:pPr>
      <w:r>
        <w:t>Section [</w:t>
      </w:r>
      <w:r>
        <w:sym w:font="Symbol" w:char="F0B7"/>
      </w:r>
      <w:r>
        <w:t>].</w:t>
      </w:r>
      <w:r>
        <w:tab/>
      </w:r>
      <w:r w:rsidR="00464FCC" w:rsidRPr="009E2822">
        <w:t>The at large members shall include at all times individuals with</w:t>
      </w:r>
      <w:r w:rsidR="001751BF" w:rsidRPr="009E2822">
        <w:t xml:space="preserve"> </w:t>
      </w:r>
      <w:r w:rsidR="00464FCC" w:rsidRPr="009E2822">
        <w:t xml:space="preserve">expertise in issues relating to climate change mitigation and/or adaptation, </w:t>
      </w:r>
      <w:r w:rsidR="004E4E2D">
        <w:t>including but not limited to</w:t>
      </w:r>
      <w:r w:rsidR="00464FCC" w:rsidRPr="009E2822">
        <w:t xml:space="preserve"> environmental justice, labor, public health</w:t>
      </w:r>
      <w:r w:rsidR="004E4E2D">
        <w:t xml:space="preserve">, </w:t>
      </w:r>
      <w:r w:rsidR="00464FCC" w:rsidRPr="009E2822">
        <w:t>regulated industries</w:t>
      </w:r>
      <w:r w:rsidR="004E4E2D">
        <w:t>, and international trade and investment</w:t>
      </w:r>
      <w:r w:rsidR="00464FCC" w:rsidRPr="009E2822">
        <w:t>.</w:t>
      </w:r>
      <w:r w:rsidR="00E46006">
        <w:rPr>
          <w:rStyle w:val="FootnoteReference"/>
        </w:rPr>
        <w:footnoteReference w:id="35"/>
      </w:r>
    </w:p>
    <w:p w14:paraId="5B0A6A54" w14:textId="77777777" w:rsidR="00464FCC" w:rsidRPr="009E2822" w:rsidRDefault="009E2822" w:rsidP="00A84CC6">
      <w:pPr>
        <w:pStyle w:val="BlockTextJ"/>
        <w:spacing w:line="360" w:lineRule="auto"/>
      </w:pPr>
      <w:r>
        <w:t>Section [</w:t>
      </w:r>
      <w:r>
        <w:sym w:font="Symbol" w:char="F0B7"/>
      </w:r>
      <w:r>
        <w:t>].</w:t>
      </w:r>
      <w:r>
        <w:tab/>
      </w:r>
      <w:r w:rsidR="00464FCC" w:rsidRPr="009E2822">
        <w:t>Council members shall receive no compensation for their services but shall be reimbursed for actual and necessary expenses incurred in the performance of their duties.</w:t>
      </w:r>
    </w:p>
    <w:p w14:paraId="399E0563" w14:textId="77777777" w:rsidR="00464FCC" w:rsidRPr="009E2822" w:rsidRDefault="009E2822" w:rsidP="00A84CC6">
      <w:pPr>
        <w:pStyle w:val="BlockTextJ"/>
        <w:spacing w:line="360" w:lineRule="auto"/>
      </w:pPr>
      <w:r>
        <w:t>Section [</w:t>
      </w:r>
      <w:r>
        <w:sym w:font="Symbol" w:char="F0B7"/>
      </w:r>
      <w:r>
        <w:t>].</w:t>
      </w:r>
      <w:r>
        <w:tab/>
      </w:r>
      <w:r w:rsidR="00464FCC" w:rsidRPr="009E2822">
        <w:t xml:space="preserve">The co-chairpersons of the </w:t>
      </w:r>
      <w:r w:rsidR="00296459" w:rsidRPr="009E2822">
        <w:t>C</w:t>
      </w:r>
      <w:r w:rsidR="00464FCC" w:rsidRPr="009E2822">
        <w:t xml:space="preserve">ouncil shall be </w:t>
      </w:r>
      <w:r w:rsidR="00EF795C" w:rsidRPr="009E2822">
        <w:t>[government leaders/commissioners of relevant departments such as environment and energy]</w:t>
      </w:r>
      <w:r w:rsidR="00104BF4">
        <w:t xml:space="preserve"> </w:t>
      </w:r>
      <w:r w:rsidR="00EF795C" w:rsidRPr="009E2822">
        <w:t>[</w:t>
      </w:r>
      <w:r w:rsidR="00464FCC" w:rsidRPr="009E2822">
        <w:t>or their designee</w:t>
      </w:r>
      <w:r w:rsidR="00EF795C" w:rsidRPr="009E2822">
        <w:t>]</w:t>
      </w:r>
      <w:r w:rsidR="00464FCC" w:rsidRPr="009E2822">
        <w:t>.</w:t>
      </w:r>
    </w:p>
    <w:p w14:paraId="7E417DE1" w14:textId="77777777" w:rsidR="00464FCC" w:rsidRPr="009E2822" w:rsidRDefault="009E2822" w:rsidP="00A84CC6">
      <w:pPr>
        <w:pStyle w:val="BlockTextJ"/>
        <w:spacing w:line="360" w:lineRule="auto"/>
      </w:pPr>
      <w:r>
        <w:t>Section [</w:t>
      </w:r>
      <w:r>
        <w:sym w:font="Symbol" w:char="F0B7"/>
      </w:r>
      <w:r>
        <w:t>].</w:t>
      </w:r>
      <w:r>
        <w:tab/>
      </w:r>
      <w:r w:rsidR="00464FCC" w:rsidRPr="009E2822">
        <w:t xml:space="preserve">Each member of the </w:t>
      </w:r>
      <w:r w:rsidR="00296459" w:rsidRPr="009E2822">
        <w:t>C</w:t>
      </w:r>
      <w:r w:rsidR="00464FCC" w:rsidRPr="009E2822">
        <w:t xml:space="preserve">ouncil shall be entitled to one vote. The </w:t>
      </w:r>
      <w:r w:rsidR="00296459" w:rsidRPr="009E2822">
        <w:t>C</w:t>
      </w:r>
      <w:r w:rsidR="00464FCC" w:rsidRPr="009E2822">
        <w:t xml:space="preserve">ouncil's approval and </w:t>
      </w:r>
      <w:r w:rsidR="00464FCC" w:rsidRPr="00E45239">
        <w:t xml:space="preserve">adoption of the final </w:t>
      </w:r>
      <w:r w:rsidR="00AA1C7A">
        <w:t>Scoping Plan</w:t>
      </w:r>
      <w:r w:rsidR="00464FCC" w:rsidRPr="00E45239">
        <w:t xml:space="preserve"> pursuant</w:t>
      </w:r>
      <w:r w:rsidR="00464FCC" w:rsidRPr="009E2822">
        <w:t xml:space="preserve"> to this section, and any subsequent interim updates thereto, shall require a</w:t>
      </w:r>
      <w:r w:rsidR="001751BF" w:rsidRPr="009E2822">
        <w:t xml:space="preserve"> </w:t>
      </w:r>
      <w:r w:rsidR="00BC1F1B">
        <w:t>[</w:t>
      </w:r>
      <w:r w:rsidR="00464FCC" w:rsidRPr="009E2822">
        <w:t>supermajority</w:t>
      </w:r>
      <w:r w:rsidR="00BC1F1B">
        <w:t>]</w:t>
      </w:r>
      <w:r w:rsidR="00464FCC" w:rsidRPr="009E2822">
        <w:t xml:space="preserve"> of the </w:t>
      </w:r>
      <w:r w:rsidR="00296459" w:rsidRPr="009E2822">
        <w:t>C</w:t>
      </w:r>
      <w:r w:rsidR="00464FCC" w:rsidRPr="009E2822">
        <w:t xml:space="preserve">ouncil. No action may be taken </w:t>
      </w:r>
      <w:r w:rsidR="00464FCC" w:rsidRPr="009E2822">
        <w:lastRenderedPageBreak/>
        <w:t xml:space="preserve">by the </w:t>
      </w:r>
      <w:r w:rsidR="00296459" w:rsidRPr="009E2822">
        <w:t>C</w:t>
      </w:r>
      <w:r w:rsidR="00464FCC" w:rsidRPr="009E2822">
        <w:t>ouncil</w:t>
      </w:r>
      <w:r w:rsidR="001751BF" w:rsidRPr="009E2822">
        <w:t xml:space="preserve"> </w:t>
      </w:r>
      <w:r w:rsidR="00464FCC" w:rsidRPr="009E2822">
        <w:t xml:space="preserve">unless there is a quorum, which shall at all times be a majority of the members of the </w:t>
      </w:r>
      <w:r w:rsidR="00296459" w:rsidRPr="009E2822">
        <w:t>C</w:t>
      </w:r>
      <w:r w:rsidR="00464FCC" w:rsidRPr="009E2822">
        <w:t>ouncil.</w:t>
      </w:r>
    </w:p>
    <w:p w14:paraId="3187158D" w14:textId="77777777" w:rsidR="00464FCC" w:rsidRPr="009E2822" w:rsidRDefault="009E2822" w:rsidP="00A84CC6">
      <w:pPr>
        <w:pStyle w:val="BlockTextJ"/>
        <w:spacing w:line="360" w:lineRule="auto"/>
      </w:pPr>
      <w:r>
        <w:t>Section [</w:t>
      </w:r>
      <w:r>
        <w:sym w:font="Symbol" w:char="F0B7"/>
      </w:r>
      <w:r>
        <w:t>].</w:t>
      </w:r>
      <w:r>
        <w:tab/>
      </w:r>
      <w:r w:rsidR="00464FCC" w:rsidRPr="009E2822">
        <w:t xml:space="preserve">Any vacancies on the </w:t>
      </w:r>
      <w:r w:rsidR="00296459" w:rsidRPr="009E2822">
        <w:t>C</w:t>
      </w:r>
      <w:r w:rsidR="00464FCC" w:rsidRPr="009E2822">
        <w:t>ouncil shall be filled in the manner provided for the initial appointment.</w:t>
      </w:r>
    </w:p>
    <w:p w14:paraId="2652A2F5" w14:textId="77777777" w:rsidR="00014605" w:rsidRDefault="009E2822" w:rsidP="00A84CC6">
      <w:pPr>
        <w:pStyle w:val="BlockTextJ"/>
        <w:spacing w:line="360" w:lineRule="auto"/>
      </w:pPr>
      <w:r>
        <w:t>Section [</w:t>
      </w:r>
      <w:r>
        <w:sym w:font="Symbol" w:char="F0B7"/>
      </w:r>
      <w:r>
        <w:t>].</w:t>
      </w:r>
      <w:r>
        <w:tab/>
      </w:r>
      <w:r w:rsidR="00014605" w:rsidRPr="009E2822">
        <w:t>The Council shall convene advisory panels requiring special expertise and, at a minimum, shall establish advisory panels on [[transportation</w:t>
      </w:r>
      <w:proofErr w:type="gramStart"/>
      <w:r w:rsidR="00014605" w:rsidRPr="009E2822">
        <w:t>][</w:t>
      </w:r>
      <w:proofErr w:type="gramEnd"/>
      <w:r w:rsidR="00014605" w:rsidRPr="009E2822">
        <w:t xml:space="preserve">, energy intensive and trade-exposed industries][, land-use and local government][, energy efficiency and housing][, power generation][, and agriculture and forestry]. The purpose of the advisory panels shall be to provide recommendations to the Council on specific topics, in its preparation of the </w:t>
      </w:r>
      <w:r w:rsidR="00AA1C7A">
        <w:t>Scoping Plan</w:t>
      </w:r>
      <w:r w:rsidR="00014605" w:rsidRPr="009E2822">
        <w:t xml:space="preserve">, and interim updates to the </w:t>
      </w:r>
      <w:r w:rsidR="00AA1C7A">
        <w:t>Scoping Plan</w:t>
      </w:r>
      <w:r w:rsidR="00014605" w:rsidRPr="009E2822">
        <w:t>, and in fulfilling the Council's ongoing duties.</w:t>
      </w:r>
    </w:p>
    <w:p w14:paraId="4B425796" w14:textId="720ECC6A" w:rsidR="006D4386" w:rsidRPr="00CA1642" w:rsidRDefault="006D4386" w:rsidP="00695379">
      <w:pPr>
        <w:pStyle w:val="BlockTextJ"/>
        <w:keepNext/>
        <w:spacing w:line="360" w:lineRule="auto"/>
        <w:rPr>
          <w:b/>
        </w:rPr>
      </w:pPr>
      <w:r w:rsidRPr="00CA1642">
        <w:rPr>
          <w:b/>
        </w:rPr>
        <w:t>Just Transition Working Group.</w:t>
      </w:r>
      <w:r w:rsidR="004F4C34">
        <w:rPr>
          <w:b/>
        </w:rPr>
        <w:t xml:space="preserve"> </w:t>
      </w:r>
    </w:p>
    <w:p w14:paraId="4B26F361" w14:textId="77777777" w:rsidR="00464FCC" w:rsidRPr="009E2822" w:rsidRDefault="009E2822" w:rsidP="00695379">
      <w:pPr>
        <w:pStyle w:val="BlockTextJ"/>
        <w:keepNext/>
        <w:spacing w:line="360" w:lineRule="auto"/>
      </w:pPr>
      <w:r>
        <w:t>Section [</w:t>
      </w:r>
      <w:r>
        <w:sym w:font="Symbol" w:char="F0B7"/>
      </w:r>
      <w:r>
        <w:t>].</w:t>
      </w:r>
      <w:r>
        <w:tab/>
      </w:r>
      <w:r w:rsidR="00464FCC" w:rsidRPr="009E2822">
        <w:t xml:space="preserve">The </w:t>
      </w:r>
      <w:r w:rsidR="00296459" w:rsidRPr="009E2822">
        <w:t>C</w:t>
      </w:r>
      <w:r w:rsidR="00464FCC" w:rsidRPr="009E2822">
        <w:t xml:space="preserve">ouncil shall convene a </w:t>
      </w:r>
      <w:r w:rsidR="009550E9" w:rsidRPr="009E2822">
        <w:t>J</w:t>
      </w:r>
      <w:r w:rsidR="00464FCC" w:rsidRPr="009E2822">
        <w:t xml:space="preserve">ust </w:t>
      </w:r>
      <w:r w:rsidR="009550E9" w:rsidRPr="009E2822">
        <w:t>T</w:t>
      </w:r>
      <w:r w:rsidR="00464FCC" w:rsidRPr="009E2822">
        <w:t xml:space="preserve">ransition </w:t>
      </w:r>
      <w:r w:rsidR="009550E9" w:rsidRPr="009E2822">
        <w:t>W</w:t>
      </w:r>
      <w:r w:rsidR="00464FCC" w:rsidRPr="009E2822">
        <w:t xml:space="preserve">orking </w:t>
      </w:r>
      <w:r w:rsidR="009550E9" w:rsidRPr="009E2822">
        <w:t>G</w:t>
      </w:r>
      <w:r w:rsidR="00464FCC" w:rsidRPr="009E2822">
        <w:t>roup. The</w:t>
      </w:r>
      <w:r w:rsidR="001751BF" w:rsidRPr="009E2822">
        <w:t xml:space="preserve"> </w:t>
      </w:r>
      <w:r w:rsidR="00464FCC" w:rsidRPr="009E2822">
        <w:t xml:space="preserve">working group shall be chaired by the </w:t>
      </w:r>
      <w:r w:rsidR="00B21579" w:rsidRPr="009E2822">
        <w:t>[</w:t>
      </w:r>
      <w:r w:rsidR="00CA1642">
        <w:t>governmental leader/</w:t>
      </w:r>
      <w:r w:rsidR="00464FCC" w:rsidRPr="009E2822">
        <w:t xml:space="preserve">commissioner </w:t>
      </w:r>
      <w:r w:rsidR="00CA1642">
        <w:t>for</w:t>
      </w:r>
      <w:r w:rsidR="00464FCC" w:rsidRPr="009E2822">
        <w:t xml:space="preserve"> labor</w:t>
      </w:r>
      <w:r w:rsidR="00B21579" w:rsidRPr="009E2822">
        <w:t>]</w:t>
      </w:r>
      <w:r w:rsidR="00464FCC" w:rsidRPr="009E2822">
        <w:t xml:space="preserve"> and </w:t>
      </w:r>
      <w:r w:rsidR="00CA1642">
        <w:t>[senior representative of the State energy industry or energy R&amp;D body</w:t>
      </w:r>
      <w:r w:rsidR="00B21579" w:rsidRPr="009E2822">
        <w:t>]</w:t>
      </w:r>
      <w:r w:rsidR="00464FCC" w:rsidRPr="009E2822">
        <w:t xml:space="preserve"> and shall consist of no less than </w:t>
      </w:r>
      <w:r w:rsidR="00B21579" w:rsidRPr="009E2822">
        <w:t>[</w:t>
      </w:r>
      <w:r w:rsidR="00CA1642">
        <w:sym w:font="Symbol" w:char="F0B7"/>
      </w:r>
      <w:r w:rsidR="00B21579" w:rsidRPr="009E2822">
        <w:t>]</w:t>
      </w:r>
      <w:r w:rsidR="00464FCC" w:rsidRPr="009E2822">
        <w:t xml:space="preserve">, but no more than </w:t>
      </w:r>
      <w:r w:rsidR="00B21579" w:rsidRPr="009E2822">
        <w:t>[</w:t>
      </w:r>
      <w:r w:rsidR="00CA1642">
        <w:sym w:font="Symbol" w:char="F0B7"/>
      </w:r>
      <w:r w:rsidR="00B21579" w:rsidRPr="009E2822">
        <w:t>]</w:t>
      </w:r>
      <w:r w:rsidR="00464FCC" w:rsidRPr="009E2822">
        <w:t xml:space="preserve"> members and shall include </w:t>
      </w:r>
      <w:r w:rsidR="00B21579" w:rsidRPr="009E2822">
        <w:t>[</w:t>
      </w:r>
      <w:r w:rsidR="00464FCC" w:rsidRPr="009E2822">
        <w:t xml:space="preserve">the </w:t>
      </w:r>
      <w:r w:rsidR="00CA1642">
        <w:t>governmental leader/</w:t>
      </w:r>
      <w:r w:rsidR="00464FCC" w:rsidRPr="009E2822">
        <w:t xml:space="preserve">commissioners of </w:t>
      </w:r>
      <w:r w:rsidR="00CA1642">
        <w:t>[</w:t>
      </w:r>
      <w:r w:rsidR="00464FCC" w:rsidRPr="009E2822">
        <w:t>housing</w:t>
      </w:r>
      <w:r w:rsidR="00CA1642">
        <w:t>][</w:t>
      </w:r>
      <w:r w:rsidR="00464FCC" w:rsidRPr="009E2822">
        <w:t>,</w:t>
      </w:r>
      <w:r w:rsidR="00CA1642">
        <w:t xml:space="preserve"> communities][, </w:t>
      </w:r>
      <w:r w:rsidR="00464FCC" w:rsidRPr="009E2822">
        <w:t>public service</w:t>
      </w:r>
      <w:r w:rsidR="00CA1642">
        <w:t>][</w:t>
      </w:r>
      <w:r w:rsidR="00464FCC" w:rsidRPr="009E2822">
        <w:t>,</w:t>
      </w:r>
      <w:r w:rsidR="00CA1642">
        <w:t xml:space="preserve"> </w:t>
      </w:r>
      <w:r w:rsidR="00464FCC" w:rsidRPr="009E2822">
        <w:t>representatives of environmental justice communities</w:t>
      </w:r>
      <w:r w:rsidR="00CA1642">
        <w:t>][,</w:t>
      </w:r>
      <w:r w:rsidR="00464FCC" w:rsidRPr="009E2822">
        <w:t xml:space="preserve"> and representatives of labor organizations</w:t>
      </w:r>
      <w:r w:rsidR="00CA1642">
        <w:t>]</w:t>
      </w:r>
      <w:r w:rsidR="0000185A">
        <w:t>[</w:t>
      </w:r>
      <w:r w:rsidR="00464FCC" w:rsidRPr="009E2822">
        <w:t>, clean energy developers</w:t>
      </w:r>
      <w:r w:rsidR="0000185A">
        <w:t>][,</w:t>
      </w:r>
      <w:r w:rsidR="00464FCC" w:rsidRPr="009E2822">
        <w:t xml:space="preserve"> and at least </w:t>
      </w:r>
      <w:r w:rsidR="0000185A">
        <w:t>[</w:t>
      </w:r>
      <w:r w:rsidR="0000185A">
        <w:sym w:font="Symbol" w:char="F0B7"/>
      </w:r>
      <w:r w:rsidR="0000185A">
        <w:t>]</w:t>
      </w:r>
      <w:r w:rsidR="00464FCC" w:rsidRPr="009E2822">
        <w:t xml:space="preserve"> representatives of distinct energy-intensive industries</w:t>
      </w:r>
      <w:r w:rsidR="00B21579" w:rsidRPr="009E2822">
        <w:t>]</w:t>
      </w:r>
      <w:r w:rsidR="00464FCC" w:rsidRPr="009E2822">
        <w:t xml:space="preserve">. The </w:t>
      </w:r>
      <w:r w:rsidR="009550E9" w:rsidRPr="009E2822">
        <w:t>J</w:t>
      </w:r>
      <w:r w:rsidR="00464FCC" w:rsidRPr="009E2822">
        <w:t xml:space="preserve">ust </w:t>
      </w:r>
      <w:r w:rsidR="009550E9" w:rsidRPr="009E2822">
        <w:t>T</w:t>
      </w:r>
      <w:r w:rsidR="00464FCC" w:rsidRPr="009E2822">
        <w:t xml:space="preserve">ransition </w:t>
      </w:r>
      <w:r w:rsidR="009550E9" w:rsidRPr="009E2822">
        <w:t>W</w:t>
      </w:r>
      <w:r w:rsidR="00464FCC" w:rsidRPr="009E2822">
        <w:t xml:space="preserve">orking </w:t>
      </w:r>
      <w:r w:rsidR="009550E9" w:rsidRPr="009E2822">
        <w:t>G</w:t>
      </w:r>
      <w:r w:rsidR="00464FCC" w:rsidRPr="009E2822">
        <w:t>roup shall:</w:t>
      </w:r>
    </w:p>
    <w:p w14:paraId="30539A92" w14:textId="77777777" w:rsidR="00464FCC" w:rsidRPr="009E2822" w:rsidRDefault="00464FCC" w:rsidP="00A84CC6">
      <w:pPr>
        <w:pStyle w:val="BlockTextJ"/>
        <w:spacing w:line="360" w:lineRule="auto"/>
        <w:ind w:left="720"/>
      </w:pPr>
      <w:r w:rsidRPr="009E2822">
        <w:t xml:space="preserve">a. </w:t>
      </w:r>
      <w:proofErr w:type="gramStart"/>
      <w:r w:rsidRPr="009E2822">
        <w:t>advise</w:t>
      </w:r>
      <w:proofErr w:type="gramEnd"/>
      <w:r w:rsidRPr="009E2822">
        <w:t xml:space="preserve"> the council on issues and opportunities for workforce development and training related to energy efficiency measures, renewable</w:t>
      </w:r>
      <w:r w:rsidR="001751BF" w:rsidRPr="009E2822">
        <w:t xml:space="preserve"> </w:t>
      </w:r>
      <w:r w:rsidRPr="009E2822">
        <w:t>energy and other clean energy technologies, with specific focus on</w:t>
      </w:r>
      <w:r w:rsidR="001751BF" w:rsidRPr="009E2822">
        <w:t xml:space="preserve"> </w:t>
      </w:r>
      <w:r w:rsidRPr="009E2822">
        <w:t>training and workforce opportunities for disadvantaged communities, and segments of the population that may be underrepresented in the clean</w:t>
      </w:r>
      <w:r w:rsidR="001751BF" w:rsidRPr="009E2822">
        <w:t xml:space="preserve"> </w:t>
      </w:r>
      <w:r w:rsidRPr="009E2822">
        <w:t>energy workforce such as veterans, women and formerly incarcerated</w:t>
      </w:r>
      <w:r w:rsidR="001751BF" w:rsidRPr="009E2822">
        <w:t xml:space="preserve"> </w:t>
      </w:r>
      <w:r w:rsidRPr="009E2822">
        <w:t>persons;</w:t>
      </w:r>
    </w:p>
    <w:p w14:paraId="125D8DB6" w14:textId="77777777" w:rsidR="00464FCC" w:rsidRPr="009E2822" w:rsidRDefault="00464FCC" w:rsidP="00A84CC6">
      <w:pPr>
        <w:pStyle w:val="BlockTextJ"/>
        <w:spacing w:line="360" w:lineRule="auto"/>
        <w:ind w:left="720"/>
      </w:pPr>
      <w:r w:rsidRPr="009E2822">
        <w:t xml:space="preserve">b. </w:t>
      </w:r>
      <w:proofErr w:type="gramStart"/>
      <w:r w:rsidRPr="009E2822">
        <w:t>identify</w:t>
      </w:r>
      <w:proofErr w:type="gramEnd"/>
      <w:r w:rsidRPr="009E2822">
        <w:t xml:space="preserve"> energy-intensive industries and related trades and identify sector specific impacts of the </w:t>
      </w:r>
      <w:r w:rsidR="00BF0D80">
        <w:t>S</w:t>
      </w:r>
      <w:r w:rsidRPr="009E2822">
        <w:t xml:space="preserve">tate's current workforce and avenues to maximize the skills and expertise of </w:t>
      </w:r>
      <w:r w:rsidR="00104BF4">
        <w:t>[State]</w:t>
      </w:r>
      <w:r w:rsidRPr="009E2822">
        <w:t xml:space="preserve"> workers in the new energy economy;</w:t>
      </w:r>
    </w:p>
    <w:p w14:paraId="2A123B36" w14:textId="77777777" w:rsidR="00464FCC" w:rsidRPr="009E2822" w:rsidRDefault="00464FCC" w:rsidP="00A84CC6">
      <w:pPr>
        <w:pStyle w:val="BlockTextJ"/>
        <w:spacing w:line="360" w:lineRule="auto"/>
        <w:ind w:left="720"/>
      </w:pPr>
      <w:r w:rsidRPr="009E2822">
        <w:lastRenderedPageBreak/>
        <w:t xml:space="preserve">c. </w:t>
      </w:r>
      <w:proofErr w:type="gramStart"/>
      <w:r w:rsidRPr="009E2822">
        <w:t>identify</w:t>
      </w:r>
      <w:proofErr w:type="gramEnd"/>
      <w:r w:rsidRPr="009E2822">
        <w:t xml:space="preserve"> sites of electric generating facilities that may be closed as a result of a transition to a clean energy sector and the issues and opportunities presented by reuse of those sites;</w:t>
      </w:r>
    </w:p>
    <w:p w14:paraId="18765405" w14:textId="325BA908" w:rsidR="00464FCC" w:rsidRPr="009E2822" w:rsidRDefault="00464FCC" w:rsidP="00A84CC6">
      <w:pPr>
        <w:pStyle w:val="BlockTextJ"/>
        <w:spacing w:line="360" w:lineRule="auto"/>
        <w:ind w:left="720"/>
      </w:pPr>
      <w:r w:rsidRPr="009E2822">
        <w:t xml:space="preserve">d. with respect to potential for greenhouse gas emission limits, advise the council on the potential impacts of carbon leakage risk on </w:t>
      </w:r>
      <w:r w:rsidR="00B21579" w:rsidRPr="009E2822">
        <w:t>[</w:t>
      </w:r>
      <w:r w:rsidR="00812229">
        <w:t>S</w:t>
      </w:r>
      <w:r w:rsidRPr="009E2822">
        <w:t>tate</w:t>
      </w:r>
      <w:r w:rsidR="00B21579" w:rsidRPr="009E2822">
        <w:t>]</w:t>
      </w:r>
      <w:r w:rsidRPr="009E2822">
        <w:t xml:space="preserve"> industries and local host communities, including the impact of any potential carbon reduction measures </w:t>
      </w:r>
      <w:r w:rsidR="008B0F53">
        <w:t xml:space="preserve">such as border tax adjustments </w:t>
      </w:r>
      <w:r w:rsidRPr="009E2822">
        <w:t xml:space="preserve">on the competitiveness of </w:t>
      </w:r>
      <w:r w:rsidR="00B21579" w:rsidRPr="009E2822">
        <w:t>[</w:t>
      </w:r>
      <w:r w:rsidR="00812229">
        <w:t>S</w:t>
      </w:r>
      <w:r w:rsidRPr="009E2822">
        <w:t>tate</w:t>
      </w:r>
      <w:r w:rsidR="00B21579" w:rsidRPr="009E2822">
        <w:t>]</w:t>
      </w:r>
      <w:r w:rsidRPr="009E2822">
        <w:t xml:space="preserve"> business and industry;</w:t>
      </w:r>
      <w:r w:rsidR="00C2636D">
        <w:rPr>
          <w:rStyle w:val="FootnoteReference"/>
        </w:rPr>
        <w:footnoteReference w:id="36"/>
      </w:r>
    </w:p>
    <w:p w14:paraId="0E820FA6" w14:textId="77777777" w:rsidR="00464FCC" w:rsidRPr="009E2822" w:rsidRDefault="00464FCC" w:rsidP="00A84CC6">
      <w:pPr>
        <w:pStyle w:val="BlockTextJ"/>
        <w:spacing w:line="360" w:lineRule="auto"/>
        <w:ind w:left="720"/>
      </w:pPr>
      <w:r w:rsidRPr="009E2822">
        <w:t xml:space="preserve">e. </w:t>
      </w:r>
      <w:proofErr w:type="gramStart"/>
      <w:r w:rsidRPr="009E2822">
        <w:t>advise</w:t>
      </w:r>
      <w:proofErr w:type="gramEnd"/>
      <w:r w:rsidRPr="009E2822">
        <w:t xml:space="preserve"> the </w:t>
      </w:r>
      <w:r w:rsidR="00B21579" w:rsidRPr="009E2822">
        <w:t>C</w:t>
      </w:r>
      <w:r w:rsidRPr="009E2822">
        <w:t>ouncil and conduct stakeholder outreach on any other</w:t>
      </w:r>
      <w:r w:rsidR="001751BF" w:rsidRPr="009E2822">
        <w:t xml:space="preserve"> </w:t>
      </w:r>
      <w:r w:rsidRPr="009E2822">
        <w:t xml:space="preserve">workforce matters directed by the </w:t>
      </w:r>
      <w:r w:rsidR="00B21579" w:rsidRPr="009E2822">
        <w:t>C</w:t>
      </w:r>
      <w:r w:rsidRPr="009E2822">
        <w:t>ouncil; and</w:t>
      </w:r>
    </w:p>
    <w:p w14:paraId="2E9EFFE3" w14:textId="77777777" w:rsidR="00464FCC" w:rsidRPr="009E2822" w:rsidRDefault="00464FCC" w:rsidP="00A84CC6">
      <w:pPr>
        <w:pStyle w:val="BlockTextJ"/>
        <w:spacing w:line="360" w:lineRule="auto"/>
        <w:ind w:left="720"/>
      </w:pPr>
      <w:r w:rsidRPr="009E2822">
        <w:t xml:space="preserve">f. at a time frame determined by the </w:t>
      </w:r>
      <w:r w:rsidR="00B21579" w:rsidRPr="009E2822">
        <w:t>C</w:t>
      </w:r>
      <w:r w:rsidRPr="009E2822">
        <w:t>ouncil, prepare and publish</w:t>
      </w:r>
      <w:r w:rsidR="001751BF" w:rsidRPr="009E2822">
        <w:t xml:space="preserve"> </w:t>
      </w:r>
      <w:r w:rsidRPr="009E2822">
        <w:t xml:space="preserve">recommendations to the </w:t>
      </w:r>
      <w:r w:rsidR="00B21579" w:rsidRPr="009E2822">
        <w:t>C</w:t>
      </w:r>
      <w:r w:rsidRPr="009E2822">
        <w:t>ouncil on how to address: issues and opportunities related to the energy-intensive and trade-exposed entities; work</w:t>
      </w:r>
      <w:r w:rsidR="009550E9" w:rsidRPr="009E2822">
        <w:t>-</w:t>
      </w:r>
      <w:r w:rsidRPr="009E2822">
        <w:t>force development for trade-exposed entities, disadvantaged communities and underrepresented segments of the population; measures to minimize</w:t>
      </w:r>
      <w:r w:rsidR="001751BF" w:rsidRPr="009E2822">
        <w:t xml:space="preserve"> </w:t>
      </w:r>
      <w:r w:rsidRPr="009E2822">
        <w:t>the carbon leakage risk and minimize anti-competitiveness impacts of any</w:t>
      </w:r>
      <w:r w:rsidR="001751BF" w:rsidRPr="009E2822">
        <w:t xml:space="preserve"> </w:t>
      </w:r>
      <w:r w:rsidRPr="009E2822">
        <w:t>potential carbon policies and energy sector mandates.</w:t>
      </w:r>
    </w:p>
    <w:p w14:paraId="24CB843A" w14:textId="6CF68A2A" w:rsidR="00464FCC" w:rsidRPr="009E2822" w:rsidRDefault="00464FCC" w:rsidP="00A84CC6">
      <w:pPr>
        <w:pStyle w:val="BlockTextJ"/>
        <w:spacing w:line="360" w:lineRule="auto"/>
        <w:ind w:left="720"/>
      </w:pPr>
      <w:r w:rsidRPr="009E2822">
        <w:t xml:space="preserve">g. </w:t>
      </w:r>
      <w:r w:rsidR="00C2636D">
        <w:t>t</w:t>
      </w:r>
      <w:r w:rsidRPr="009E2822">
        <w:t xml:space="preserve">he </w:t>
      </w:r>
      <w:r w:rsidR="00B21579" w:rsidRPr="009E2822">
        <w:t>J</w:t>
      </w:r>
      <w:r w:rsidRPr="009E2822">
        <w:t xml:space="preserve">ust </w:t>
      </w:r>
      <w:r w:rsidR="00B21579" w:rsidRPr="009E2822">
        <w:t>T</w:t>
      </w:r>
      <w:r w:rsidRPr="009E2822">
        <w:t xml:space="preserve">ransition </w:t>
      </w:r>
      <w:r w:rsidR="00B21579" w:rsidRPr="009E2822">
        <w:t>W</w:t>
      </w:r>
      <w:r w:rsidRPr="009E2822">
        <w:t xml:space="preserve">orking </w:t>
      </w:r>
      <w:r w:rsidR="00B21579" w:rsidRPr="009E2822">
        <w:t>G</w:t>
      </w:r>
      <w:r w:rsidRPr="009E2822">
        <w:t>roup is hereby authorized and directed to conduct a study of and report on:</w:t>
      </w:r>
    </w:p>
    <w:p w14:paraId="2E9C79F7" w14:textId="77777777" w:rsidR="00464FCC" w:rsidRPr="009E2822" w:rsidRDefault="00464FCC" w:rsidP="00A84CC6">
      <w:pPr>
        <w:pStyle w:val="BlockTextJ"/>
        <w:spacing w:line="360" w:lineRule="auto"/>
        <w:ind w:left="1440"/>
      </w:pPr>
      <w:proofErr w:type="spellStart"/>
      <w:r w:rsidRPr="009E2822">
        <w:t>i</w:t>
      </w:r>
      <w:proofErr w:type="spellEnd"/>
      <w:r w:rsidRPr="009E2822">
        <w:t>. The number of jobs created to counter climate change, which shall include but not be limited to the energy sector, building sector, transportation sector, and working lands sector;</w:t>
      </w:r>
    </w:p>
    <w:p w14:paraId="43FFCADA" w14:textId="77777777" w:rsidR="00464FCC" w:rsidRPr="009E2822" w:rsidRDefault="00464FCC" w:rsidP="00A84CC6">
      <w:pPr>
        <w:pStyle w:val="BlockTextJ"/>
        <w:spacing w:line="360" w:lineRule="auto"/>
        <w:ind w:left="1440"/>
      </w:pPr>
      <w:r w:rsidRPr="009E2822">
        <w:t xml:space="preserve">ii. The projection of the inventory of jobs needed and the skills and training required to meet the demand of jobs to counter climate change; </w:t>
      </w:r>
    </w:p>
    <w:p w14:paraId="4715EA08" w14:textId="77777777" w:rsidR="00A34818" w:rsidRDefault="00464FCC" w:rsidP="00A34818">
      <w:pPr>
        <w:pStyle w:val="BlockTextJ"/>
        <w:spacing w:line="360" w:lineRule="auto"/>
        <w:ind w:left="1440"/>
      </w:pPr>
      <w:r w:rsidRPr="009E2822">
        <w:t>iii. Workforce disruption due to community transitions from a low</w:t>
      </w:r>
      <w:r w:rsidR="001751BF" w:rsidRPr="009E2822">
        <w:t xml:space="preserve"> </w:t>
      </w:r>
      <w:r w:rsidRPr="009E2822">
        <w:t>carbon economy</w:t>
      </w:r>
      <w:r w:rsidR="00812229">
        <w:t xml:space="preserve">; </w:t>
      </w:r>
    </w:p>
    <w:p w14:paraId="2EC010C5" w14:textId="77777777" w:rsidR="0018534C" w:rsidRDefault="00A34818" w:rsidP="00A84CC6">
      <w:pPr>
        <w:pStyle w:val="BlockTextJ"/>
        <w:spacing w:line="360" w:lineRule="auto"/>
        <w:ind w:left="1440"/>
      </w:pPr>
      <w:r>
        <w:lastRenderedPageBreak/>
        <w:t>i</w:t>
      </w:r>
      <w:r w:rsidR="0018534C">
        <w:t xml:space="preserve">v. </w:t>
      </w:r>
      <w:r w:rsidR="003D35CD">
        <w:t>Pathways</w:t>
      </w:r>
      <w:r w:rsidR="0018534C">
        <w:t xml:space="preserve"> to increase the export of skills, products and services to the global market for green technologies and sustainable practices and projects; and </w:t>
      </w:r>
    </w:p>
    <w:p w14:paraId="19502392" w14:textId="77777777" w:rsidR="00CE392B" w:rsidRPr="009E2822" w:rsidRDefault="00812229" w:rsidP="00A84CC6">
      <w:pPr>
        <w:pStyle w:val="BlockTextJ"/>
        <w:spacing w:line="360" w:lineRule="auto"/>
        <w:ind w:left="1440"/>
      </w:pPr>
      <w:r>
        <w:t>v.</w:t>
      </w:r>
      <w:r w:rsidR="00CE392B">
        <w:t xml:space="preserve"> </w:t>
      </w:r>
      <w:r w:rsidR="0050376A">
        <w:t>[</w:t>
      </w:r>
      <w:r w:rsidR="0034181F">
        <w:t>[</w:t>
      </w:r>
      <w:r w:rsidR="004E39D4">
        <w:t xml:space="preserve">Corporate social responsibility </w:t>
      </w:r>
      <w:r w:rsidR="0050376A">
        <w:t>and] sustainability]</w:t>
      </w:r>
      <w:r w:rsidR="00BF1559">
        <w:rPr>
          <w:rStyle w:val="FootnoteReference"/>
        </w:rPr>
        <w:footnoteReference w:id="37"/>
      </w:r>
      <w:r w:rsidR="0050376A">
        <w:t xml:space="preserve"> </w:t>
      </w:r>
      <w:r w:rsidR="004E39D4">
        <w:t xml:space="preserve">best practices to encourage local capacity building and </w:t>
      </w:r>
      <w:r w:rsidR="0095580D">
        <w:t xml:space="preserve">local </w:t>
      </w:r>
      <w:r w:rsidR="004E39D4">
        <w:t xml:space="preserve">human capital formation by the private sector in </w:t>
      </w:r>
      <w:r w:rsidR="004E39D4" w:rsidRPr="009E2822">
        <w:t xml:space="preserve">the development of </w:t>
      </w:r>
      <w:r w:rsidR="000D0821">
        <w:t xml:space="preserve">internationally competitive </w:t>
      </w:r>
      <w:r w:rsidR="004E39D4" w:rsidRPr="009E2822">
        <w:t>green technologies and sustainable practices</w:t>
      </w:r>
      <w:r w:rsidR="00DE6EB8">
        <w:t xml:space="preserve"> and projects</w:t>
      </w:r>
      <w:r w:rsidR="004E39D4">
        <w:t>.</w:t>
      </w:r>
      <w:r w:rsidR="0007147C" w:rsidRPr="0007147C">
        <w:rPr>
          <w:rStyle w:val="FootnoteReference"/>
          <w:sz w:val="22"/>
          <w:szCs w:val="22"/>
        </w:rPr>
        <w:t xml:space="preserve"> </w:t>
      </w:r>
    </w:p>
    <w:p w14:paraId="32714EE3" w14:textId="77777777" w:rsidR="00464FCC" w:rsidRPr="009E2822" w:rsidRDefault="009E2822" w:rsidP="00A84CC6">
      <w:pPr>
        <w:pStyle w:val="BlockTextJ"/>
        <w:spacing w:line="360" w:lineRule="auto"/>
      </w:pPr>
      <w:r>
        <w:t>Section [</w:t>
      </w:r>
      <w:r>
        <w:sym w:font="Symbol" w:char="F0B7"/>
      </w:r>
      <w:r>
        <w:t>].</w:t>
      </w:r>
      <w:r>
        <w:tab/>
      </w:r>
      <w:r w:rsidR="00EF795C" w:rsidRPr="009E2822">
        <w:t xml:space="preserve">The </w:t>
      </w:r>
      <w:r w:rsidR="00CA183D">
        <w:t>C</w:t>
      </w:r>
      <w:r w:rsidR="00EF795C" w:rsidRPr="009E2822">
        <w:t xml:space="preserve">ouncil shall on or before </w:t>
      </w:r>
      <w:r w:rsidR="0034181F">
        <w:t>[</w:t>
      </w:r>
      <w:r w:rsidR="00EF795C" w:rsidRPr="009E2822">
        <w:t>two</w:t>
      </w:r>
      <w:r w:rsidR="0034181F">
        <w:t>]</w:t>
      </w:r>
      <w:r w:rsidR="00EF795C" w:rsidRPr="009E2822">
        <w:t xml:space="preserve"> years of the effective date of this article, prepare and approve a </w:t>
      </w:r>
      <w:r w:rsidR="00AA1C7A">
        <w:t>Scoping Plan</w:t>
      </w:r>
      <w:r w:rsidR="00EF795C" w:rsidRPr="009E2822">
        <w:t xml:space="preserve"> outlining the recommendations for attaining the statewide greenhouse gas emissions limits.</w:t>
      </w:r>
      <w:r w:rsidR="00B51279">
        <w:rPr>
          <w:rStyle w:val="FootnoteReference"/>
        </w:rPr>
        <w:footnoteReference w:id="38"/>
      </w:r>
    </w:p>
    <w:p w14:paraId="3FEC32CE" w14:textId="77777777" w:rsidR="00EF795C" w:rsidRPr="009E2822" w:rsidRDefault="009E2822" w:rsidP="00A84CC6">
      <w:pPr>
        <w:pStyle w:val="BlockTextJ"/>
        <w:spacing w:line="360" w:lineRule="auto"/>
      </w:pPr>
      <w:r>
        <w:t>Section [</w:t>
      </w:r>
      <w:r>
        <w:sym w:font="Symbol" w:char="F0B7"/>
      </w:r>
      <w:r>
        <w:t>].</w:t>
      </w:r>
      <w:r>
        <w:tab/>
      </w:r>
      <w:r w:rsidR="00EF795C" w:rsidRPr="009E2822">
        <w:t xml:space="preserve">The </w:t>
      </w:r>
      <w:r w:rsidR="00CA183D">
        <w:t>C</w:t>
      </w:r>
      <w:r w:rsidR="00EF795C" w:rsidRPr="009E2822">
        <w:t>ouncil shall provide meaningful opportunities for public comment from all segments of the population that will be impacted by the plan, including persons living in disadvantaged communities.</w:t>
      </w:r>
    </w:p>
    <w:p w14:paraId="6365E898" w14:textId="77777777" w:rsidR="00EF795C" w:rsidRPr="009E2822" w:rsidRDefault="009E2822" w:rsidP="00A84CC6">
      <w:pPr>
        <w:pStyle w:val="BlockTextJ"/>
        <w:spacing w:line="360" w:lineRule="auto"/>
      </w:pPr>
      <w:r>
        <w:t>Section [</w:t>
      </w:r>
      <w:r>
        <w:sym w:font="Symbol" w:char="F0B7"/>
      </w:r>
      <w:r>
        <w:t>].</w:t>
      </w:r>
      <w:r>
        <w:tab/>
      </w:r>
      <w:r w:rsidR="00EF795C" w:rsidRPr="009E2822">
        <w:t xml:space="preserve">On or before [three] years of the effective date of this [article], the Council shall submit the final </w:t>
      </w:r>
      <w:r w:rsidR="00AA1C7A">
        <w:t>Scoping Plan</w:t>
      </w:r>
      <w:r w:rsidR="00EF795C" w:rsidRPr="009E2822">
        <w:t xml:space="preserve"> to the governor, the [majority leader of the state legislature lower house] and the [majority leader of the state legislature upper house] and post such plan on its website.</w:t>
      </w:r>
    </w:p>
    <w:p w14:paraId="5798EE4D" w14:textId="77777777" w:rsidR="00464FCC" w:rsidRPr="009E2822" w:rsidRDefault="009E2822" w:rsidP="00A84CC6">
      <w:pPr>
        <w:pStyle w:val="BlockTextJ"/>
        <w:spacing w:line="360" w:lineRule="auto"/>
      </w:pPr>
      <w:r>
        <w:t>Section [</w:t>
      </w:r>
      <w:r>
        <w:sym w:font="Symbol" w:char="F0B7"/>
      </w:r>
      <w:r>
        <w:t>].</w:t>
      </w:r>
      <w:r>
        <w:tab/>
      </w:r>
      <w:r w:rsidR="00464FCC" w:rsidRPr="00DF6FAE">
        <w:t xml:space="preserve">The </w:t>
      </w:r>
      <w:r w:rsidR="00AA1C7A">
        <w:t>Scoping Plan</w:t>
      </w:r>
      <w:r w:rsidR="00464FCC" w:rsidRPr="00DF6FAE">
        <w:t xml:space="preserve"> shall</w:t>
      </w:r>
      <w:r w:rsidR="00464FCC" w:rsidRPr="009E2822">
        <w:t xml:space="preserve"> identify and make recommendations on regulatory measures and other state actions that will ensure the attainment of the statewide greenhouse gas emissions limits established pursuant to </w:t>
      </w:r>
      <w:r w:rsidR="001439BE" w:rsidRPr="009E2822">
        <w:t>[statutory authority]</w:t>
      </w:r>
      <w:r w:rsidR="00464FCC" w:rsidRPr="009E2822">
        <w:t xml:space="preserve">. The measures and actions considered in such </w:t>
      </w:r>
      <w:r w:rsidR="00AA1C7A">
        <w:t>Scoping Plan</w:t>
      </w:r>
      <w:r w:rsidR="00464FCC" w:rsidRPr="009E2822">
        <w:t xml:space="preserve"> shall at a minimum include:</w:t>
      </w:r>
    </w:p>
    <w:p w14:paraId="20FAED12" w14:textId="77777777" w:rsidR="00F75968" w:rsidRPr="009E2822" w:rsidRDefault="00F75968" w:rsidP="00A84CC6">
      <w:pPr>
        <w:pStyle w:val="BlockTextJ"/>
        <w:spacing w:line="360" w:lineRule="auto"/>
      </w:pPr>
      <w:r w:rsidRPr="009E2822">
        <w:t>[…]</w:t>
      </w:r>
    </w:p>
    <w:p w14:paraId="556590FF" w14:textId="77777777" w:rsidR="008B6390" w:rsidRDefault="00F75968" w:rsidP="00A84CC6">
      <w:pPr>
        <w:pStyle w:val="BlockTextJ"/>
        <w:spacing w:line="360" w:lineRule="auto"/>
        <w:ind w:left="720"/>
      </w:pPr>
      <w:r w:rsidRPr="009E2822">
        <w:lastRenderedPageBreak/>
        <w:t>a</w:t>
      </w:r>
      <w:r w:rsidR="00464FCC" w:rsidRPr="009E2822">
        <w:t xml:space="preserve">. Recommendations to aid in the transition of the </w:t>
      </w:r>
      <w:r w:rsidR="008B6390">
        <w:t>S</w:t>
      </w:r>
      <w:r w:rsidR="00464FCC" w:rsidRPr="009E2822">
        <w:t>tate workforce and the rapidly emerging clean energy industry.</w:t>
      </w:r>
    </w:p>
    <w:p w14:paraId="34786F16" w14:textId="77777777" w:rsidR="003D35CD" w:rsidRDefault="003D35CD" w:rsidP="00A84CC6">
      <w:pPr>
        <w:pStyle w:val="BlockTextJ"/>
        <w:spacing w:line="360" w:lineRule="auto"/>
        <w:ind w:left="720"/>
      </w:pPr>
      <w:r>
        <w:t>b. Recommendations to aid the export of skills, products, and services to the global market for green technologies and sustainable practices and projects.</w:t>
      </w:r>
    </w:p>
    <w:p w14:paraId="0B4A80C7" w14:textId="77777777" w:rsidR="00E45239" w:rsidRDefault="00E45239" w:rsidP="00A84CC6">
      <w:pPr>
        <w:pStyle w:val="BlockTextJ"/>
        <w:spacing w:line="360" w:lineRule="auto"/>
        <w:ind w:left="720"/>
      </w:pPr>
      <w:r>
        <w:t xml:space="preserve">c. Recommendations to </w:t>
      </w:r>
      <w:r w:rsidR="002D004A">
        <w:t xml:space="preserve">establish </w:t>
      </w:r>
      <w:r w:rsidR="0050376A">
        <w:t>[</w:t>
      </w:r>
      <w:r w:rsidR="0034181F">
        <w:t>[</w:t>
      </w:r>
      <w:r w:rsidR="002D004A">
        <w:t>corporate social responsibility</w:t>
      </w:r>
      <w:r w:rsidR="0050376A">
        <w:t>] and sustainability]</w:t>
      </w:r>
      <w:r w:rsidR="002D004A">
        <w:t xml:space="preserve"> best practices to encourage local capacity building and local human capital formation by the private sector in </w:t>
      </w:r>
      <w:r w:rsidR="002D004A" w:rsidRPr="009E2822">
        <w:t xml:space="preserve">the development of </w:t>
      </w:r>
      <w:r w:rsidR="002D004A">
        <w:t xml:space="preserve">internationally competitive </w:t>
      </w:r>
      <w:r w:rsidR="002D004A" w:rsidRPr="009E2822">
        <w:t>green technologies and sustainable practices</w:t>
      </w:r>
      <w:r w:rsidR="002D004A">
        <w:t xml:space="preserve"> and projects.</w:t>
      </w:r>
    </w:p>
    <w:p w14:paraId="443B0758" w14:textId="5977EF08" w:rsidR="003D35CD" w:rsidRDefault="003D35CD" w:rsidP="00A84CC6">
      <w:pPr>
        <w:pStyle w:val="BlockTextJ"/>
        <w:spacing w:line="360" w:lineRule="auto"/>
        <w:ind w:left="720"/>
      </w:pPr>
      <w:r>
        <w:t>[…]</w:t>
      </w:r>
    </w:p>
    <w:p w14:paraId="27958586" w14:textId="77777777" w:rsidR="00AB6525" w:rsidRPr="009E2822" w:rsidRDefault="00EF0228"/>
    <w:p w14:paraId="2E303541" w14:textId="77777777" w:rsidR="00C37465" w:rsidRPr="009E2822" w:rsidRDefault="00C37465"/>
    <w:sectPr w:rsidR="00C37465" w:rsidRPr="009E2822" w:rsidSect="005B0761">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35619" w14:textId="77777777" w:rsidR="00EF0228" w:rsidRDefault="00EF0228" w:rsidP="006B3189">
      <w:r>
        <w:separator/>
      </w:r>
    </w:p>
  </w:endnote>
  <w:endnote w:type="continuationSeparator" w:id="0">
    <w:p w14:paraId="2061C5FB" w14:textId="77777777" w:rsidR="00EF0228" w:rsidRDefault="00EF0228" w:rsidP="006B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88081924"/>
      <w:docPartObj>
        <w:docPartGallery w:val="Page Numbers (Bottom of Page)"/>
        <w:docPartUnique/>
      </w:docPartObj>
    </w:sdtPr>
    <w:sdtEndPr>
      <w:rPr>
        <w:rStyle w:val="PageNumber"/>
      </w:rPr>
    </w:sdtEndPr>
    <w:sdtContent>
      <w:p w14:paraId="67E9371D" w14:textId="77777777" w:rsidR="00BF1559" w:rsidRDefault="00BF1559" w:rsidP="004675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F43D41" w14:textId="77777777" w:rsidR="00BF1559" w:rsidRDefault="00BF15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86941754"/>
      <w:docPartObj>
        <w:docPartGallery w:val="Page Numbers (Bottom of Page)"/>
        <w:docPartUnique/>
      </w:docPartObj>
    </w:sdtPr>
    <w:sdtEndPr>
      <w:rPr>
        <w:rStyle w:val="PageNumber"/>
      </w:rPr>
    </w:sdtEndPr>
    <w:sdtContent>
      <w:p w14:paraId="1FFBBE39" w14:textId="77777777" w:rsidR="00BF1559" w:rsidRDefault="00BF1559" w:rsidP="004675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10999">
          <w:rPr>
            <w:rStyle w:val="PageNumber"/>
            <w:noProof/>
          </w:rPr>
          <w:t>4</w:t>
        </w:r>
        <w:r>
          <w:rPr>
            <w:rStyle w:val="PageNumber"/>
          </w:rPr>
          <w:fldChar w:fldCharType="end"/>
        </w:r>
      </w:p>
    </w:sdtContent>
  </w:sdt>
  <w:p w14:paraId="17BD4935" w14:textId="77777777" w:rsidR="00BF1559" w:rsidRDefault="00BF15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B39A4" w14:textId="77777777" w:rsidR="00EF0228" w:rsidRDefault="00EF0228" w:rsidP="006B3189">
      <w:r>
        <w:separator/>
      </w:r>
    </w:p>
  </w:footnote>
  <w:footnote w:type="continuationSeparator" w:id="0">
    <w:p w14:paraId="516B50C6" w14:textId="77777777" w:rsidR="00EF0228" w:rsidRDefault="00EF0228" w:rsidP="006B3189">
      <w:r>
        <w:continuationSeparator/>
      </w:r>
    </w:p>
  </w:footnote>
  <w:footnote w:id="1">
    <w:p w14:paraId="79E798DA" w14:textId="2A6DF160" w:rsidR="009E63D1" w:rsidRDefault="009E63D1" w:rsidP="009E63D1">
      <w:pPr>
        <w:pStyle w:val="FootnoteText"/>
        <w:ind w:firstLine="0"/>
        <w:rPr>
          <w:rFonts w:cs="Times New Roman"/>
        </w:rPr>
      </w:pPr>
      <w:r>
        <w:rPr>
          <w:rFonts w:cs="Times New Roman"/>
        </w:rPr>
        <w:t xml:space="preserve">*  By Paul </w:t>
      </w:r>
      <w:r w:rsidRPr="0045047B">
        <w:rPr>
          <w:rFonts w:cs="Times New Roman"/>
        </w:rPr>
        <w:t>Barker</w:t>
      </w:r>
      <w:r w:rsidR="0045047B" w:rsidRPr="0045047B">
        <w:rPr>
          <w:rFonts w:cs="Times New Roman"/>
        </w:rPr>
        <w:t xml:space="preserve"> </w:t>
      </w:r>
      <w:r w:rsidR="0045047B">
        <w:rPr>
          <w:rFonts w:cs="Times New Roman"/>
        </w:rPr>
        <w:t>(</w:t>
      </w:r>
      <w:r w:rsidR="0045047B" w:rsidRPr="0045047B">
        <w:rPr>
          <w:rFonts w:cs="Times New Roman"/>
          <w:color w:val="222222"/>
          <w:shd w:val="clear" w:color="auto" w:fill="FFFFFF"/>
        </w:rPr>
        <w:t>Barrister, Doughty Street Chambers, London; Research Fellow, Gould Center for Conflict Resolution, Stanford Law School, California</w:t>
      </w:r>
      <w:r w:rsidR="0045047B">
        <w:rPr>
          <w:rFonts w:cs="Times New Roman"/>
          <w:color w:val="222222"/>
          <w:shd w:val="clear" w:color="auto" w:fill="FFFFFF"/>
        </w:rPr>
        <w:t>)</w:t>
      </w:r>
      <w:r w:rsidR="0045047B" w:rsidRPr="0045047B">
        <w:rPr>
          <w:rFonts w:cs="Times New Roman"/>
          <w:color w:val="222222"/>
          <w:shd w:val="clear" w:color="auto" w:fill="FFFFFF"/>
        </w:rPr>
        <w:t>.</w:t>
      </w:r>
    </w:p>
    <w:p w14:paraId="6DDA461A" w14:textId="3D36C9C6" w:rsidR="006B3189" w:rsidRPr="000048A5" w:rsidRDefault="006B3189" w:rsidP="006B3189">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F1222A" w:rsidRPr="000048A5">
        <w:rPr>
          <w:rFonts w:cs="Times New Roman"/>
        </w:rPr>
        <w:tab/>
      </w:r>
      <w:r w:rsidRPr="000048A5">
        <w:rPr>
          <w:rFonts w:cs="Times New Roman"/>
        </w:rPr>
        <w:t>Sabin Center for Climate Change Law, Columbia Law School, Columbia University Earth Institute, http://columbiaclimatelaw.com (last visited June 10, 2020)</w:t>
      </w:r>
      <w:r w:rsidR="00697DDB" w:rsidRPr="000048A5">
        <w:rPr>
          <w:rFonts w:cs="Times New Roman"/>
        </w:rPr>
        <w:t>.</w:t>
      </w:r>
    </w:p>
  </w:footnote>
  <w:footnote w:id="2">
    <w:p w14:paraId="69C03FCA" w14:textId="1FFF2B2F" w:rsidR="006B3189" w:rsidRPr="000048A5" w:rsidRDefault="006B3189" w:rsidP="00324225">
      <w:pPr>
        <w:pStyle w:val="FootnoteText"/>
        <w:rPr>
          <w:rFonts w:cs="Times New Roman"/>
        </w:rPr>
      </w:pPr>
      <w:r w:rsidRPr="000048A5">
        <w:rPr>
          <w:rStyle w:val="FootnoteReference"/>
          <w:rFonts w:cs="Times New Roman"/>
        </w:rPr>
        <w:footnoteRef/>
      </w:r>
      <w:r w:rsidRPr="000048A5">
        <w:rPr>
          <w:rFonts w:cs="Times New Roman"/>
        </w:rPr>
        <w:t xml:space="preserve"> </w:t>
      </w:r>
      <w:r w:rsidR="00B32F24" w:rsidRPr="000048A5">
        <w:rPr>
          <w:rFonts w:cs="Times New Roman"/>
        </w:rPr>
        <w:t xml:space="preserve"> </w:t>
      </w:r>
      <w:r w:rsidR="00F1222A" w:rsidRPr="000048A5">
        <w:rPr>
          <w:rFonts w:cs="Times New Roman"/>
        </w:rPr>
        <w:tab/>
      </w:r>
      <w:r w:rsidR="007568AB">
        <w:rPr>
          <w:rFonts w:cs="Times New Roman"/>
        </w:rPr>
        <w:t>Elizabeth Trujillo</w:t>
      </w:r>
      <w:r w:rsidR="007568AB" w:rsidRPr="0000585B">
        <w:rPr>
          <w:szCs w:val="24"/>
        </w:rPr>
        <w:t xml:space="preserve">, </w:t>
      </w:r>
      <w:r w:rsidR="007568AB" w:rsidRPr="007568AB">
        <w:rPr>
          <w:i/>
          <w:szCs w:val="24"/>
        </w:rPr>
        <w:t>International Trade</w:t>
      </w:r>
      <w:r w:rsidR="007568AB" w:rsidRPr="0000585B">
        <w:rPr>
          <w:szCs w:val="24"/>
        </w:rPr>
        <w:t xml:space="preserve">, </w:t>
      </w:r>
      <w:r w:rsidR="007568AB" w:rsidRPr="0000585B">
        <w:rPr>
          <w:i/>
          <w:iCs/>
          <w:szCs w:val="24"/>
        </w:rPr>
        <w:t xml:space="preserve">in </w:t>
      </w:r>
      <w:r w:rsidR="007568AB" w:rsidRPr="0000585B">
        <w:rPr>
          <w:szCs w:val="24"/>
        </w:rPr>
        <w:t xml:space="preserve">Legal Pathways to Deep Decarbonization in the United States </w:t>
      </w:r>
      <w:r w:rsidR="007568AB">
        <w:rPr>
          <w:szCs w:val="24"/>
        </w:rPr>
        <w:t>205</w:t>
      </w:r>
      <w:r w:rsidR="007568AB" w:rsidRPr="0000585B">
        <w:rPr>
          <w:szCs w:val="24"/>
        </w:rPr>
        <w:t xml:space="preserve"> (Michael B. Gerrard and John C. </w:t>
      </w:r>
      <w:proofErr w:type="spellStart"/>
      <w:r w:rsidR="007568AB" w:rsidRPr="0000585B">
        <w:rPr>
          <w:szCs w:val="24"/>
        </w:rPr>
        <w:t>Dernbach</w:t>
      </w:r>
      <w:proofErr w:type="spellEnd"/>
      <w:r w:rsidR="007568AB" w:rsidRPr="0000585B">
        <w:rPr>
          <w:szCs w:val="24"/>
        </w:rPr>
        <w:t xml:space="preserve"> eds</w:t>
      </w:r>
      <w:r w:rsidR="007568AB">
        <w:rPr>
          <w:szCs w:val="24"/>
        </w:rPr>
        <w:t>.,</w:t>
      </w:r>
      <w:r w:rsidR="007568AB" w:rsidRPr="0000585B">
        <w:rPr>
          <w:szCs w:val="24"/>
        </w:rPr>
        <w:t xml:space="preserve"> 201</w:t>
      </w:r>
      <w:r w:rsidR="007568AB">
        <w:rPr>
          <w:szCs w:val="24"/>
        </w:rPr>
        <w:t>9</w:t>
      </w:r>
      <w:r w:rsidR="007568AB" w:rsidRPr="0000585B">
        <w:rPr>
          <w:szCs w:val="24"/>
        </w:rPr>
        <w:t>)</w:t>
      </w:r>
      <w:r w:rsidR="007568AB">
        <w:rPr>
          <w:szCs w:val="24"/>
        </w:rPr>
        <w:t xml:space="preserve"> (“</w:t>
      </w:r>
      <w:r w:rsidR="00F1222A" w:rsidRPr="000048A5">
        <w:rPr>
          <w:i/>
        </w:rPr>
        <w:t xml:space="preserve">Legal Pathways to Deep Decarbonization in the United </w:t>
      </w:r>
      <w:r w:rsidR="00F1222A" w:rsidRPr="00D2655E">
        <w:t>State</w:t>
      </w:r>
      <w:r w:rsidR="00F10999" w:rsidRPr="00D2655E">
        <w:t>s</w:t>
      </w:r>
      <w:r w:rsidR="00F10999">
        <w:t>”)</w:t>
      </w:r>
      <w:r w:rsidR="00EB5AA6" w:rsidRPr="000048A5">
        <w:rPr>
          <w:rFonts w:cs="Times New Roman"/>
        </w:rPr>
        <w:t xml:space="preserve"> (</w:t>
      </w:r>
      <w:r w:rsidR="0031305E">
        <w:rPr>
          <w:rFonts w:cs="Times New Roman"/>
        </w:rPr>
        <w:t xml:space="preserve">Current trade rules dictate that </w:t>
      </w:r>
      <w:r w:rsidR="00B32F24" w:rsidRPr="000048A5">
        <w:rPr>
          <w:rFonts w:cs="Times New Roman"/>
        </w:rPr>
        <w:t>“[S]</w:t>
      </w:r>
      <w:proofErr w:type="spellStart"/>
      <w:r w:rsidR="00B32F24" w:rsidRPr="000048A5">
        <w:rPr>
          <w:rFonts w:cs="Times New Roman"/>
        </w:rPr>
        <w:t>tate</w:t>
      </w:r>
      <w:proofErr w:type="spellEnd"/>
      <w:r w:rsidR="00B32F24" w:rsidRPr="000048A5">
        <w:rPr>
          <w:rFonts w:cs="Times New Roman"/>
        </w:rPr>
        <w:t xml:space="preserve"> and local governments should avoid adopting decarbonization laws that contain LCRs. The trade rules can accommodate legitimate decarbonization efforts, even if they have some discriminatory impact, as long as they are not linked to LCRs intended to advantage domestic producers over foreign ones. If the U.S. government, state governments, or local governments seek to facilitate a transition toward cleaner industrial markets, they should adopt policies that apply evenly on domestic and foreign producers</w:t>
      </w:r>
      <w:r w:rsidR="00324225" w:rsidRPr="000048A5">
        <w:rPr>
          <w:rFonts w:cs="Times New Roman"/>
        </w:rPr>
        <w:t xml:space="preserve">… [A]s the U.S. government as well as state and local governments develop decarbonization laws and policies that contain LCRs, they should make every effort to ensure that they do not </w:t>
      </w:r>
      <w:r w:rsidR="00A86FE4" w:rsidRPr="000048A5">
        <w:rPr>
          <w:rFonts w:cs="Times New Roman"/>
        </w:rPr>
        <w:t>‘</w:t>
      </w:r>
      <w:r w:rsidR="00324225" w:rsidRPr="000048A5">
        <w:rPr>
          <w:rFonts w:cs="Times New Roman"/>
        </w:rPr>
        <w:t>constitute a means of arbitrary or unjustifiable discrimination</w:t>
      </w:r>
      <w:r w:rsidR="00A86FE4" w:rsidRPr="000048A5">
        <w:rPr>
          <w:rFonts w:cs="Times New Roman"/>
        </w:rPr>
        <w:t>’</w:t>
      </w:r>
      <w:r w:rsidR="00324225" w:rsidRPr="000048A5">
        <w:rPr>
          <w:rFonts w:cs="Times New Roman"/>
        </w:rPr>
        <w:t xml:space="preserve"> or a </w:t>
      </w:r>
      <w:r w:rsidR="00A86FE4" w:rsidRPr="000048A5">
        <w:rPr>
          <w:rFonts w:cs="Times New Roman"/>
        </w:rPr>
        <w:t>‘</w:t>
      </w:r>
      <w:r w:rsidR="00324225" w:rsidRPr="000048A5">
        <w:rPr>
          <w:rFonts w:cs="Times New Roman"/>
        </w:rPr>
        <w:t xml:space="preserve">disguised restriction on </w:t>
      </w:r>
      <w:r w:rsidR="00324225" w:rsidRPr="000048A5">
        <w:rPr>
          <w:rFonts w:cs="Times New Roman"/>
          <w:lang w:val="en-GB"/>
        </w:rPr>
        <w:t>international trade.</w:t>
      </w:r>
      <w:r w:rsidR="00A86FE4" w:rsidRPr="000048A5">
        <w:rPr>
          <w:rFonts w:cs="Times New Roman"/>
          <w:lang w:val="en-GB"/>
        </w:rPr>
        <w:t>’</w:t>
      </w:r>
      <w:r w:rsidR="00B32F24" w:rsidRPr="000048A5">
        <w:rPr>
          <w:rFonts w:cs="Times New Roman"/>
        </w:rPr>
        <w:t>”)</w:t>
      </w:r>
    </w:p>
  </w:footnote>
  <w:footnote w:id="3">
    <w:p w14:paraId="0F5C1B67" w14:textId="77777777" w:rsidR="007532C9" w:rsidRPr="007532C9" w:rsidRDefault="007532C9" w:rsidP="007532C9">
      <w:pPr>
        <w:pStyle w:val="FootnoteText"/>
        <w:rPr>
          <w:lang w:val="en-GB"/>
        </w:rPr>
      </w:pPr>
      <w:r>
        <w:rPr>
          <w:rStyle w:val="FootnoteReference"/>
        </w:rPr>
        <w:footnoteRef/>
      </w:r>
      <w:r>
        <w:t xml:space="preserve"> </w:t>
      </w:r>
      <w:r>
        <w:rPr>
          <w:lang w:val="en-GB"/>
        </w:rPr>
        <w:tab/>
        <w:t xml:space="preserve">For a </w:t>
      </w:r>
      <w:r w:rsidR="00400905">
        <w:rPr>
          <w:lang w:val="en-GB"/>
        </w:rPr>
        <w:t xml:space="preserve">broader </w:t>
      </w:r>
      <w:r>
        <w:rPr>
          <w:lang w:val="en-GB"/>
        </w:rPr>
        <w:t xml:space="preserve">discussion of “just transition” policies, </w:t>
      </w:r>
      <w:r w:rsidRPr="007532C9">
        <w:rPr>
          <w:i/>
          <w:lang w:val="en-GB"/>
        </w:rPr>
        <w:t>see</w:t>
      </w:r>
      <w:r>
        <w:rPr>
          <w:lang w:val="en-GB"/>
        </w:rPr>
        <w:t xml:space="preserve"> International Labour Organization</w:t>
      </w:r>
      <w:r w:rsidRPr="007532C9">
        <w:rPr>
          <w:lang w:val="en-GB"/>
        </w:rPr>
        <w:t>, Guidelines for a Just Transition Towards Environmentally</w:t>
      </w:r>
      <w:r>
        <w:rPr>
          <w:lang w:val="en-GB"/>
        </w:rPr>
        <w:t xml:space="preserve"> </w:t>
      </w:r>
      <w:r w:rsidRPr="007532C9">
        <w:rPr>
          <w:lang w:val="en-GB"/>
        </w:rPr>
        <w:t>Sustainable Economies and Societies for All (2015), available at http://www.ilo.org/wcmsp5/groups/public/@ed_emp/@emp_ent/documents/publication/wcms_432859.pdf.</w:t>
      </w:r>
    </w:p>
  </w:footnote>
  <w:footnote w:id="4">
    <w:p w14:paraId="5B93EAED" w14:textId="77777777" w:rsidR="00E25252" w:rsidRPr="000048A5" w:rsidRDefault="00E25252">
      <w:pPr>
        <w:pStyle w:val="FootnoteText"/>
        <w:rPr>
          <w:lang w:val="en-GB"/>
        </w:rPr>
      </w:pPr>
      <w:r w:rsidRPr="000048A5">
        <w:rPr>
          <w:rStyle w:val="FootnoteReference"/>
        </w:rPr>
        <w:footnoteRef/>
      </w:r>
      <w:r w:rsidRPr="000048A5">
        <w:t xml:space="preserve"> </w:t>
      </w:r>
      <w:r w:rsidR="00CE4DF7" w:rsidRPr="000048A5">
        <w:tab/>
      </w:r>
      <w:r w:rsidR="00CE4DF7" w:rsidRPr="000048A5">
        <w:rPr>
          <w:i/>
        </w:rPr>
        <w:t>Legal Pathways to Deep Decarbonization in the United States</w:t>
      </w:r>
      <w:r w:rsidR="00CE4DF7" w:rsidRPr="000048A5">
        <w:rPr>
          <w:rFonts w:cs="Times New Roman"/>
        </w:rPr>
        <w:t xml:space="preserve">, p. </w:t>
      </w:r>
      <w:r w:rsidRPr="000048A5">
        <w:rPr>
          <w:lang w:val="en-GB"/>
        </w:rPr>
        <w:t>197</w:t>
      </w:r>
      <w:r w:rsidR="00E95031" w:rsidRPr="000048A5">
        <w:rPr>
          <w:lang w:val="en-GB"/>
        </w:rPr>
        <w:t>.</w:t>
      </w:r>
    </w:p>
  </w:footnote>
  <w:footnote w:id="5">
    <w:p w14:paraId="54A85BE4" w14:textId="77777777" w:rsidR="00BA18A1" w:rsidRPr="000048A5" w:rsidRDefault="00BA18A1" w:rsidP="00F031C2">
      <w:pPr>
        <w:pStyle w:val="FootnoteText"/>
        <w:rPr>
          <w:bCs/>
        </w:rPr>
      </w:pPr>
      <w:r w:rsidRPr="000048A5">
        <w:rPr>
          <w:rStyle w:val="FootnoteReference"/>
          <w:rFonts w:cs="Times New Roman"/>
        </w:rPr>
        <w:footnoteRef/>
      </w:r>
      <w:r w:rsidRPr="000048A5">
        <w:rPr>
          <w:rFonts w:cs="Times New Roman"/>
        </w:rPr>
        <w:t xml:space="preserve"> </w:t>
      </w:r>
      <w:r w:rsidR="00CE4DF7" w:rsidRPr="000048A5">
        <w:rPr>
          <w:rFonts w:cs="Times New Roman"/>
        </w:rPr>
        <w:tab/>
      </w:r>
      <w:r w:rsidR="00562CC6" w:rsidRPr="000048A5">
        <w:rPr>
          <w:rFonts w:cs="Times New Roman"/>
          <w:lang w:val="en-GB"/>
        </w:rPr>
        <w:t>O</w:t>
      </w:r>
      <w:r w:rsidR="00860358">
        <w:rPr>
          <w:rFonts w:cs="Times New Roman"/>
          <w:lang w:val="en-GB"/>
        </w:rPr>
        <w:t>E</w:t>
      </w:r>
      <w:r w:rsidR="00562CC6" w:rsidRPr="000048A5">
        <w:rPr>
          <w:rFonts w:cs="Times New Roman"/>
          <w:lang w:val="en-GB"/>
        </w:rPr>
        <w:t xml:space="preserve">CD, Topics: Local content requirements: Local content requirements impact the global economy, </w:t>
      </w:r>
      <w:hyperlink r:id="rId1" w:history="1">
        <w:r w:rsidR="00562CC6" w:rsidRPr="000048A5">
          <w:rPr>
            <w:rStyle w:val="Hyperlink"/>
            <w:rFonts w:cs="Times New Roman"/>
            <w:bCs/>
          </w:rPr>
          <w:t>https://www.oecd.org/trade/topics/local-content-requirements/</w:t>
        </w:r>
      </w:hyperlink>
      <w:r w:rsidR="001115D6" w:rsidRPr="000048A5">
        <w:rPr>
          <w:rFonts w:cs="Times New Roman"/>
          <w:lang w:val="en-GB"/>
        </w:rPr>
        <w:t xml:space="preserve">; </w:t>
      </w:r>
      <w:r w:rsidR="00F031C2" w:rsidRPr="000048A5">
        <w:rPr>
          <w:rFonts w:cs="Times New Roman"/>
          <w:lang w:val="en-GB"/>
        </w:rPr>
        <w:t>Sauvé, “</w:t>
      </w:r>
      <w:r w:rsidR="00F031C2" w:rsidRPr="000048A5">
        <w:rPr>
          <w:bCs/>
        </w:rPr>
        <w:t>Life beyond local content: Exploring alternative measures of industry support in the context of WTO accession”, Journal of International Trade, Vol. 1 (2016), p.10.</w:t>
      </w:r>
    </w:p>
  </w:footnote>
  <w:footnote w:id="6">
    <w:p w14:paraId="59DA12D7" w14:textId="77777777" w:rsidR="006C33F0" w:rsidRPr="000048A5" w:rsidRDefault="006C33F0">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CE4DF7" w:rsidRPr="000048A5">
        <w:rPr>
          <w:rFonts w:cs="Times New Roman"/>
        </w:rPr>
        <w:tab/>
      </w:r>
      <w:r w:rsidR="00562CC6" w:rsidRPr="000048A5">
        <w:rPr>
          <w:rFonts w:cs="Times New Roman"/>
        </w:rPr>
        <w:t xml:space="preserve">S. </w:t>
      </w:r>
      <w:proofErr w:type="spellStart"/>
      <w:r w:rsidR="00562CC6" w:rsidRPr="000048A5">
        <w:rPr>
          <w:rFonts w:cs="Times New Roman"/>
        </w:rPr>
        <w:t>Shadikhodjaev</w:t>
      </w:r>
      <w:proofErr w:type="spellEnd"/>
      <w:r w:rsidR="00562CC6" w:rsidRPr="000048A5">
        <w:rPr>
          <w:rFonts w:cs="Times New Roman"/>
        </w:rPr>
        <w:t xml:space="preserve">, </w:t>
      </w:r>
      <w:r w:rsidR="00562CC6" w:rsidRPr="000048A5">
        <w:rPr>
          <w:rFonts w:cs="Times New Roman"/>
          <w:i/>
        </w:rPr>
        <w:t xml:space="preserve">Industrial Policy and the World Trade Organization </w:t>
      </w:r>
      <w:r w:rsidR="00562CC6" w:rsidRPr="000048A5">
        <w:rPr>
          <w:rFonts w:cs="Times New Roman"/>
        </w:rPr>
        <w:t>(Cambridge University Press, 2018), p.</w:t>
      </w:r>
      <w:r w:rsidRPr="000048A5">
        <w:rPr>
          <w:rFonts w:cs="Times New Roman"/>
          <w:lang w:val="en-GB"/>
        </w:rPr>
        <w:t>148.</w:t>
      </w:r>
    </w:p>
  </w:footnote>
  <w:footnote w:id="7">
    <w:p w14:paraId="1E11BA38" w14:textId="77777777" w:rsidR="00E10812" w:rsidRPr="000048A5" w:rsidRDefault="00E10812">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CE4DF7" w:rsidRPr="000048A5">
        <w:rPr>
          <w:rFonts w:cs="Times New Roman"/>
        </w:rPr>
        <w:tab/>
      </w:r>
      <w:r w:rsidRPr="000048A5">
        <w:rPr>
          <w:rFonts w:cs="Times New Roman"/>
          <w:lang w:val="en-GB"/>
        </w:rPr>
        <w:t>O</w:t>
      </w:r>
      <w:r w:rsidR="00860358">
        <w:rPr>
          <w:rFonts w:cs="Times New Roman"/>
          <w:lang w:val="en-GB"/>
        </w:rPr>
        <w:t>E</w:t>
      </w:r>
      <w:r w:rsidRPr="000048A5">
        <w:rPr>
          <w:rFonts w:cs="Times New Roman"/>
          <w:lang w:val="en-GB"/>
        </w:rPr>
        <w:t>CD</w:t>
      </w:r>
      <w:r w:rsidR="005F3EE9" w:rsidRPr="000048A5">
        <w:rPr>
          <w:rFonts w:cs="Times New Roman"/>
          <w:lang w:val="en-GB"/>
        </w:rPr>
        <w:t>,</w:t>
      </w:r>
      <w:r w:rsidRPr="000048A5">
        <w:rPr>
          <w:rFonts w:cs="Times New Roman"/>
          <w:lang w:val="en-GB"/>
        </w:rPr>
        <w:t xml:space="preserve"> </w:t>
      </w:r>
      <w:r w:rsidRPr="000048A5">
        <w:rPr>
          <w:rFonts w:cs="Times New Roman"/>
          <w:bCs/>
        </w:rPr>
        <w:t>Joint Working Party on Trade and Environment Greening Regional Trade Agreements - Subsidies Related to Energy and Environmental Goods</w:t>
      </w:r>
      <w:r w:rsidR="005F3EE9" w:rsidRPr="000048A5">
        <w:rPr>
          <w:rFonts w:cs="Times New Roman"/>
          <w:bCs/>
        </w:rPr>
        <w:t xml:space="preserve"> (October 29,</w:t>
      </w:r>
      <w:r w:rsidRPr="000048A5">
        <w:rPr>
          <w:rFonts w:cs="Times New Roman"/>
          <w:bCs/>
        </w:rPr>
        <w:t xml:space="preserve"> 2019</w:t>
      </w:r>
      <w:r w:rsidR="005F3EE9" w:rsidRPr="000048A5">
        <w:rPr>
          <w:rFonts w:cs="Times New Roman"/>
          <w:bCs/>
        </w:rPr>
        <w:t>)</w:t>
      </w:r>
      <w:r w:rsidRPr="000048A5">
        <w:rPr>
          <w:rFonts w:cs="Times New Roman"/>
          <w:bCs/>
        </w:rPr>
        <w:t xml:space="preserve">, </w:t>
      </w:r>
      <w:r w:rsidR="005F3EE9" w:rsidRPr="000048A5">
        <w:rPr>
          <w:rFonts w:cs="Times New Roman"/>
          <w:bCs/>
        </w:rPr>
        <w:t xml:space="preserve">section </w:t>
      </w:r>
      <w:r w:rsidRPr="000048A5">
        <w:rPr>
          <w:rFonts w:cs="Times New Roman"/>
          <w:bCs/>
        </w:rPr>
        <w:t>3.1</w:t>
      </w:r>
      <w:r w:rsidR="005F3EE9" w:rsidRPr="000048A5">
        <w:rPr>
          <w:rFonts w:cs="Times New Roman"/>
          <w:bCs/>
        </w:rPr>
        <w:t xml:space="preserve">, </w:t>
      </w:r>
      <w:hyperlink r:id="rId2" w:history="1">
        <w:r w:rsidR="00562CC6" w:rsidRPr="000048A5">
          <w:rPr>
            <w:rStyle w:val="Hyperlink"/>
            <w:rFonts w:cs="Times New Roman"/>
            <w:bCs/>
          </w:rPr>
          <w:t>http://www.oecd.org/officialdocuments/publicdisplaydocumentpdf/?cote=COM/TAD/ENV/JWPTE(2017)8/FINAL&amp;docLanguage=En</w:t>
        </w:r>
      </w:hyperlink>
      <w:r w:rsidR="00562CC6" w:rsidRPr="000048A5">
        <w:rPr>
          <w:rFonts w:cs="Times New Roman"/>
          <w:bCs/>
        </w:rPr>
        <w:t xml:space="preserve">; </w:t>
      </w:r>
    </w:p>
  </w:footnote>
  <w:footnote w:id="8">
    <w:p w14:paraId="2921B057" w14:textId="77777777" w:rsidR="00E95031" w:rsidRPr="000048A5" w:rsidRDefault="00E95031">
      <w:pPr>
        <w:pStyle w:val="FootnoteText"/>
        <w:rPr>
          <w:lang w:val="en-GB"/>
        </w:rPr>
      </w:pPr>
      <w:r w:rsidRPr="000048A5">
        <w:rPr>
          <w:rStyle w:val="FootnoteReference"/>
        </w:rPr>
        <w:footnoteRef/>
      </w:r>
      <w:r w:rsidRPr="000048A5">
        <w:t xml:space="preserve"> </w:t>
      </w:r>
      <w:r w:rsidRPr="000048A5">
        <w:rPr>
          <w:lang w:val="en-GB"/>
        </w:rPr>
        <w:tab/>
        <w:t xml:space="preserve">Panel Report, </w:t>
      </w:r>
      <w:r w:rsidRPr="000048A5">
        <w:rPr>
          <w:rFonts w:cs="Times New Roman"/>
          <w:i/>
          <w:lang w:val="en-GB"/>
        </w:rPr>
        <w:t>United States — Certain Measures Relating to the Renewable Energy Sector</w:t>
      </w:r>
      <w:r w:rsidRPr="000048A5">
        <w:rPr>
          <w:rFonts w:cs="Times New Roman"/>
          <w:lang w:val="en-GB"/>
        </w:rPr>
        <w:t xml:space="preserve">, </w:t>
      </w:r>
      <w:r w:rsidRPr="000048A5">
        <w:rPr>
          <w:rFonts w:cs="Times New Roman"/>
        </w:rPr>
        <w:t xml:space="preserve">WTO Doc. </w:t>
      </w:r>
      <w:r w:rsidRPr="000048A5">
        <w:rPr>
          <w:rFonts w:cs="Times New Roman"/>
          <w:lang w:val="en-GB"/>
        </w:rPr>
        <w:t>TW/DS510/R</w:t>
      </w:r>
      <w:r w:rsidRPr="000048A5">
        <w:rPr>
          <w:rFonts w:cs="Times New Roman"/>
        </w:rPr>
        <w:t xml:space="preserve"> (</w:t>
      </w:r>
      <w:r w:rsidRPr="000048A5">
        <w:rPr>
          <w:rFonts w:cs="Times New Roman"/>
          <w:lang w:val="en-GB"/>
        </w:rPr>
        <w:t xml:space="preserve">June </w:t>
      </w:r>
      <w:r w:rsidRPr="000048A5">
        <w:rPr>
          <w:rFonts w:cs="Times New Roman"/>
        </w:rPr>
        <w:t xml:space="preserve">27, </w:t>
      </w:r>
      <w:r w:rsidRPr="000048A5">
        <w:rPr>
          <w:rFonts w:cs="Times New Roman"/>
          <w:lang w:val="en-GB"/>
        </w:rPr>
        <w:t>2019</w:t>
      </w:r>
      <w:r w:rsidRPr="000048A5">
        <w:rPr>
          <w:rFonts w:cs="Times New Roman"/>
        </w:rPr>
        <w:t>)</w:t>
      </w:r>
      <w:r w:rsidRPr="000048A5">
        <w:rPr>
          <w:lang w:val="en-GB"/>
        </w:rPr>
        <w:t xml:space="preserve">; </w:t>
      </w:r>
      <w:r w:rsidRPr="000048A5">
        <w:rPr>
          <w:rFonts w:cs="Times New Roman"/>
        </w:rPr>
        <w:t xml:space="preserve">Appellate Body Report, Canada—Renewable Energy Measures Affecting Renewable Energy Generation Sector, WTO Doc. WT/DS412/AB/R (May 6, 2013); </w:t>
      </w:r>
      <w:r w:rsidRPr="000048A5">
        <w:rPr>
          <w:lang w:val="en-GB"/>
        </w:rPr>
        <w:t xml:space="preserve">OCED, </w:t>
      </w:r>
      <w:r w:rsidRPr="000048A5">
        <w:rPr>
          <w:bCs/>
        </w:rPr>
        <w:t>Joint Working Party on Trade and Environment Greening Regional Trade Agreements - Subsidies Related to Energy and Environmental Goods 2019; LPDD book, pp. 204-205.</w:t>
      </w:r>
    </w:p>
  </w:footnote>
  <w:footnote w:id="9">
    <w:p w14:paraId="74243A0F" w14:textId="796BA598" w:rsidR="00C36C5E" w:rsidRPr="00C36C5E" w:rsidRDefault="00C36C5E">
      <w:pPr>
        <w:pStyle w:val="FootnoteText"/>
        <w:rPr>
          <w:lang w:val="en-GB"/>
        </w:rPr>
      </w:pPr>
      <w:r>
        <w:rPr>
          <w:rStyle w:val="FootnoteReference"/>
        </w:rPr>
        <w:footnoteRef/>
      </w:r>
      <w:r>
        <w:t xml:space="preserve"> </w:t>
      </w:r>
      <w:r>
        <w:rPr>
          <w:lang w:val="en-GB"/>
        </w:rPr>
        <w:tab/>
      </w:r>
      <w:r w:rsidR="0031232B">
        <w:t xml:space="preserve">See </w:t>
      </w:r>
      <w:r w:rsidR="0031232B" w:rsidRPr="000048A5">
        <w:rPr>
          <w:rFonts w:cs="Times New Roman"/>
        </w:rPr>
        <w:t>Appellate Body Report, Canada—Renewable Energy Measures Affecting Renewable Energy Generation Sector, WTO Doc. WT/DS412/AB/R (May 6, 2013</w:t>
      </w:r>
      <w:r w:rsidR="0031232B">
        <w:rPr>
          <w:rFonts w:cs="Times New Roman"/>
        </w:rPr>
        <w:t>).</w:t>
      </w:r>
    </w:p>
  </w:footnote>
  <w:footnote w:id="10">
    <w:p w14:paraId="0C76C3B7" w14:textId="77777777" w:rsidR="008912FA" w:rsidRPr="000048A5" w:rsidRDefault="008912FA">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CE4DF7" w:rsidRPr="000048A5">
        <w:rPr>
          <w:rFonts w:cs="Times New Roman"/>
        </w:rPr>
        <w:tab/>
      </w:r>
      <w:r w:rsidRPr="000048A5">
        <w:rPr>
          <w:rFonts w:cs="Times New Roman"/>
        </w:rPr>
        <w:t xml:space="preserve">S. </w:t>
      </w:r>
      <w:proofErr w:type="spellStart"/>
      <w:r w:rsidRPr="000048A5">
        <w:rPr>
          <w:rFonts w:cs="Times New Roman"/>
        </w:rPr>
        <w:t>Shadikhodjaev</w:t>
      </w:r>
      <w:proofErr w:type="spellEnd"/>
      <w:r w:rsidRPr="000048A5">
        <w:rPr>
          <w:rFonts w:cs="Times New Roman"/>
        </w:rPr>
        <w:t xml:space="preserve">, </w:t>
      </w:r>
      <w:r w:rsidRPr="000048A5">
        <w:rPr>
          <w:rFonts w:cs="Times New Roman"/>
          <w:i/>
        </w:rPr>
        <w:t xml:space="preserve">Industrial Policy and the World Trade Organization </w:t>
      </w:r>
      <w:r w:rsidRPr="000048A5">
        <w:rPr>
          <w:rFonts w:cs="Times New Roman"/>
        </w:rPr>
        <w:t xml:space="preserve">(Cambridge University Press, 2018), </w:t>
      </w:r>
      <w:r w:rsidRPr="000048A5">
        <w:rPr>
          <w:rFonts w:cs="Times New Roman"/>
          <w:lang w:val="en-GB"/>
        </w:rPr>
        <w:t>p. 177.</w:t>
      </w:r>
      <w:r w:rsidR="005172CA" w:rsidRPr="000048A5">
        <w:rPr>
          <w:rFonts w:cs="Times New Roman"/>
          <w:highlight w:val="yellow"/>
          <w:lang w:val="en-GB"/>
        </w:rPr>
        <w:t xml:space="preserve"> </w:t>
      </w:r>
    </w:p>
  </w:footnote>
  <w:footnote w:id="11">
    <w:p w14:paraId="433EE93F" w14:textId="77777777" w:rsidR="008912FA" w:rsidRPr="000048A5" w:rsidRDefault="008912FA">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CE4DF7" w:rsidRPr="000048A5">
        <w:rPr>
          <w:rFonts w:cs="Times New Roman"/>
        </w:rPr>
        <w:tab/>
      </w:r>
      <w:r w:rsidRPr="000048A5">
        <w:rPr>
          <w:rFonts w:cs="Times New Roman"/>
        </w:rPr>
        <w:t xml:space="preserve">S. </w:t>
      </w:r>
      <w:proofErr w:type="spellStart"/>
      <w:r w:rsidRPr="000048A5">
        <w:rPr>
          <w:rFonts w:cs="Times New Roman"/>
        </w:rPr>
        <w:t>Shadikhodjaev</w:t>
      </w:r>
      <w:proofErr w:type="spellEnd"/>
      <w:r w:rsidRPr="000048A5">
        <w:rPr>
          <w:rFonts w:cs="Times New Roman"/>
        </w:rPr>
        <w:t xml:space="preserve">, </w:t>
      </w:r>
      <w:r w:rsidRPr="000048A5">
        <w:rPr>
          <w:rFonts w:cs="Times New Roman"/>
          <w:i/>
        </w:rPr>
        <w:t xml:space="preserve">Industrial Policy and the World Trade Organization </w:t>
      </w:r>
      <w:r w:rsidRPr="000048A5">
        <w:rPr>
          <w:rFonts w:cs="Times New Roman"/>
        </w:rPr>
        <w:t xml:space="preserve">(Cambridge University Press, 2018), </w:t>
      </w:r>
      <w:r w:rsidRPr="000048A5">
        <w:rPr>
          <w:rFonts w:cs="Times New Roman"/>
          <w:lang w:val="en-GB"/>
        </w:rPr>
        <w:t>p. 147</w:t>
      </w:r>
      <w:r w:rsidR="00447F01" w:rsidRPr="000048A5">
        <w:rPr>
          <w:rFonts w:cs="Times New Roman"/>
          <w:lang w:val="en-GB"/>
        </w:rPr>
        <w:t xml:space="preserve">; </w:t>
      </w:r>
      <w:r w:rsidR="00D1749C" w:rsidRPr="000048A5">
        <w:rPr>
          <w:i/>
        </w:rPr>
        <w:t>Legal Pathways to Deep Decarbonization in the United States</w:t>
      </w:r>
      <w:r w:rsidR="00D1749C" w:rsidRPr="000048A5">
        <w:rPr>
          <w:rFonts w:cs="Times New Roman"/>
        </w:rPr>
        <w:t xml:space="preserve">, p. </w:t>
      </w:r>
      <w:r w:rsidR="005172CA" w:rsidRPr="000048A5">
        <w:rPr>
          <w:rFonts w:cs="Times New Roman"/>
          <w:lang w:val="en-GB"/>
        </w:rPr>
        <w:t>199.</w:t>
      </w:r>
    </w:p>
  </w:footnote>
  <w:footnote w:id="12">
    <w:p w14:paraId="5F86DE57" w14:textId="77777777" w:rsidR="00686123" w:rsidRPr="000048A5" w:rsidRDefault="00686123">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CE4DF7" w:rsidRPr="000048A5">
        <w:rPr>
          <w:rFonts w:cs="Times New Roman"/>
        </w:rPr>
        <w:tab/>
        <w:t xml:space="preserve">OECD, Green Finance and Investment: Overcoming Barriers to International Investment in Clean Energy, OECD Publishing, Paris (2015), </w:t>
      </w:r>
      <w:hyperlink r:id="rId3" w:anchor="page66" w:history="1">
        <w:r w:rsidR="00CE4DF7" w:rsidRPr="000048A5">
          <w:rPr>
            <w:rStyle w:val="Hyperlink"/>
            <w:rFonts w:cs="Times New Roman"/>
          </w:rPr>
          <w:t>https://read.oecd-ilibrary.org/environment/overcoming-barriers-to-international-investment-in-clean-energy_9789264227064-en#page66</w:t>
        </w:r>
      </w:hyperlink>
      <w:r w:rsidR="00AA6415" w:rsidRPr="000048A5">
        <w:rPr>
          <w:rFonts w:cs="Times New Roman"/>
        </w:rPr>
        <w:t>, p. 64.</w:t>
      </w:r>
    </w:p>
  </w:footnote>
  <w:footnote w:id="13">
    <w:p w14:paraId="540CA23F" w14:textId="77777777" w:rsidR="00686123" w:rsidRPr="000048A5" w:rsidRDefault="00686123" w:rsidP="00B0180C">
      <w:pPr>
        <w:pStyle w:val="FootnoteText"/>
      </w:pPr>
      <w:r w:rsidRPr="000048A5">
        <w:rPr>
          <w:rStyle w:val="FootnoteReference"/>
          <w:rFonts w:cs="Times New Roman"/>
        </w:rPr>
        <w:footnoteRef/>
      </w:r>
      <w:r w:rsidRPr="000048A5">
        <w:rPr>
          <w:rFonts w:cs="Times New Roman"/>
        </w:rPr>
        <w:t xml:space="preserve"> </w:t>
      </w:r>
      <w:r w:rsidR="00B0180C" w:rsidRPr="000048A5">
        <w:rPr>
          <w:rFonts w:cs="Times New Roman"/>
        </w:rPr>
        <w:tab/>
        <w:t xml:space="preserve">Appellate Body Report, </w:t>
      </w:r>
      <w:r w:rsidR="00B0180C" w:rsidRPr="000048A5">
        <w:rPr>
          <w:i/>
          <w:lang w:val="en-GB"/>
        </w:rPr>
        <w:t>Canada - Certain Measures Affecting the Renewable Energy Generation Sector</w:t>
      </w:r>
      <w:r w:rsidR="00B0180C" w:rsidRPr="000048A5">
        <w:rPr>
          <w:lang w:val="en-GB"/>
        </w:rPr>
        <w:t xml:space="preserve">, WTO Doc. WT/DS412/19 (May 6, 2013); </w:t>
      </w:r>
      <w:r w:rsidR="00B0180C" w:rsidRPr="000048A5">
        <w:rPr>
          <w:i/>
          <w:lang w:val="en-GB"/>
        </w:rPr>
        <w:t>European Union and certain Member States - Certain Measures Affecting the Renewable Energy Generation Sector</w:t>
      </w:r>
      <w:r w:rsidR="00B0180C" w:rsidRPr="000048A5">
        <w:rPr>
          <w:lang w:val="en-GB"/>
        </w:rPr>
        <w:t xml:space="preserve">, WT/DS452/5; </w:t>
      </w:r>
      <w:r w:rsidR="00B0180C" w:rsidRPr="000048A5">
        <w:rPr>
          <w:rFonts w:cs="Times New Roman"/>
          <w:lang w:val="en-GB"/>
        </w:rPr>
        <w:t xml:space="preserve">Panel Report, </w:t>
      </w:r>
      <w:r w:rsidR="00B0180C" w:rsidRPr="000048A5">
        <w:rPr>
          <w:rFonts w:cs="Times New Roman"/>
          <w:i/>
          <w:lang w:val="en-GB"/>
        </w:rPr>
        <w:t>United States — Certain Measures Relating to the Renewable Energy Sector</w:t>
      </w:r>
      <w:r w:rsidR="00B0180C" w:rsidRPr="000048A5">
        <w:rPr>
          <w:rFonts w:cs="Times New Roman"/>
          <w:lang w:val="en-GB"/>
        </w:rPr>
        <w:t xml:space="preserve">, WTO Doc. TW/DS510/R (June 27, 2019); </w:t>
      </w:r>
      <w:r w:rsidR="00B0180C" w:rsidRPr="000048A5">
        <w:rPr>
          <w:i/>
        </w:rPr>
        <w:t xml:space="preserve">United States - Certain Measures Related to Renewable </w:t>
      </w:r>
      <w:r w:rsidR="00B0180C" w:rsidRPr="000048A5">
        <w:t>Energy, WT/DS563/4.</w:t>
      </w:r>
    </w:p>
  </w:footnote>
  <w:footnote w:id="14">
    <w:p w14:paraId="03B92148" w14:textId="26AF8F3E" w:rsidR="008912FA" w:rsidRPr="000048A5" w:rsidRDefault="008912FA">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Pr="000048A5">
        <w:rPr>
          <w:rFonts w:cs="Times New Roman"/>
          <w:lang w:val="en-GB"/>
        </w:rPr>
        <w:tab/>
      </w:r>
      <w:r w:rsidR="00B0180C" w:rsidRPr="000048A5">
        <w:rPr>
          <w:rFonts w:cs="Times New Roman"/>
          <w:lang w:val="en-GB"/>
        </w:rPr>
        <w:t xml:space="preserve">Panel Report, </w:t>
      </w:r>
      <w:r w:rsidR="00B0180C" w:rsidRPr="000048A5">
        <w:rPr>
          <w:rFonts w:cs="Times New Roman"/>
          <w:i/>
          <w:lang w:val="en-GB"/>
        </w:rPr>
        <w:t>United States — Certain Measures Relating to the Renewable Energy Sector</w:t>
      </w:r>
      <w:r w:rsidR="00B0180C" w:rsidRPr="000048A5">
        <w:rPr>
          <w:rFonts w:cs="Times New Roman"/>
          <w:lang w:val="en-GB"/>
        </w:rPr>
        <w:t>, WTO Doc. TW/DS510/R (June 27, 2019)</w:t>
      </w:r>
      <w:r w:rsidR="00D678ED">
        <w:rPr>
          <w:rFonts w:cs="Times New Roman"/>
          <w:lang w:val="en-GB"/>
        </w:rPr>
        <w:t xml:space="preserve">, </w:t>
      </w:r>
      <w:hyperlink r:id="rId4" w:history="1">
        <w:r w:rsidR="00D678ED" w:rsidRPr="00F461D9">
          <w:rPr>
            <w:rStyle w:val="Hyperlink"/>
            <w:rFonts w:cs="Times New Roman"/>
            <w:lang w:val="en-GB"/>
          </w:rPr>
          <w:t>https://www.wto.org/english/tratop_e/dispu_e/cases_e/ds510_e.htm</w:t>
        </w:r>
      </w:hyperlink>
      <w:r w:rsidRPr="000048A5">
        <w:rPr>
          <w:rFonts w:cs="Times New Roman"/>
          <w:lang w:val="en-GB"/>
        </w:rPr>
        <w:t>.</w:t>
      </w:r>
      <w:r w:rsidR="001A6EC7" w:rsidRPr="000048A5">
        <w:rPr>
          <w:rFonts w:cs="Times New Roman"/>
          <w:lang w:val="en-GB"/>
        </w:rPr>
        <w:t xml:space="preserve">  The case concerned the following 11 state measures: </w:t>
      </w:r>
    </w:p>
    <w:p w14:paraId="703E8B30" w14:textId="77777777" w:rsidR="001A6EC7" w:rsidRPr="000048A5" w:rsidRDefault="001A6EC7" w:rsidP="00CE4DF7">
      <w:pPr>
        <w:ind w:left="720"/>
        <w:rPr>
          <w:sz w:val="20"/>
          <w:szCs w:val="20"/>
        </w:rPr>
      </w:pPr>
      <w:r w:rsidRPr="000048A5">
        <w:rPr>
          <w:sz w:val="20"/>
          <w:szCs w:val="20"/>
        </w:rPr>
        <w:t>The Renewable Energy Cost Recovery Incentive Payment Program ('RECIP') in the State of Washington; the Self-Generation Incentive Program ('SGIP') in the State of California; the Los Angeles Department of Water and Power's ('LADWP') Solar Incentive Program in the State of California; the Montana Tax Incentive for Ethanol Production ('TIEP') in the State of Montana; the Montana Tax Credit for Biodiesel Blending and Storage in the State of Montana; refund for Taxes paid on Biodiesel by Distributor or Retailer in the State of Montana; the  Connecticut Residential Solar Investment Program ('CRSIP') in the State of Connecticut; the Renewable Energy Credits in the State of Michigan</w:t>
      </w:r>
      <w:r w:rsidR="00E04552" w:rsidRPr="000048A5">
        <w:rPr>
          <w:sz w:val="20"/>
          <w:szCs w:val="20"/>
        </w:rPr>
        <w:t>;</w:t>
      </w:r>
      <w:r w:rsidRPr="000048A5">
        <w:rPr>
          <w:sz w:val="20"/>
          <w:szCs w:val="20"/>
        </w:rPr>
        <w:t xml:space="preserve"> the Delaware Solar Renewable Energy Credits in the State of Delaware; the Made in Minnesota Solar Incentive Program ('MSIP') in the State of Minnesota; and the Massachusetts Clean Energy Centre's Commonwealth Solar Hot Water Program, ('CSHWP') in the State of Massachusetts.</w:t>
      </w:r>
    </w:p>
    <w:p w14:paraId="7313D9FA" w14:textId="77777777" w:rsidR="001A6EC7" w:rsidRPr="000048A5" w:rsidRDefault="001A6EC7" w:rsidP="001A6EC7">
      <w:pPr>
        <w:rPr>
          <w:sz w:val="20"/>
          <w:szCs w:val="20"/>
        </w:rPr>
      </w:pPr>
    </w:p>
  </w:footnote>
  <w:footnote w:id="15">
    <w:p w14:paraId="5B9E4D72" w14:textId="628813D6" w:rsidR="008912FA" w:rsidRPr="000048A5" w:rsidRDefault="008912FA">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Pr="000048A5">
        <w:rPr>
          <w:rFonts w:cs="Times New Roman"/>
          <w:lang w:val="en-GB"/>
        </w:rPr>
        <w:tab/>
      </w:r>
      <w:r w:rsidR="00D678ED" w:rsidRPr="00D678ED">
        <w:rPr>
          <w:i/>
          <w:iCs/>
        </w:rPr>
        <w:t>Id</w:t>
      </w:r>
      <w:r w:rsidR="00D678ED">
        <w:t>.</w:t>
      </w:r>
      <w:r w:rsidRPr="000048A5">
        <w:rPr>
          <w:rFonts w:cs="Times New Roman"/>
          <w:lang w:val="en-GB"/>
        </w:rPr>
        <w:t xml:space="preserve"> </w:t>
      </w:r>
    </w:p>
  </w:footnote>
  <w:footnote w:id="16">
    <w:p w14:paraId="630DF18B" w14:textId="6F9BE5C9" w:rsidR="007D5852" w:rsidRPr="000048A5" w:rsidRDefault="007D5852" w:rsidP="00E239EE">
      <w:pPr>
        <w:pStyle w:val="FootnoteText"/>
      </w:pPr>
      <w:r w:rsidRPr="000048A5">
        <w:rPr>
          <w:rStyle w:val="FootnoteReference"/>
        </w:rPr>
        <w:footnoteRef/>
      </w:r>
      <w:r w:rsidRPr="000048A5">
        <w:t xml:space="preserve"> </w:t>
      </w:r>
      <w:r w:rsidR="00E239EE" w:rsidRPr="000048A5">
        <w:tab/>
        <w:t xml:space="preserve">See </w:t>
      </w:r>
      <w:r w:rsidR="00E239EE" w:rsidRPr="000048A5">
        <w:rPr>
          <w:i/>
        </w:rPr>
        <w:t>Mesa Power Grp, LLC v. Government of Canada</w:t>
      </w:r>
      <w:r w:rsidR="00E239EE" w:rsidRPr="000048A5">
        <w:t>, UNCITRAL, PCA Case No. 2012-17, Award (Mar</w:t>
      </w:r>
      <w:r w:rsidR="00022B50" w:rsidRPr="000048A5">
        <w:t xml:space="preserve">ch 24, </w:t>
      </w:r>
      <w:r w:rsidR="00E239EE" w:rsidRPr="000048A5">
        <w:t>2016)</w:t>
      </w:r>
      <w:r w:rsidR="006F054A" w:rsidRPr="000048A5">
        <w:t xml:space="preserve">, </w:t>
      </w:r>
      <w:r w:rsidR="00022B50" w:rsidRPr="000048A5">
        <w:rPr>
          <w:rFonts w:cs="Times New Roman"/>
        </w:rPr>
        <w:t>¶¶</w:t>
      </w:r>
      <w:r w:rsidR="00022B50" w:rsidRPr="000048A5">
        <w:t xml:space="preserve"> </w:t>
      </w:r>
      <w:r w:rsidR="006F054A" w:rsidRPr="000048A5">
        <w:t>208, 404ff, 466</w:t>
      </w:r>
      <w:r w:rsidR="008D66B6" w:rsidRPr="000048A5">
        <w:t xml:space="preserve">, </w:t>
      </w:r>
      <w:r w:rsidR="00A00DF5" w:rsidRPr="000048A5">
        <w:t>Dissent</w:t>
      </w:r>
      <w:r w:rsidR="00022B50" w:rsidRPr="000048A5">
        <w:t>ing and Concurring Opinion</w:t>
      </w:r>
      <w:r w:rsidR="00A00DF5" w:rsidRPr="000048A5">
        <w:t xml:space="preserve"> of Arbitrator Brower.</w:t>
      </w:r>
      <w:r w:rsidR="00041CBD">
        <w:t xml:space="preserve">  See also Elizabeth Trujillo, </w:t>
      </w:r>
      <w:r w:rsidR="00F246CF">
        <w:t>“</w:t>
      </w:r>
      <w:r w:rsidR="00041CBD" w:rsidRPr="00F246CF">
        <w:t>Balancing Sustainability, the Right to Regulate, and the Need for Investor Protection: Lessons from the Trade Regime</w:t>
      </w:r>
      <w:r w:rsidR="00F246CF">
        <w:t>”</w:t>
      </w:r>
      <w:r w:rsidR="00041CBD">
        <w:t xml:space="preserve">, 59 </w:t>
      </w:r>
      <w:r w:rsidR="00041CBD" w:rsidRPr="00F246CF">
        <w:rPr>
          <w:rFonts w:cs="Times New Roman (Body CS)"/>
        </w:rPr>
        <w:t>Boston College L.R</w:t>
      </w:r>
      <w:r w:rsidR="00041CBD">
        <w:t>. 2735, 2754-2756 (2018).</w:t>
      </w:r>
    </w:p>
  </w:footnote>
  <w:footnote w:id="17">
    <w:p w14:paraId="28F84740" w14:textId="6AC7BDD3" w:rsidR="00382147" w:rsidRPr="000048A5" w:rsidRDefault="00382147">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Pr="000048A5">
        <w:rPr>
          <w:rFonts w:cs="Times New Roman"/>
          <w:lang w:val="en-GB"/>
        </w:rPr>
        <w:tab/>
      </w:r>
      <w:r w:rsidR="008D66B6" w:rsidRPr="000048A5">
        <w:rPr>
          <w:rFonts w:cs="Times New Roman"/>
        </w:rPr>
        <w:t xml:space="preserve">S. </w:t>
      </w:r>
      <w:proofErr w:type="spellStart"/>
      <w:r w:rsidR="008D66B6" w:rsidRPr="000048A5">
        <w:rPr>
          <w:rFonts w:cs="Times New Roman"/>
        </w:rPr>
        <w:t>Shadikhodjaev</w:t>
      </w:r>
      <w:proofErr w:type="spellEnd"/>
      <w:r w:rsidR="008D66B6" w:rsidRPr="000048A5">
        <w:rPr>
          <w:rFonts w:cs="Times New Roman"/>
        </w:rPr>
        <w:t xml:space="preserve">, </w:t>
      </w:r>
      <w:r w:rsidR="008D66B6" w:rsidRPr="000048A5">
        <w:rPr>
          <w:rFonts w:cs="Times New Roman"/>
          <w:i/>
        </w:rPr>
        <w:t xml:space="preserve">Industrial Policy and the World Trade Organization </w:t>
      </w:r>
      <w:r w:rsidR="008D66B6" w:rsidRPr="000048A5">
        <w:rPr>
          <w:rFonts w:cs="Times New Roman"/>
        </w:rPr>
        <w:t xml:space="preserve">(Cambridge University Press, 2018), </w:t>
      </w:r>
      <w:r w:rsidR="008D66B6" w:rsidRPr="000048A5">
        <w:rPr>
          <w:rFonts w:cs="Times New Roman"/>
          <w:lang w:val="en-GB"/>
        </w:rPr>
        <w:t>p. </w:t>
      </w:r>
      <w:r w:rsidRPr="000048A5">
        <w:rPr>
          <w:rFonts w:cs="Times New Roman"/>
          <w:lang w:val="en-GB"/>
        </w:rPr>
        <w:t xml:space="preserve">147; </w:t>
      </w:r>
      <w:r w:rsidR="000D20F6" w:rsidRPr="000048A5">
        <w:rPr>
          <w:rFonts w:cs="Times New Roman"/>
          <w:lang w:val="en-GB"/>
        </w:rPr>
        <w:t>Sauvé, “</w:t>
      </w:r>
      <w:r w:rsidR="000D20F6" w:rsidRPr="000048A5">
        <w:rPr>
          <w:bCs/>
        </w:rPr>
        <w:t>Life beyond local content: Exploring alternative measures of industry support in the context of WTO accession”, Journal of International Trade, Vol. 1 (2016)</w:t>
      </w:r>
      <w:r w:rsidRPr="000048A5">
        <w:rPr>
          <w:rFonts w:cs="Times New Roman"/>
        </w:rPr>
        <w:t>, pp.2, 21.</w:t>
      </w:r>
    </w:p>
  </w:footnote>
  <w:footnote w:id="18">
    <w:p w14:paraId="57D22F5A" w14:textId="77777777" w:rsidR="00CE7029" w:rsidRPr="000048A5" w:rsidRDefault="00CE7029" w:rsidP="009A10D6">
      <w:pPr>
        <w:autoSpaceDE w:val="0"/>
        <w:autoSpaceDN w:val="0"/>
        <w:adjustRightInd w:val="0"/>
        <w:ind w:left="709" w:hanging="709"/>
        <w:rPr>
          <w:sz w:val="20"/>
          <w:szCs w:val="20"/>
        </w:rPr>
      </w:pPr>
      <w:r w:rsidRPr="000048A5">
        <w:rPr>
          <w:rStyle w:val="FootnoteReference"/>
          <w:sz w:val="20"/>
          <w:szCs w:val="20"/>
        </w:rPr>
        <w:footnoteRef/>
      </w:r>
      <w:r w:rsidRPr="000048A5">
        <w:rPr>
          <w:sz w:val="20"/>
          <w:szCs w:val="20"/>
        </w:rPr>
        <w:t xml:space="preserve"> </w:t>
      </w:r>
      <w:r w:rsidR="00675938" w:rsidRPr="000048A5">
        <w:rPr>
          <w:sz w:val="20"/>
          <w:szCs w:val="20"/>
        </w:rPr>
        <w:tab/>
      </w:r>
      <w:proofErr w:type="spellStart"/>
      <w:r w:rsidR="00675938" w:rsidRPr="000048A5">
        <w:rPr>
          <w:sz w:val="20"/>
          <w:szCs w:val="20"/>
        </w:rPr>
        <w:t>Hufbauer</w:t>
      </w:r>
      <w:proofErr w:type="spellEnd"/>
      <w:r w:rsidR="00675938" w:rsidRPr="000048A5">
        <w:rPr>
          <w:sz w:val="20"/>
          <w:szCs w:val="20"/>
        </w:rPr>
        <w:t xml:space="preserve"> et al, </w:t>
      </w:r>
      <w:r w:rsidRPr="000048A5">
        <w:rPr>
          <w:sz w:val="20"/>
          <w:szCs w:val="20"/>
          <w:lang w:val="en-US"/>
        </w:rPr>
        <w:t>Local Content Requirements:</w:t>
      </w:r>
      <w:r w:rsidR="00675938" w:rsidRPr="000048A5">
        <w:rPr>
          <w:sz w:val="20"/>
          <w:szCs w:val="20"/>
          <w:lang w:val="en-US"/>
        </w:rPr>
        <w:t xml:space="preserve"> </w:t>
      </w:r>
      <w:r w:rsidRPr="000048A5">
        <w:rPr>
          <w:sz w:val="20"/>
          <w:szCs w:val="20"/>
        </w:rPr>
        <w:t xml:space="preserve">Report on a Global Problem </w:t>
      </w:r>
      <w:r w:rsidR="00675938" w:rsidRPr="000048A5">
        <w:rPr>
          <w:sz w:val="20"/>
          <w:szCs w:val="20"/>
        </w:rPr>
        <w:t>(</w:t>
      </w:r>
      <w:r w:rsidRPr="000048A5">
        <w:rPr>
          <w:sz w:val="20"/>
          <w:szCs w:val="20"/>
        </w:rPr>
        <w:t>2013</w:t>
      </w:r>
      <w:r w:rsidR="00675938" w:rsidRPr="000048A5">
        <w:rPr>
          <w:sz w:val="20"/>
          <w:szCs w:val="20"/>
        </w:rPr>
        <w:t>)</w:t>
      </w:r>
      <w:r w:rsidRPr="000048A5">
        <w:rPr>
          <w:sz w:val="20"/>
          <w:szCs w:val="20"/>
        </w:rPr>
        <w:t xml:space="preserve">, </w:t>
      </w:r>
      <w:r w:rsidRPr="000048A5">
        <w:rPr>
          <w:bCs/>
          <w:sz w:val="20"/>
          <w:szCs w:val="20"/>
        </w:rPr>
        <w:t>p. 40</w:t>
      </w:r>
      <w:r w:rsidR="00675938" w:rsidRPr="000048A5">
        <w:rPr>
          <w:bCs/>
          <w:sz w:val="20"/>
          <w:szCs w:val="20"/>
        </w:rPr>
        <w:t>,</w:t>
      </w:r>
      <w:r w:rsidR="009A10D6" w:rsidRPr="000048A5">
        <w:rPr>
          <w:bCs/>
          <w:sz w:val="20"/>
          <w:szCs w:val="20"/>
        </w:rPr>
        <w:t xml:space="preserve"> </w:t>
      </w:r>
      <w:hyperlink r:id="rId5" w:history="1">
        <w:r w:rsidR="009A10D6" w:rsidRPr="000048A5">
          <w:rPr>
            <w:rStyle w:val="Hyperlink"/>
            <w:bCs/>
            <w:sz w:val="20"/>
            <w:szCs w:val="20"/>
          </w:rPr>
          <w:t>http://files.publicaffairs.geblogs.com/files/2014/08/Local-Content-Requirements-Report-on-a-Global-Problem.pdf</w:t>
        </w:r>
      </w:hyperlink>
      <w:r w:rsidR="001115D6" w:rsidRPr="000048A5">
        <w:rPr>
          <w:bCs/>
          <w:sz w:val="20"/>
          <w:szCs w:val="20"/>
        </w:rPr>
        <w:t xml:space="preserve">; </w:t>
      </w:r>
      <w:r w:rsidR="000D20F6" w:rsidRPr="000048A5">
        <w:rPr>
          <w:sz w:val="20"/>
          <w:szCs w:val="20"/>
        </w:rPr>
        <w:t>Sauvé, “</w:t>
      </w:r>
      <w:r w:rsidR="000D20F6" w:rsidRPr="000048A5">
        <w:rPr>
          <w:rFonts w:eastAsiaTheme="minorHAnsi"/>
          <w:bCs/>
          <w:sz w:val="20"/>
          <w:szCs w:val="20"/>
        </w:rPr>
        <w:t>Life beyond local content: Exploring alternative measures of industry support in the context of WTO accession</w:t>
      </w:r>
      <w:r w:rsidR="000D20F6" w:rsidRPr="000048A5">
        <w:rPr>
          <w:bCs/>
          <w:sz w:val="20"/>
          <w:szCs w:val="20"/>
        </w:rPr>
        <w:t>”, Journal of International Trade, Vol. 1 (2016)</w:t>
      </w:r>
      <w:r w:rsidR="001115D6" w:rsidRPr="000048A5">
        <w:rPr>
          <w:sz w:val="20"/>
          <w:szCs w:val="20"/>
        </w:rPr>
        <w:t>, p.2.</w:t>
      </w:r>
    </w:p>
    <w:p w14:paraId="356F6604" w14:textId="77777777" w:rsidR="009A10D6" w:rsidRPr="000048A5" w:rsidRDefault="009A10D6" w:rsidP="00675938">
      <w:pPr>
        <w:autoSpaceDE w:val="0"/>
        <w:autoSpaceDN w:val="0"/>
        <w:adjustRightInd w:val="0"/>
        <w:rPr>
          <w:sz w:val="20"/>
          <w:szCs w:val="20"/>
          <w:lang w:val="en-US"/>
        </w:rPr>
      </w:pPr>
    </w:p>
  </w:footnote>
  <w:footnote w:id="19">
    <w:p w14:paraId="0DA96486" w14:textId="0083B15E" w:rsidR="00650775" w:rsidRPr="000048A5" w:rsidRDefault="00650775" w:rsidP="009A10D6">
      <w:pPr>
        <w:pStyle w:val="FootnoteText"/>
        <w:ind w:left="709" w:hanging="709"/>
        <w:rPr>
          <w:rFonts w:cs="Times New Roman"/>
          <w:lang w:val="en-GB"/>
        </w:rPr>
      </w:pPr>
      <w:r w:rsidRPr="000048A5">
        <w:rPr>
          <w:rStyle w:val="FootnoteReference"/>
          <w:rFonts w:cs="Times New Roman"/>
        </w:rPr>
        <w:footnoteRef/>
      </w:r>
      <w:r w:rsidRPr="000048A5">
        <w:rPr>
          <w:rFonts w:cs="Times New Roman"/>
        </w:rPr>
        <w:t xml:space="preserve"> </w:t>
      </w:r>
      <w:r w:rsidR="009A10D6" w:rsidRPr="000048A5">
        <w:rPr>
          <w:rFonts w:cs="Times New Roman"/>
        </w:rPr>
        <w:tab/>
      </w:r>
      <w:r w:rsidR="0012654B">
        <w:rPr>
          <w:rFonts w:cs="Times New Roman"/>
        </w:rPr>
        <w:t xml:space="preserve">OECD, </w:t>
      </w:r>
      <w:r w:rsidR="0012654B" w:rsidRPr="0012654B">
        <w:rPr>
          <w:rFonts w:cs="Times New Roman"/>
          <w:i/>
          <w:iCs/>
        </w:rPr>
        <w:t>Overcoming Barriers to International Investment in Clean Energy</w:t>
      </w:r>
      <w:r w:rsidR="0012654B">
        <w:rPr>
          <w:rFonts w:cs="Times New Roman"/>
        </w:rPr>
        <w:t xml:space="preserve">, Green Finance and Investment (OECD Publishing, 2015), p.48, </w:t>
      </w:r>
      <w:hyperlink r:id="rId6" w:anchor="page66" w:history="1">
        <w:r w:rsidR="0012654B" w:rsidRPr="00F461D9">
          <w:rPr>
            <w:rStyle w:val="Hyperlink"/>
            <w:rFonts w:cs="Times New Roman"/>
          </w:rPr>
          <w:t>https://read.oecd-ilibrary.org/environment/overcoming-barriers-to-international-investment-in-clean-energy_9789264227064-en#page66</w:t>
        </w:r>
      </w:hyperlink>
      <w:r w:rsidR="00576CE5" w:rsidRPr="000048A5">
        <w:rPr>
          <w:rFonts w:cs="Times New Roman"/>
        </w:rPr>
        <w:t xml:space="preserve">; S. </w:t>
      </w:r>
      <w:proofErr w:type="spellStart"/>
      <w:r w:rsidR="00576CE5" w:rsidRPr="000048A5">
        <w:rPr>
          <w:rFonts w:cs="Times New Roman"/>
        </w:rPr>
        <w:t>Shadikhodjaev</w:t>
      </w:r>
      <w:proofErr w:type="spellEnd"/>
      <w:r w:rsidR="00576CE5" w:rsidRPr="000048A5">
        <w:rPr>
          <w:rFonts w:cs="Times New Roman"/>
        </w:rPr>
        <w:t xml:space="preserve">, </w:t>
      </w:r>
      <w:r w:rsidR="00576CE5" w:rsidRPr="000048A5">
        <w:rPr>
          <w:rFonts w:cs="Times New Roman"/>
          <w:i/>
        </w:rPr>
        <w:t xml:space="preserve">Industrial Policy and the World Trade Organization </w:t>
      </w:r>
      <w:r w:rsidR="00576CE5" w:rsidRPr="000048A5">
        <w:rPr>
          <w:rFonts w:cs="Times New Roman"/>
        </w:rPr>
        <w:t xml:space="preserve">(Cambridge University Press, 2018), </w:t>
      </w:r>
      <w:r w:rsidR="00576CE5" w:rsidRPr="000048A5">
        <w:rPr>
          <w:rFonts w:cs="Times New Roman"/>
          <w:lang w:val="en-GB"/>
        </w:rPr>
        <w:t>p. 151.</w:t>
      </w:r>
    </w:p>
  </w:footnote>
  <w:footnote w:id="20">
    <w:p w14:paraId="36821D94" w14:textId="57E042D5" w:rsidR="00BA18A1" w:rsidRPr="000048A5" w:rsidRDefault="00BA18A1">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9A10D6" w:rsidRPr="000048A5">
        <w:rPr>
          <w:rFonts w:cs="Times New Roman"/>
        </w:rPr>
        <w:tab/>
      </w:r>
      <w:r w:rsidR="009A10D6" w:rsidRPr="000048A5">
        <w:rPr>
          <w:rFonts w:cs="Times New Roman"/>
          <w:lang w:val="en-GB"/>
        </w:rPr>
        <w:t xml:space="preserve">OCED, Topics: Local content requirements: Local content requirements impact the global economy, </w:t>
      </w:r>
      <w:hyperlink r:id="rId7" w:history="1">
        <w:r w:rsidR="009A10D6" w:rsidRPr="000048A5">
          <w:rPr>
            <w:rStyle w:val="Hyperlink"/>
            <w:rFonts w:cs="Times New Roman"/>
            <w:bCs/>
          </w:rPr>
          <w:t>https://www.oecd.org/trade/topics/local-content-requirements/</w:t>
        </w:r>
      </w:hyperlink>
      <w:r w:rsidRPr="000048A5">
        <w:rPr>
          <w:rFonts w:cs="Times New Roman"/>
          <w:lang w:val="en-GB"/>
        </w:rPr>
        <w:t xml:space="preserve">; </w:t>
      </w:r>
      <w:r w:rsidR="00C0162E" w:rsidRPr="000048A5">
        <w:rPr>
          <w:rFonts w:cs="Times New Roman"/>
          <w:lang w:val="en-GB"/>
        </w:rPr>
        <w:t>OCED</w:t>
      </w:r>
      <w:r w:rsidR="009A10D6" w:rsidRPr="000048A5">
        <w:rPr>
          <w:rFonts w:cs="Times New Roman"/>
          <w:lang w:val="en-GB"/>
        </w:rPr>
        <w:t xml:space="preserve">, </w:t>
      </w:r>
      <w:r w:rsidR="00C0162E" w:rsidRPr="000048A5">
        <w:rPr>
          <w:rFonts w:cs="Times New Roman"/>
          <w:bCs/>
        </w:rPr>
        <w:t>Joint Working Party on Trade and Environment Greening Regional Trade Agreements - Subsidies Related to Energy and Environmental Goods 2019, 3.1</w:t>
      </w:r>
      <w:r w:rsidR="00650775" w:rsidRPr="000048A5">
        <w:rPr>
          <w:rFonts w:cs="Times New Roman"/>
          <w:bCs/>
        </w:rPr>
        <w:t>;</w:t>
      </w:r>
      <w:r w:rsidR="00514227">
        <w:rPr>
          <w:rFonts w:cs="Times New Roman"/>
          <w:bCs/>
        </w:rPr>
        <w:t xml:space="preserve"> </w:t>
      </w:r>
      <w:r w:rsidR="00514227">
        <w:rPr>
          <w:rFonts w:cs="Times New Roman"/>
        </w:rPr>
        <w:t xml:space="preserve">OECD, </w:t>
      </w:r>
      <w:r w:rsidR="00514227" w:rsidRPr="0012654B">
        <w:rPr>
          <w:rFonts w:cs="Times New Roman"/>
          <w:i/>
          <w:iCs/>
        </w:rPr>
        <w:t>Overcoming Barriers to International Investment in Clean Energy</w:t>
      </w:r>
      <w:r w:rsidR="00514227">
        <w:rPr>
          <w:rFonts w:cs="Times New Roman"/>
        </w:rPr>
        <w:t xml:space="preserve">, Green Finance and Investment (OECD Publishing, 2015), p.64, </w:t>
      </w:r>
      <w:r w:rsidR="00650775" w:rsidRPr="000048A5">
        <w:rPr>
          <w:rFonts w:cs="Times New Roman"/>
          <w:bCs/>
        </w:rPr>
        <w:t xml:space="preserve"> </w:t>
      </w:r>
      <w:hyperlink r:id="rId8" w:anchor="page66" w:history="1">
        <w:r w:rsidR="00650775" w:rsidRPr="000048A5">
          <w:rPr>
            <w:rStyle w:val="Hyperlink"/>
            <w:rFonts w:cs="Times New Roman"/>
            <w:bCs/>
          </w:rPr>
          <w:t>https://read.oecd-ilibrary.org/environment/overcoming-barriers-to-international-investment-in-clean-energy_9789264227064-en#page66</w:t>
        </w:r>
      </w:hyperlink>
      <w:r w:rsidR="00514227">
        <w:rPr>
          <w:rFonts w:cs="Times New Roman"/>
          <w:bCs/>
        </w:rPr>
        <w:t>.</w:t>
      </w:r>
    </w:p>
  </w:footnote>
  <w:footnote w:id="21">
    <w:p w14:paraId="38B599BF" w14:textId="0D1FC4A1" w:rsidR="00650775" w:rsidRPr="000048A5" w:rsidRDefault="00650775">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12654B">
        <w:rPr>
          <w:rFonts w:cs="Times New Roman"/>
        </w:rPr>
        <w:t xml:space="preserve">OECD, </w:t>
      </w:r>
      <w:r w:rsidR="0012654B" w:rsidRPr="0012654B">
        <w:rPr>
          <w:rFonts w:cs="Times New Roman"/>
          <w:i/>
          <w:iCs/>
        </w:rPr>
        <w:t>Overcoming Barriers to International Investment in Clean Energy</w:t>
      </w:r>
      <w:r w:rsidR="0012654B">
        <w:rPr>
          <w:rFonts w:cs="Times New Roman"/>
        </w:rPr>
        <w:t xml:space="preserve">, Green Finance and Investment (OECD Publishing, 2015), p.57, </w:t>
      </w:r>
      <w:hyperlink r:id="rId9" w:anchor="page66" w:history="1">
        <w:r w:rsidR="0012654B" w:rsidRPr="00F461D9">
          <w:rPr>
            <w:rStyle w:val="Hyperlink"/>
            <w:rFonts w:cs="Times New Roman"/>
          </w:rPr>
          <w:t>https://read.oecd-ilibrary.org/environment/overcoming-barriers-to-international-investment-in-clean-energy_9789264227064-en#page66</w:t>
        </w:r>
      </w:hyperlink>
      <w:r w:rsidRPr="000048A5">
        <w:rPr>
          <w:rFonts w:cs="Times New Roman"/>
        </w:rPr>
        <w:t>.</w:t>
      </w:r>
    </w:p>
  </w:footnote>
  <w:footnote w:id="22">
    <w:p w14:paraId="29D80C34" w14:textId="5B057797" w:rsidR="00EB20B1" w:rsidRPr="000048A5" w:rsidRDefault="00EB20B1">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proofErr w:type="spellStart"/>
      <w:r w:rsidR="0012654B">
        <w:rPr>
          <w:rFonts w:cs="Times New Roman"/>
        </w:rPr>
        <w:t>Foxwell</w:t>
      </w:r>
      <w:proofErr w:type="spellEnd"/>
      <w:r w:rsidR="0012654B">
        <w:rPr>
          <w:rFonts w:cs="Times New Roman"/>
        </w:rPr>
        <w:t xml:space="preserve">, “Top-down approach to local content ‘drove costs up’ in France”, Riviera (June 11, 2019), </w:t>
      </w:r>
      <w:hyperlink r:id="rId10" w:history="1">
        <w:r w:rsidR="0012654B" w:rsidRPr="00F461D9">
          <w:rPr>
            <w:rStyle w:val="Hyperlink"/>
            <w:rFonts w:cs="Times New Roman"/>
          </w:rPr>
          <w:t>https://www.rivieramm.com/news-content-hub/top-down-approach-to-local-content-lsquodrove-costs-uprsquo-in-france-55156</w:t>
        </w:r>
      </w:hyperlink>
      <w:r w:rsidR="008A3BA5">
        <w:rPr>
          <w:rFonts w:cs="Times New Roman"/>
        </w:rPr>
        <w:t>; Greentech</w:t>
      </w:r>
      <w:r w:rsidR="00DC597F">
        <w:rPr>
          <w:rFonts w:cs="Times New Roman"/>
        </w:rPr>
        <w:t xml:space="preserve"> Media, “</w:t>
      </w:r>
      <w:r w:rsidR="008A3BA5" w:rsidRPr="008A3BA5">
        <w:rPr>
          <w:rFonts w:cs="Times New Roman"/>
        </w:rPr>
        <w:t>Inside New York’s Push to Be ‘Center of Gravity’ for US Offshore Wind</w:t>
      </w:r>
      <w:r w:rsidR="00DC597F">
        <w:rPr>
          <w:rFonts w:cs="Times New Roman"/>
        </w:rPr>
        <w:t>”</w:t>
      </w:r>
      <w:r w:rsidR="0012654B">
        <w:rPr>
          <w:rFonts w:cs="Times New Roman"/>
        </w:rPr>
        <w:t xml:space="preserve"> (</w:t>
      </w:r>
      <w:r w:rsidR="00DC597F">
        <w:rPr>
          <w:rFonts w:cs="Times New Roman"/>
        </w:rPr>
        <w:t>January 21, 2020</w:t>
      </w:r>
      <w:r w:rsidR="0012654B">
        <w:rPr>
          <w:rFonts w:cs="Times New Roman"/>
        </w:rPr>
        <w:t>)</w:t>
      </w:r>
      <w:r w:rsidR="00DC597F">
        <w:rPr>
          <w:rFonts w:cs="Times New Roman"/>
        </w:rPr>
        <w:t xml:space="preserve">, </w:t>
      </w:r>
      <w:hyperlink r:id="rId11" w:history="1">
        <w:r w:rsidR="00DC597F" w:rsidRPr="00467536">
          <w:rPr>
            <w:rStyle w:val="Hyperlink"/>
            <w:rFonts w:cs="Times New Roman"/>
          </w:rPr>
          <w:t>https://www.greentechmedia.com/articles/read/inside-new-yorks-push-to-be-center-of-gravity-for-us-offshore-wind</w:t>
        </w:r>
      </w:hyperlink>
      <w:r w:rsidR="00EF35BA">
        <w:rPr>
          <w:rFonts w:cs="Times New Roman"/>
        </w:rPr>
        <w:t xml:space="preserve">; Sustainable Prosperity, “Domestic Content Requirements for Renewable Energy Manufacturing, April 2012, </w:t>
      </w:r>
      <w:hyperlink r:id="rId12" w:history="1">
        <w:r w:rsidR="00EF35BA" w:rsidRPr="00467536">
          <w:rPr>
            <w:rStyle w:val="Hyperlink"/>
            <w:rFonts w:cs="Times New Roman"/>
          </w:rPr>
          <w:t>https://institute.smartprosperity.ca/sites/default/files/publications/files/Domestic%20Content%20Requirements%20for%20Renewable%20Energy%20Manufacturing.pdf</w:t>
        </w:r>
      </w:hyperlink>
      <w:r w:rsidR="00EF35BA">
        <w:rPr>
          <w:rFonts w:cs="Times New Roman"/>
        </w:rPr>
        <w:t xml:space="preserve">.  </w:t>
      </w:r>
    </w:p>
  </w:footnote>
  <w:footnote w:id="23">
    <w:p w14:paraId="6058FC3B" w14:textId="39F667B8" w:rsidR="0073128C" w:rsidRPr="000048A5" w:rsidRDefault="0073128C" w:rsidP="0073128C">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12654B">
        <w:rPr>
          <w:rFonts w:cs="Times New Roman"/>
        </w:rPr>
        <w:t xml:space="preserve">Sharma, “How important is local content to US offshore wind, A Word About Wind (September 5, 2018), </w:t>
      </w:r>
      <w:hyperlink r:id="rId13" w:history="1">
        <w:r w:rsidR="0012654B" w:rsidRPr="00F461D9">
          <w:rPr>
            <w:rStyle w:val="Hyperlink"/>
            <w:rFonts w:cs="Times New Roman"/>
          </w:rPr>
          <w:t>http://membership.awordaboutwind.com/blog/how-important-is-local-content-to-us-offshore-wind</w:t>
        </w:r>
      </w:hyperlink>
      <w:r w:rsidRPr="000048A5">
        <w:rPr>
          <w:rFonts w:cs="Times New Roman"/>
        </w:rPr>
        <w:t xml:space="preserve"> </w:t>
      </w:r>
    </w:p>
  </w:footnote>
  <w:footnote w:id="24">
    <w:p w14:paraId="50D15F5D" w14:textId="77777777" w:rsidR="00107A20" w:rsidRPr="000048A5" w:rsidRDefault="00107A20" w:rsidP="00107A20">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0D20F6" w:rsidRPr="000048A5">
        <w:rPr>
          <w:rFonts w:cs="Times New Roman"/>
          <w:lang w:val="en-GB"/>
        </w:rPr>
        <w:t>Sauvé, “</w:t>
      </w:r>
      <w:r w:rsidR="000D20F6" w:rsidRPr="000048A5">
        <w:rPr>
          <w:bCs/>
        </w:rPr>
        <w:t>Life beyond local content: Exploring alternative measures of industry support in the context of WTO accession”, Journal of International Trade, Vol. 1 (2016)</w:t>
      </w:r>
      <w:r w:rsidRPr="000048A5">
        <w:rPr>
          <w:rFonts w:cs="Times New Roman"/>
        </w:rPr>
        <w:t>, pp.20-21.</w:t>
      </w:r>
    </w:p>
  </w:footnote>
  <w:footnote w:id="25">
    <w:p w14:paraId="0B445D43" w14:textId="77777777" w:rsidR="009A10D6" w:rsidRPr="000048A5" w:rsidRDefault="009A10D6">
      <w:pPr>
        <w:pStyle w:val="FootnoteText"/>
        <w:rPr>
          <w:lang w:val="en-GB"/>
        </w:rPr>
      </w:pPr>
      <w:r w:rsidRPr="000048A5">
        <w:rPr>
          <w:rStyle w:val="FootnoteReference"/>
        </w:rPr>
        <w:footnoteRef/>
      </w:r>
      <w:r w:rsidRPr="000048A5">
        <w:t xml:space="preserve"> </w:t>
      </w:r>
      <w:r w:rsidRPr="000048A5">
        <w:rPr>
          <w:lang w:val="en-GB"/>
        </w:rPr>
        <w:tab/>
        <w:t>OCED, Joint Working Party on Trade and Environment Greening Regional Trade Agreements - Subsidies Related to Energy and Environmental Goods 2019, 3.1; https://read.oecd-ilibrary.org/environment/overcoming-barriers-to-international-investment-in-clean-energy_9789264227064-en#page59, p.65; Local Content Requirements: Report on a Global Problem 2013, p. 25, 40, http://files.publicaffairs.geblogs.com/files/2014/08/Local-Content-Requirements-Report-on-a-Global-Problem.pdf.</w:t>
      </w:r>
    </w:p>
  </w:footnote>
  <w:footnote w:id="26">
    <w:p w14:paraId="58BA8B16" w14:textId="77777777" w:rsidR="00107A20" w:rsidRPr="000048A5" w:rsidRDefault="00107A20">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0D20F6" w:rsidRPr="000048A5">
        <w:rPr>
          <w:rFonts w:cs="Times New Roman"/>
          <w:lang w:val="en-GB"/>
        </w:rPr>
        <w:t>Sauvé, “</w:t>
      </w:r>
      <w:r w:rsidR="000D20F6" w:rsidRPr="000048A5">
        <w:rPr>
          <w:bCs/>
        </w:rPr>
        <w:t xml:space="preserve">Life beyond local content: Exploring alternative measures of industry support in the context of WTO accession”, Journal of International Trade, Vol. 1 (2016), </w:t>
      </w:r>
      <w:r w:rsidRPr="000048A5">
        <w:rPr>
          <w:rFonts w:cs="Times New Roman"/>
          <w:lang w:val="en-GB"/>
        </w:rPr>
        <w:t>p.24.</w:t>
      </w:r>
    </w:p>
  </w:footnote>
  <w:footnote w:id="27">
    <w:p w14:paraId="0776AA3B" w14:textId="77777777" w:rsidR="005533F3" w:rsidRPr="000048A5" w:rsidRDefault="005533F3">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763C9E">
        <w:rPr>
          <w:rFonts w:cs="Times New Roman"/>
        </w:rPr>
        <w:t xml:space="preserve">OECD Guidelines for Multinational Enterprises, 2011 Edition, </w:t>
      </w:r>
      <w:hyperlink r:id="rId14" w:history="1">
        <w:r w:rsidR="00763C9E" w:rsidRPr="00467536">
          <w:rPr>
            <w:rStyle w:val="Hyperlink"/>
            <w:rFonts w:cs="Times New Roman"/>
          </w:rPr>
          <w:t>http://www.oecd.org/daf/inv/mne/48004323.pdf</w:t>
        </w:r>
      </w:hyperlink>
      <w:r w:rsidRPr="000048A5">
        <w:rPr>
          <w:rFonts w:cs="Times New Roman"/>
        </w:rPr>
        <w:t>, p.19</w:t>
      </w:r>
      <w:r w:rsidR="00C21FB6" w:rsidRPr="000048A5">
        <w:rPr>
          <w:rFonts w:cs="Times New Roman"/>
        </w:rPr>
        <w:t xml:space="preserve"> [emphasis added].</w:t>
      </w:r>
    </w:p>
  </w:footnote>
  <w:footnote w:id="28">
    <w:p w14:paraId="6E6D47BD" w14:textId="77777777" w:rsidR="00A95E6E" w:rsidRPr="00A95E6E" w:rsidRDefault="00A95E6E">
      <w:pPr>
        <w:pStyle w:val="FootnoteText"/>
        <w:rPr>
          <w:lang w:val="en-GB"/>
        </w:rPr>
      </w:pPr>
      <w:r>
        <w:rPr>
          <w:rStyle w:val="FootnoteReference"/>
        </w:rPr>
        <w:footnoteRef/>
      </w:r>
      <w:r>
        <w:t xml:space="preserve"> </w:t>
      </w:r>
      <w:r>
        <w:rPr>
          <w:lang w:val="en-GB"/>
        </w:rPr>
        <w:tab/>
      </w:r>
      <w:r w:rsidR="00855517">
        <w:rPr>
          <w:lang w:val="en-GB"/>
        </w:rPr>
        <w:t xml:space="preserve">UN Department of Economic and Social Affairs, Sustainable Development Goals, </w:t>
      </w:r>
      <w:hyperlink r:id="rId15" w:history="1">
        <w:r w:rsidR="00855517" w:rsidRPr="00467536">
          <w:rPr>
            <w:rStyle w:val="Hyperlink"/>
            <w:lang w:val="en-GB"/>
          </w:rPr>
          <w:t>https://sdgs.un.org/goals</w:t>
        </w:r>
      </w:hyperlink>
      <w:r w:rsidR="00855517">
        <w:rPr>
          <w:lang w:val="en-GB"/>
        </w:rPr>
        <w:t xml:space="preserve">. </w:t>
      </w:r>
    </w:p>
  </w:footnote>
  <w:footnote w:id="29">
    <w:p w14:paraId="7166013D" w14:textId="77777777" w:rsidR="00094A6C" w:rsidRPr="000048A5" w:rsidRDefault="00094A6C" w:rsidP="00094A6C">
      <w:pPr>
        <w:pStyle w:val="FootnoteText"/>
        <w:rPr>
          <w:rFonts w:cs="Times New Roman"/>
          <w:lang w:val="en-GB"/>
        </w:rPr>
      </w:pPr>
      <w:r w:rsidRPr="000048A5">
        <w:rPr>
          <w:rStyle w:val="FootnoteReference"/>
          <w:rFonts w:cs="Times New Roman"/>
        </w:rPr>
        <w:footnoteRef/>
      </w:r>
      <w:r w:rsidRPr="000048A5">
        <w:rPr>
          <w:rFonts w:cs="Times New Roman"/>
        </w:rPr>
        <w:t xml:space="preserve">  </w:t>
      </w:r>
      <w:r w:rsidR="000D20F6" w:rsidRPr="000048A5">
        <w:rPr>
          <w:rFonts w:cs="Times New Roman"/>
        </w:rPr>
        <w:tab/>
      </w:r>
      <w:r w:rsidR="00F61D8A">
        <w:rPr>
          <w:rFonts w:cs="Times New Roman"/>
        </w:rPr>
        <w:t xml:space="preserve">UK Government Policy Paper, Offshore Wind: Sector Deal, March 8, 2019, </w:t>
      </w:r>
      <w:hyperlink r:id="rId16" w:history="1">
        <w:r w:rsidR="00F61D8A" w:rsidRPr="00467536">
          <w:rPr>
            <w:rStyle w:val="Hyperlink"/>
            <w:rFonts w:cs="Times New Roman"/>
          </w:rPr>
          <w:t>https://www.gov.uk/government/publications/offshore-wind-sector-deal</w:t>
        </w:r>
      </w:hyperlink>
      <w:r w:rsidRPr="000048A5">
        <w:rPr>
          <w:rFonts w:cs="Times New Roman"/>
        </w:rPr>
        <w:t>;</w:t>
      </w:r>
      <w:r w:rsidR="00CF2689" w:rsidRPr="000048A5">
        <w:rPr>
          <w:rFonts w:cs="Times New Roman"/>
        </w:rPr>
        <w:t xml:space="preserve"> </w:t>
      </w:r>
      <w:r w:rsidR="00F61D8A">
        <w:rPr>
          <w:rFonts w:cs="Times New Roman"/>
        </w:rPr>
        <w:t xml:space="preserve">CATAPULT, “The Economic Value of Offshore Wind: Benefits to the UK of Supporting the Industry”, March 2017, </w:t>
      </w:r>
      <w:hyperlink r:id="rId17" w:history="1">
        <w:r w:rsidR="00F61D8A" w:rsidRPr="00467536">
          <w:rPr>
            <w:rStyle w:val="Hyperlink"/>
            <w:rFonts w:cs="Times New Roman"/>
          </w:rPr>
          <w:t>https://ore.catapult.org.uk/app/uploads/2017/12/SP-0012-The-Economic-Value-of-Offshore-Wind-1.pdf</w:t>
        </w:r>
      </w:hyperlink>
      <w:r w:rsidR="00F61D8A">
        <w:rPr>
          <w:rFonts w:cs="Times New Roman"/>
        </w:rPr>
        <w:t>.</w:t>
      </w:r>
    </w:p>
  </w:footnote>
  <w:footnote w:id="30">
    <w:p w14:paraId="714A6A6F" w14:textId="0A4E8860" w:rsidR="009A5EB5" w:rsidRPr="00F1135B" w:rsidRDefault="0010123F" w:rsidP="009A5EB5">
      <w:pPr>
        <w:pStyle w:val="FootnoteText"/>
        <w:spacing w:after="0"/>
        <w:ind w:left="709" w:hanging="709"/>
        <w:rPr>
          <w:rStyle w:val="Hyperlink"/>
          <w:rFonts w:cs="Times New Roman"/>
          <w:color w:val="auto"/>
          <w:u w:val="none"/>
        </w:rPr>
      </w:pPr>
      <w:r w:rsidRPr="000048A5">
        <w:rPr>
          <w:rStyle w:val="FootnoteReference"/>
          <w:rFonts w:cs="Times New Roman"/>
        </w:rPr>
        <w:footnoteRef/>
      </w:r>
      <w:r w:rsidR="007033D8">
        <w:t xml:space="preserve"> </w:t>
      </w:r>
      <w:r w:rsidR="009A5EB5">
        <w:tab/>
        <w:t xml:space="preserve">BVG Associates, “Methodology for measuring the UK content of UK </w:t>
      </w:r>
      <w:proofErr w:type="spellStart"/>
      <w:r w:rsidR="009A5EB5">
        <w:t>offhore</w:t>
      </w:r>
      <w:proofErr w:type="spellEnd"/>
      <w:r w:rsidR="009A5EB5">
        <w:t xml:space="preserve"> wind farms”, May 2015, </w:t>
      </w:r>
      <w:hyperlink r:id="rId18" w:history="1">
        <w:r w:rsidR="009A5EB5" w:rsidRPr="00467536">
          <w:rPr>
            <w:rStyle w:val="Hyperlink"/>
            <w:rFonts w:cs="Times New Roman"/>
          </w:rPr>
          <w:t>https://cdn.ymaws.com/www.renewableuk.com/resource/resmgr/Publications/Guides/uk_content_methodology.pdf</w:t>
        </w:r>
      </w:hyperlink>
      <w:r w:rsidRPr="000048A5">
        <w:rPr>
          <w:rFonts w:cs="Times New Roman"/>
        </w:rPr>
        <w:t>;</w:t>
      </w:r>
      <w:r w:rsidR="009A5EB5">
        <w:rPr>
          <w:rFonts w:cs="Times New Roman"/>
        </w:rPr>
        <w:t xml:space="preserve"> BVG Associates, “50% UK Content: Is that all?”, 2013,</w:t>
      </w:r>
      <w:r w:rsidRPr="000048A5">
        <w:rPr>
          <w:rFonts w:cs="Times New Roman"/>
        </w:rPr>
        <w:t xml:space="preserve"> </w:t>
      </w:r>
      <w:hyperlink r:id="rId19" w:history="1">
        <w:r w:rsidRPr="000048A5">
          <w:rPr>
            <w:rStyle w:val="Hyperlink"/>
            <w:rFonts w:cs="Times New Roman"/>
          </w:rPr>
          <w:t>https://bvgassociates.com/wp-content/uploads/2016/08/1306-BVGA-RUK2013-Offshore-Roberts.pdf</w:t>
        </w:r>
      </w:hyperlink>
      <w:r w:rsidR="009A5EB5">
        <w:rPr>
          <w:rStyle w:val="Hyperlink"/>
          <w:rFonts w:cs="Times New Roman"/>
        </w:rPr>
        <w:t>.</w:t>
      </w:r>
      <w:r w:rsidR="00F1135B">
        <w:rPr>
          <w:rStyle w:val="Hyperlink"/>
          <w:rFonts w:cs="Times New Roman"/>
          <w:color w:val="auto"/>
          <w:u w:val="none"/>
        </w:rPr>
        <w:t xml:space="preserve">  Note, however, that </w:t>
      </w:r>
      <w:r w:rsidR="00AE15D4">
        <w:rPr>
          <w:rStyle w:val="Hyperlink"/>
          <w:rFonts w:cs="Times New Roman"/>
          <w:color w:val="auto"/>
          <w:u w:val="none"/>
        </w:rPr>
        <w:t xml:space="preserve">international </w:t>
      </w:r>
      <w:r w:rsidR="00F1135B">
        <w:rPr>
          <w:rStyle w:val="Hyperlink"/>
          <w:rFonts w:cs="Times New Roman"/>
          <w:color w:val="auto"/>
          <w:u w:val="none"/>
        </w:rPr>
        <w:t xml:space="preserve">trade law restrictions on LCRs may extend to “voluntary” measures. </w:t>
      </w:r>
      <w:r w:rsidR="00AE15D4">
        <w:rPr>
          <w:rStyle w:val="Hyperlink"/>
          <w:rFonts w:cs="Times New Roman"/>
          <w:color w:val="auto"/>
          <w:u w:val="none"/>
        </w:rPr>
        <w:t xml:space="preserve"> </w:t>
      </w:r>
      <w:r w:rsidR="00F1135B">
        <w:rPr>
          <w:rStyle w:val="Hyperlink"/>
          <w:rFonts w:cs="Times New Roman"/>
          <w:color w:val="auto"/>
          <w:u w:val="none"/>
        </w:rPr>
        <w:t xml:space="preserve">See </w:t>
      </w:r>
      <w:r w:rsidR="00F1135B" w:rsidRPr="00F1135B">
        <w:rPr>
          <w:rStyle w:val="Hyperlink"/>
          <w:rFonts w:cs="Times New Roman"/>
          <w:i/>
          <w:iCs/>
          <w:color w:val="auto"/>
          <w:u w:val="none"/>
        </w:rPr>
        <w:t>US</w:t>
      </w:r>
      <w:r w:rsidR="00AE15D4">
        <w:rPr>
          <w:rStyle w:val="Hyperlink"/>
          <w:rFonts w:cs="Times New Roman"/>
          <w:i/>
          <w:iCs/>
          <w:color w:val="auto"/>
          <w:u w:val="none"/>
        </w:rPr>
        <w:t xml:space="preserve"> </w:t>
      </w:r>
      <w:r w:rsidR="00F1135B" w:rsidRPr="00F1135B">
        <w:rPr>
          <w:rStyle w:val="Hyperlink"/>
          <w:rFonts w:cs="Times New Roman"/>
          <w:i/>
          <w:iCs/>
          <w:color w:val="auto"/>
          <w:u w:val="none"/>
        </w:rPr>
        <w:t>-- Measures Concerning the Importation and Marketing and Sale of Tuna and Tuna Products</w:t>
      </w:r>
      <w:r w:rsidR="00F1135B" w:rsidRPr="00F1135B">
        <w:rPr>
          <w:rStyle w:val="Hyperlink"/>
          <w:rFonts w:cs="Times New Roman"/>
          <w:color w:val="auto"/>
          <w:u w:val="none"/>
        </w:rPr>
        <w:t xml:space="preserve"> (AB Report 2012), </w:t>
      </w:r>
      <w:hyperlink r:id="rId20" w:history="1">
        <w:r w:rsidR="00F1135B" w:rsidRPr="00F461D9">
          <w:rPr>
            <w:rStyle w:val="Hyperlink"/>
            <w:rFonts w:cs="Times New Roman"/>
          </w:rPr>
          <w:t>https://www.wto.org/english/tratop_e/dispu_e/381abr_e.pdf</w:t>
        </w:r>
      </w:hyperlink>
      <w:r w:rsidR="00F1135B">
        <w:rPr>
          <w:rStyle w:val="Hyperlink"/>
          <w:rFonts w:cs="Times New Roman"/>
          <w:color w:val="auto"/>
          <w:u w:val="none"/>
        </w:rPr>
        <w:t xml:space="preserve">.  See also </w:t>
      </w:r>
      <w:proofErr w:type="spellStart"/>
      <w:r w:rsidR="00F1135B">
        <w:rPr>
          <w:rStyle w:val="Hyperlink"/>
          <w:rFonts w:cs="Times New Roman"/>
          <w:color w:val="auto"/>
          <w:u w:val="none"/>
        </w:rPr>
        <w:t>Truijillo</w:t>
      </w:r>
      <w:proofErr w:type="spellEnd"/>
      <w:r w:rsidR="00F1135B">
        <w:rPr>
          <w:rStyle w:val="Hyperlink"/>
          <w:rFonts w:cs="Times New Roman"/>
          <w:color w:val="auto"/>
          <w:u w:val="none"/>
        </w:rPr>
        <w:t xml:space="preserve">, “The WTO Appellate Body Knocks Down U.S. ‘Dolphin-Safe’ Tuna Labels But Leaves a Crack for PPMs”, American Society of International Law Vol. 16, Issue 25 (July 26, 2012), </w:t>
      </w:r>
      <w:hyperlink r:id="rId21" w:history="1">
        <w:r w:rsidR="00F1135B" w:rsidRPr="00F461D9">
          <w:rPr>
            <w:rStyle w:val="Hyperlink"/>
            <w:rFonts w:cs="Times New Roman"/>
          </w:rPr>
          <w:t>https://www.asil.org/insights/volume/16/issue/25/wto-appellate-body-knocks-down-us-“dolphin-safe”-tuna-labels-leaves</w:t>
        </w:r>
      </w:hyperlink>
      <w:r w:rsidR="00F1135B">
        <w:rPr>
          <w:rStyle w:val="Hyperlink"/>
          <w:rFonts w:cs="Times New Roman"/>
          <w:color w:val="auto"/>
          <w:u w:val="none"/>
        </w:rPr>
        <w:t xml:space="preserve">; Trujillo, </w:t>
      </w:r>
      <w:r w:rsidR="0040694F">
        <w:rPr>
          <w:rStyle w:val="Hyperlink"/>
          <w:rFonts w:cs="Times New Roman"/>
          <w:color w:val="auto"/>
          <w:u w:val="none"/>
        </w:rPr>
        <w:t>“</w:t>
      </w:r>
      <w:r w:rsidR="00F1135B" w:rsidRPr="00F1135B">
        <w:rPr>
          <w:rStyle w:val="Hyperlink"/>
          <w:rFonts w:cs="Times New Roman"/>
          <w:color w:val="auto"/>
          <w:u w:val="none"/>
        </w:rPr>
        <w:t>A Dialogical Approach to Trade and Environment</w:t>
      </w:r>
      <w:r w:rsidR="0040694F">
        <w:rPr>
          <w:rStyle w:val="Hyperlink"/>
          <w:rFonts w:cs="Times New Roman"/>
          <w:color w:val="auto"/>
          <w:u w:val="none"/>
        </w:rPr>
        <w:t>”</w:t>
      </w:r>
      <w:r w:rsidR="00F1135B">
        <w:rPr>
          <w:rStyle w:val="Hyperlink"/>
          <w:rFonts w:cs="Times New Roman"/>
          <w:color w:val="auto"/>
          <w:u w:val="none"/>
        </w:rPr>
        <w:t xml:space="preserve">, </w:t>
      </w:r>
      <w:r w:rsidR="00F1135B" w:rsidRPr="00F1135B">
        <w:rPr>
          <w:rStyle w:val="Hyperlink"/>
          <w:rFonts w:cs="Times New Roman"/>
          <w:color w:val="auto"/>
          <w:u w:val="none"/>
        </w:rPr>
        <w:t>Journal of International Economic Law Vol</w:t>
      </w:r>
      <w:r w:rsidR="00F1135B">
        <w:rPr>
          <w:rStyle w:val="Hyperlink"/>
          <w:rFonts w:cs="Times New Roman"/>
          <w:color w:val="auto"/>
          <w:u w:val="none"/>
        </w:rPr>
        <w:t>.</w:t>
      </w:r>
      <w:r w:rsidR="00F1135B" w:rsidRPr="00F1135B">
        <w:rPr>
          <w:rStyle w:val="Hyperlink"/>
          <w:rFonts w:cs="Times New Roman"/>
          <w:color w:val="auto"/>
          <w:u w:val="none"/>
        </w:rPr>
        <w:t xml:space="preserve"> 16</w:t>
      </w:r>
      <w:r w:rsidR="00F1135B">
        <w:rPr>
          <w:rStyle w:val="Hyperlink"/>
          <w:rFonts w:cs="Times New Roman"/>
          <w:color w:val="auto"/>
          <w:u w:val="none"/>
        </w:rPr>
        <w:t xml:space="preserve">, </w:t>
      </w:r>
      <w:r w:rsidR="00F1135B" w:rsidRPr="00F1135B">
        <w:rPr>
          <w:rStyle w:val="Hyperlink"/>
          <w:rFonts w:cs="Times New Roman"/>
          <w:color w:val="auto"/>
          <w:u w:val="none"/>
        </w:rPr>
        <w:t>Issue 3</w:t>
      </w:r>
      <w:r w:rsidR="00F1135B">
        <w:rPr>
          <w:rStyle w:val="Hyperlink"/>
          <w:rFonts w:cs="Times New Roman"/>
          <w:color w:val="auto"/>
          <w:u w:val="none"/>
        </w:rPr>
        <w:t xml:space="preserve"> (</w:t>
      </w:r>
      <w:r w:rsidR="00F1135B" w:rsidRPr="00F1135B">
        <w:rPr>
          <w:rStyle w:val="Hyperlink"/>
          <w:rFonts w:cs="Times New Roman"/>
          <w:color w:val="auto"/>
          <w:u w:val="none"/>
        </w:rPr>
        <w:t>September 2013</w:t>
      </w:r>
      <w:r w:rsidR="00F1135B">
        <w:rPr>
          <w:rStyle w:val="Hyperlink"/>
          <w:rFonts w:cs="Times New Roman"/>
          <w:color w:val="auto"/>
          <w:u w:val="none"/>
        </w:rPr>
        <w:t xml:space="preserve">), </w:t>
      </w:r>
      <w:hyperlink r:id="rId22" w:history="1">
        <w:r w:rsidR="00F1135B" w:rsidRPr="00F461D9">
          <w:rPr>
            <w:rStyle w:val="Hyperlink"/>
            <w:rFonts w:cs="Times New Roman"/>
          </w:rPr>
          <w:t>https://doi.org/10.1093/jiel/jgt019</w:t>
        </w:r>
      </w:hyperlink>
      <w:r w:rsidR="00F1135B">
        <w:rPr>
          <w:rStyle w:val="Hyperlink"/>
          <w:rFonts w:cs="Times New Roman"/>
          <w:color w:val="auto"/>
          <w:u w:val="none"/>
        </w:rPr>
        <w:t xml:space="preserve">. </w:t>
      </w:r>
    </w:p>
    <w:p w14:paraId="4EE2061B" w14:textId="77777777" w:rsidR="0010123F" w:rsidRPr="000048A5" w:rsidRDefault="0010123F" w:rsidP="009A5EB5">
      <w:pPr>
        <w:pStyle w:val="FootnoteText"/>
        <w:spacing w:after="0"/>
        <w:ind w:left="709" w:hanging="709"/>
        <w:rPr>
          <w:rFonts w:cs="Times New Roman"/>
          <w:lang w:val="en-GB"/>
        </w:rPr>
      </w:pPr>
      <w:r w:rsidRPr="000048A5">
        <w:rPr>
          <w:rFonts w:cs="Times New Roman"/>
        </w:rPr>
        <w:t xml:space="preserve"> </w:t>
      </w:r>
    </w:p>
  </w:footnote>
  <w:footnote w:id="31">
    <w:p w14:paraId="5011154C" w14:textId="1B8E4F02" w:rsidR="0010123F" w:rsidRPr="00B864AF" w:rsidRDefault="0010123F" w:rsidP="009A5EB5">
      <w:pPr>
        <w:pStyle w:val="FootnoteText"/>
        <w:ind w:left="709" w:hanging="709"/>
        <w:rPr>
          <w:rFonts w:cs="Times New Roman"/>
        </w:rPr>
      </w:pPr>
      <w:r w:rsidRPr="000048A5">
        <w:rPr>
          <w:rStyle w:val="FootnoteReference"/>
          <w:rFonts w:cs="Times New Roman"/>
        </w:rPr>
        <w:footnoteRef/>
      </w:r>
      <w:r w:rsidR="009A5EB5">
        <w:rPr>
          <w:rFonts w:cs="Times New Roman"/>
        </w:rPr>
        <w:t xml:space="preserve">  </w:t>
      </w:r>
      <w:r w:rsidR="009A5EB5">
        <w:rPr>
          <w:rFonts w:cs="Times New Roman"/>
        </w:rPr>
        <w:tab/>
      </w:r>
      <w:proofErr w:type="spellStart"/>
      <w:r w:rsidR="009A5EB5">
        <w:rPr>
          <w:rFonts w:cs="Times New Roman"/>
        </w:rPr>
        <w:t>RenewableUK</w:t>
      </w:r>
      <w:proofErr w:type="spellEnd"/>
      <w:r w:rsidR="009A5EB5">
        <w:rPr>
          <w:rFonts w:cs="Times New Roman"/>
        </w:rPr>
        <w:t xml:space="preserve">, “A Guide to Measuring the UK Content of Offshore Wind Farms”, May 2015, </w:t>
      </w:r>
      <w:hyperlink r:id="rId23" w:history="1">
        <w:r w:rsidR="009A5EB5" w:rsidRPr="00467536">
          <w:rPr>
            <w:rStyle w:val="Hyperlink"/>
            <w:rFonts w:cs="Times New Roman"/>
          </w:rPr>
          <w:t>https://cdn.ymaws.com/www.renewableuk.com/resource/resmgr/publications/guides/guide_to_measuring_uk_conten.pdf</w:t>
        </w:r>
      </w:hyperlink>
      <w:r w:rsidR="009A5EB5">
        <w:rPr>
          <w:rFonts w:cs="Times New Roman"/>
        </w:rPr>
        <w:t xml:space="preserve">, </w:t>
      </w:r>
      <w:r w:rsidRPr="000048A5">
        <w:rPr>
          <w:rFonts w:cs="Times New Roman"/>
        </w:rPr>
        <w:t>p.4.</w:t>
      </w:r>
      <w:r w:rsidR="00F1135B">
        <w:rPr>
          <w:rFonts w:cs="Times New Roman"/>
        </w:rPr>
        <w:t xml:space="preserve">  </w:t>
      </w:r>
      <w:r w:rsidR="009A5EB5">
        <w:rPr>
          <w:rFonts w:cs="Times New Roman"/>
        </w:rPr>
        <w:t xml:space="preserve"> </w:t>
      </w:r>
    </w:p>
  </w:footnote>
  <w:footnote w:id="32">
    <w:p w14:paraId="3A6AD622" w14:textId="77777777" w:rsidR="000048A5" w:rsidRPr="000048A5" w:rsidRDefault="000048A5">
      <w:pPr>
        <w:pStyle w:val="FootnoteText"/>
        <w:rPr>
          <w:lang w:val="en-GB"/>
        </w:rPr>
      </w:pPr>
      <w:r>
        <w:rPr>
          <w:rStyle w:val="FootnoteReference"/>
        </w:rPr>
        <w:footnoteRef/>
      </w:r>
      <w:r>
        <w:t xml:space="preserve"> </w:t>
      </w:r>
      <w:r>
        <w:rPr>
          <w:lang w:val="en-GB"/>
        </w:rPr>
        <w:tab/>
      </w:r>
      <w:r w:rsidR="00763C9E">
        <w:rPr>
          <w:lang w:val="en-GB"/>
        </w:rPr>
        <w:t xml:space="preserve">Sabin </w:t>
      </w:r>
      <w:proofErr w:type="spellStart"/>
      <w:r w:rsidR="00763C9E">
        <w:rPr>
          <w:lang w:val="en-GB"/>
        </w:rPr>
        <w:t>Center</w:t>
      </w:r>
      <w:proofErr w:type="spellEnd"/>
      <w:r w:rsidR="00763C9E">
        <w:rPr>
          <w:lang w:val="en-GB"/>
        </w:rPr>
        <w:t xml:space="preserve"> for Climate Change Law, “Establish a Just Transition Working Group”, </w:t>
      </w:r>
      <w:hyperlink r:id="rId24" w:history="1">
        <w:r w:rsidR="00763C9E" w:rsidRPr="00467536">
          <w:rPr>
            <w:rStyle w:val="Hyperlink"/>
            <w:lang w:val="en-GB"/>
          </w:rPr>
          <w:t>https://climate.law.columbia.edu/content/establish-just-transition-working-group</w:t>
        </w:r>
      </w:hyperlink>
      <w:r w:rsidR="007C1D98">
        <w:rPr>
          <w:lang w:val="en-GB"/>
        </w:rPr>
        <w:t xml:space="preserve">.  </w:t>
      </w:r>
      <w:r>
        <w:rPr>
          <w:lang w:val="en-GB"/>
        </w:rPr>
        <w:t xml:space="preserve"> </w:t>
      </w:r>
    </w:p>
  </w:footnote>
  <w:footnote w:id="33">
    <w:p w14:paraId="2FA5A1CE" w14:textId="77777777" w:rsidR="000048A5" w:rsidRPr="000048A5" w:rsidRDefault="000048A5">
      <w:pPr>
        <w:pStyle w:val="FootnoteText"/>
        <w:rPr>
          <w:lang w:val="en-GB"/>
        </w:rPr>
      </w:pPr>
      <w:r>
        <w:rPr>
          <w:rStyle w:val="FootnoteReference"/>
        </w:rPr>
        <w:footnoteRef/>
      </w:r>
      <w:r>
        <w:t xml:space="preserve"> </w:t>
      </w:r>
      <w:r>
        <w:rPr>
          <w:lang w:val="en-GB"/>
        </w:rPr>
        <w:tab/>
      </w:r>
      <w:r w:rsidR="007C1D98">
        <w:rPr>
          <w:lang w:val="en-GB"/>
        </w:rPr>
        <w:t>New York State Climate Leadership and Community Protection Act,</w:t>
      </w:r>
      <w:r w:rsidRPr="000048A5">
        <w:rPr>
          <w:lang w:val="en-GB"/>
        </w:rPr>
        <w:t xml:space="preserve"> §2 ECL §75-0103(8)</w:t>
      </w:r>
      <w:r>
        <w:rPr>
          <w:lang w:val="en-GB"/>
        </w:rPr>
        <w:t xml:space="preserve">.  </w:t>
      </w:r>
    </w:p>
  </w:footnote>
  <w:footnote w:id="34">
    <w:p w14:paraId="003D324F" w14:textId="77777777" w:rsidR="006104FA" w:rsidRPr="009E21AD" w:rsidRDefault="006104FA" w:rsidP="006104FA">
      <w:pPr>
        <w:pStyle w:val="FootnoteText"/>
        <w:rPr>
          <w:lang w:val="en-GB"/>
        </w:rPr>
      </w:pPr>
      <w:r>
        <w:rPr>
          <w:rStyle w:val="FootnoteReference"/>
        </w:rPr>
        <w:footnoteRef/>
      </w:r>
      <w:r>
        <w:t xml:space="preserve"> </w:t>
      </w:r>
      <w:r>
        <w:rPr>
          <w:lang w:val="en-GB"/>
        </w:rPr>
        <w:tab/>
        <w:t xml:space="preserve">NOTE:  Operative language should be conformed to the priorities set out in the broader legislative or regulatory framework in which the </w:t>
      </w:r>
      <w:r w:rsidR="00E0650C">
        <w:rPr>
          <w:lang w:val="en-GB"/>
        </w:rPr>
        <w:t>Model Provision</w:t>
      </w:r>
      <w:r>
        <w:rPr>
          <w:lang w:val="en-GB"/>
        </w:rPr>
        <w:t xml:space="preserve"> is to be incorporated.</w:t>
      </w:r>
    </w:p>
  </w:footnote>
  <w:footnote w:id="35">
    <w:p w14:paraId="137FB839" w14:textId="497FCEA4" w:rsidR="00E46006" w:rsidRPr="00E46006" w:rsidRDefault="00E46006" w:rsidP="0009549F">
      <w:pPr>
        <w:pStyle w:val="FootnoteText"/>
        <w:rPr>
          <w:lang w:val="en-GB"/>
        </w:rPr>
      </w:pPr>
      <w:r>
        <w:rPr>
          <w:rStyle w:val="FootnoteReference"/>
        </w:rPr>
        <w:footnoteRef/>
      </w:r>
      <w:r>
        <w:t xml:space="preserve"> </w:t>
      </w:r>
      <w:r>
        <w:rPr>
          <w:lang w:val="en-GB"/>
        </w:rPr>
        <w:tab/>
        <w:t xml:space="preserve">NOTE:  </w:t>
      </w:r>
      <w:r w:rsidRPr="00E46006">
        <w:rPr>
          <w:lang w:val="en-GB"/>
        </w:rPr>
        <w:t>For better cross-sectoral policy work and effective regulations, the Climate Change Council should include an expert on trade and investment matters (particularly regional</w:t>
      </w:r>
      <w:r w:rsidR="00A247ED">
        <w:rPr>
          <w:lang w:val="en-GB"/>
        </w:rPr>
        <w:t xml:space="preserve"> expertise,</w:t>
      </w:r>
      <w:r w:rsidRPr="00E46006">
        <w:rPr>
          <w:lang w:val="en-GB"/>
        </w:rPr>
        <w:t xml:space="preserve"> as the USMCA has many more enforceable environmental provisions tha</w:t>
      </w:r>
      <w:r w:rsidR="006C31A4">
        <w:rPr>
          <w:lang w:val="en-GB"/>
        </w:rPr>
        <w:t>n</w:t>
      </w:r>
      <w:r w:rsidRPr="00E46006">
        <w:rPr>
          <w:lang w:val="en-GB"/>
        </w:rPr>
        <w:t xml:space="preserve"> the original NAFTA).  This will allow regulators from both trade and environment </w:t>
      </w:r>
      <w:r w:rsidR="0009549F">
        <w:rPr>
          <w:lang w:val="en-GB"/>
        </w:rPr>
        <w:t xml:space="preserve">disciplines </w:t>
      </w:r>
      <w:r w:rsidRPr="00E46006">
        <w:rPr>
          <w:lang w:val="en-GB"/>
        </w:rPr>
        <w:t xml:space="preserve">to better work together and align their goals so that decarbonization strategies are sensitive to the trade and investment impact.  </w:t>
      </w:r>
      <w:r w:rsidR="0009549F">
        <w:rPr>
          <w:lang w:val="en-GB"/>
        </w:rPr>
        <w:t xml:space="preserve">It will also </w:t>
      </w:r>
      <w:r w:rsidRPr="00E46006">
        <w:rPr>
          <w:lang w:val="en-GB"/>
        </w:rPr>
        <w:t>allow trade regulators to better understand the environment</w:t>
      </w:r>
      <w:r w:rsidR="0009549F">
        <w:rPr>
          <w:lang w:val="en-GB"/>
        </w:rPr>
        <w:t xml:space="preserve">al policy imperatives and </w:t>
      </w:r>
      <w:r w:rsidRPr="00E46006">
        <w:rPr>
          <w:lang w:val="en-GB"/>
        </w:rPr>
        <w:t>better align trade goals with those of climate change mitigation and sustainability.</w:t>
      </w:r>
    </w:p>
  </w:footnote>
  <w:footnote w:id="36">
    <w:p w14:paraId="0170757F" w14:textId="4C2837D7" w:rsidR="00C2636D" w:rsidRPr="00C2636D" w:rsidRDefault="00C2636D">
      <w:pPr>
        <w:pStyle w:val="FootnoteText"/>
        <w:rPr>
          <w:lang w:val="en-GB"/>
        </w:rPr>
      </w:pPr>
      <w:r>
        <w:rPr>
          <w:rStyle w:val="FootnoteReference"/>
        </w:rPr>
        <w:footnoteRef/>
      </w:r>
      <w:r>
        <w:t xml:space="preserve"> </w:t>
      </w:r>
      <w:r>
        <w:rPr>
          <w:lang w:val="en-GB"/>
        </w:rPr>
        <w:tab/>
        <w:t>NOTE:  The Just Transition Working Group should consider the</w:t>
      </w:r>
      <w:r w:rsidR="006A20E0">
        <w:rPr>
          <w:lang w:val="en-GB"/>
        </w:rPr>
        <w:t xml:space="preserve"> state, national, and international-level</w:t>
      </w:r>
      <w:r>
        <w:rPr>
          <w:lang w:val="en-GB"/>
        </w:rPr>
        <w:t xml:space="preserve"> impact</w:t>
      </w:r>
      <w:r w:rsidR="00C941EC">
        <w:rPr>
          <w:lang w:val="en-GB"/>
        </w:rPr>
        <w:t>s</w:t>
      </w:r>
      <w:r>
        <w:rPr>
          <w:lang w:val="en-GB"/>
        </w:rPr>
        <w:t xml:space="preserve"> of carbon reduction measures such as border tax adjustments, in particular to deal with carbon leakage issues that arise out of state</w:t>
      </w:r>
      <w:r w:rsidR="006A20E0">
        <w:rPr>
          <w:lang w:val="en-GB"/>
        </w:rPr>
        <w:t xml:space="preserve"> or national</w:t>
      </w:r>
      <w:r>
        <w:rPr>
          <w:lang w:val="en-GB"/>
        </w:rPr>
        <w:t xml:space="preserve"> GHG emissions reduction strategies</w:t>
      </w:r>
      <w:r w:rsidR="006A20E0">
        <w:rPr>
          <w:lang w:val="en-GB"/>
        </w:rPr>
        <w:t xml:space="preserve">, </w:t>
      </w:r>
      <w:proofErr w:type="gramStart"/>
      <w:r w:rsidR="006A20E0">
        <w:rPr>
          <w:lang w:val="en-GB"/>
        </w:rPr>
        <w:t>i.e.</w:t>
      </w:r>
      <w:proofErr w:type="gramEnd"/>
      <w:r w:rsidR="00C941EC">
        <w:rPr>
          <w:lang w:val="en-GB"/>
        </w:rPr>
        <w:t xml:space="preserve"> the problem of</w:t>
      </w:r>
      <w:r w:rsidR="006A20E0">
        <w:rPr>
          <w:lang w:val="en-GB"/>
        </w:rPr>
        <w:t xml:space="preserve"> </w:t>
      </w:r>
      <w:r w:rsidR="006A20E0" w:rsidRPr="006A20E0">
        <w:rPr>
          <w:lang w:val="en-GB"/>
        </w:rPr>
        <w:t xml:space="preserve">an increase in </w:t>
      </w:r>
      <w:r w:rsidR="006A20E0">
        <w:rPr>
          <w:lang w:val="en-GB"/>
        </w:rPr>
        <w:t>GHG</w:t>
      </w:r>
      <w:r w:rsidR="006A20E0" w:rsidRPr="006A20E0">
        <w:rPr>
          <w:lang w:val="en-GB"/>
        </w:rPr>
        <w:t xml:space="preserve"> emissions in one </w:t>
      </w:r>
      <w:r w:rsidR="006A20E0">
        <w:rPr>
          <w:lang w:val="en-GB"/>
        </w:rPr>
        <w:t>state or country</w:t>
      </w:r>
      <w:r w:rsidR="006A20E0" w:rsidRPr="006A20E0">
        <w:rPr>
          <w:lang w:val="en-GB"/>
        </w:rPr>
        <w:t xml:space="preserve"> </w:t>
      </w:r>
      <w:r w:rsidR="006A20E0">
        <w:rPr>
          <w:lang w:val="en-GB"/>
        </w:rPr>
        <w:t>that results from</w:t>
      </w:r>
      <w:r w:rsidR="006A20E0" w:rsidRPr="006A20E0">
        <w:rPr>
          <w:lang w:val="en-GB"/>
        </w:rPr>
        <w:t xml:space="preserve"> an emissions reduction by a second </w:t>
      </w:r>
      <w:r w:rsidR="006A20E0">
        <w:rPr>
          <w:lang w:val="en-GB"/>
        </w:rPr>
        <w:t xml:space="preserve">state or </w:t>
      </w:r>
      <w:r w:rsidR="006A20E0" w:rsidRPr="006A20E0">
        <w:rPr>
          <w:lang w:val="en-GB"/>
        </w:rPr>
        <w:t xml:space="preserve">country with </w:t>
      </w:r>
      <w:r w:rsidR="006A20E0">
        <w:rPr>
          <w:lang w:val="en-GB"/>
        </w:rPr>
        <w:t xml:space="preserve">a </w:t>
      </w:r>
      <w:r w:rsidR="006A20E0" w:rsidRPr="006A20E0">
        <w:rPr>
          <w:lang w:val="en-GB"/>
        </w:rPr>
        <w:t>strict</w:t>
      </w:r>
      <w:r w:rsidR="006A20E0">
        <w:rPr>
          <w:lang w:val="en-GB"/>
        </w:rPr>
        <w:t>er</w:t>
      </w:r>
      <w:r w:rsidR="006A20E0" w:rsidRPr="006A20E0">
        <w:rPr>
          <w:lang w:val="en-GB"/>
        </w:rPr>
        <w:t xml:space="preserve"> </w:t>
      </w:r>
      <w:r w:rsidR="006A20E0">
        <w:rPr>
          <w:lang w:val="en-GB"/>
        </w:rPr>
        <w:t>carbon reduction</w:t>
      </w:r>
      <w:r w:rsidR="006A20E0" w:rsidRPr="006A20E0">
        <w:rPr>
          <w:lang w:val="en-GB"/>
        </w:rPr>
        <w:t xml:space="preserve"> policy</w:t>
      </w:r>
      <w:r>
        <w:rPr>
          <w:lang w:val="en-GB"/>
        </w:rPr>
        <w:t xml:space="preserve">. </w:t>
      </w:r>
    </w:p>
  </w:footnote>
  <w:footnote w:id="37">
    <w:p w14:paraId="46BFA557" w14:textId="77777777" w:rsidR="00BF1559" w:rsidRPr="00BF1559" w:rsidRDefault="00BF1559">
      <w:pPr>
        <w:pStyle w:val="FootnoteText"/>
        <w:rPr>
          <w:lang w:val="en-GB"/>
        </w:rPr>
      </w:pPr>
      <w:r>
        <w:rPr>
          <w:rStyle w:val="FootnoteReference"/>
        </w:rPr>
        <w:footnoteRef/>
      </w:r>
      <w:r>
        <w:t xml:space="preserve"> </w:t>
      </w:r>
      <w:r>
        <w:rPr>
          <w:lang w:val="en-GB"/>
        </w:rPr>
        <w:tab/>
        <w:t>NOTE:</w:t>
      </w:r>
      <w:r>
        <w:rPr>
          <w:lang w:val="en-GB"/>
        </w:rPr>
        <w:tab/>
      </w:r>
      <w:r w:rsidR="00293C4F">
        <w:rPr>
          <w:rFonts w:cs="Times New Roman"/>
        </w:rPr>
        <w:t xml:space="preserve">Such best practices should be clearly distinguished from LCRs, which as discussed above are prohibited under international trade law.  </w:t>
      </w:r>
      <w:r w:rsidR="00D92093">
        <w:rPr>
          <w:rFonts w:cs="Times New Roman"/>
        </w:rPr>
        <w:t xml:space="preserve">As regards terminology, </w:t>
      </w:r>
      <w:r w:rsidR="00D92093">
        <w:rPr>
          <w:lang w:val="en-GB"/>
        </w:rPr>
        <w:t>t</w:t>
      </w:r>
      <w:r>
        <w:rPr>
          <w:lang w:val="en-GB"/>
        </w:rPr>
        <w:t>he term “corporate social responsibility” is increasingly used interchangeably with the term “sustainability”.</w:t>
      </w:r>
      <w:r w:rsidR="0007147C">
        <w:rPr>
          <w:lang w:val="en-GB"/>
        </w:rPr>
        <w:t xml:space="preserve">  </w:t>
      </w:r>
      <w:r w:rsidR="00293C4F">
        <w:rPr>
          <w:lang w:val="en-GB"/>
        </w:rPr>
        <w:t xml:space="preserve">The OECD Guidelines speak of “local capacity building” and “human capital formation”.  See </w:t>
      </w:r>
      <w:r w:rsidR="00293C4F">
        <w:rPr>
          <w:rFonts w:cs="Times New Roman"/>
        </w:rPr>
        <w:t xml:space="preserve">OECD Guidelines for Multinational Enterprises, 2011 Edition, </w:t>
      </w:r>
      <w:hyperlink r:id="rId25" w:history="1">
        <w:r w:rsidR="00293C4F" w:rsidRPr="00467536">
          <w:rPr>
            <w:rStyle w:val="Hyperlink"/>
            <w:rFonts w:cs="Times New Roman"/>
          </w:rPr>
          <w:t>http://www.oecd.org/daf/inv/mne/48004323.pdf</w:t>
        </w:r>
      </w:hyperlink>
      <w:r w:rsidR="00293C4F" w:rsidRPr="000048A5">
        <w:rPr>
          <w:rFonts w:cs="Times New Roman"/>
        </w:rPr>
        <w:t>, p.19</w:t>
      </w:r>
      <w:r w:rsidR="00293C4F">
        <w:rPr>
          <w:rFonts w:cs="Times New Roman"/>
        </w:rPr>
        <w:t xml:space="preserve">.  </w:t>
      </w:r>
      <w:r w:rsidR="0007147C">
        <w:rPr>
          <w:lang w:val="en-GB"/>
        </w:rPr>
        <w:t xml:space="preserve">In </w:t>
      </w:r>
      <w:r w:rsidR="00266DCA">
        <w:rPr>
          <w:lang w:val="en-GB"/>
        </w:rPr>
        <w:t xml:space="preserve">addition, in </w:t>
      </w:r>
      <w:r w:rsidR="0007147C">
        <w:rPr>
          <w:lang w:val="en-GB"/>
        </w:rPr>
        <w:t xml:space="preserve">the investment context, the term “ESG” is used to describe environmental, social, and governance factors that impact </w:t>
      </w:r>
      <w:r w:rsidR="0007147C" w:rsidRPr="0007147C">
        <w:rPr>
          <w:lang w:val="en-GB"/>
        </w:rPr>
        <w:t>the sustainability and society impact of an</w:t>
      </w:r>
      <w:r w:rsidR="0007147C">
        <w:rPr>
          <w:lang w:val="en-GB"/>
        </w:rPr>
        <w:t xml:space="preserve"> economic activity or investment.  </w:t>
      </w:r>
      <w:r w:rsidR="00E164AE">
        <w:rPr>
          <w:rFonts w:cs="Times New Roman"/>
        </w:rPr>
        <w:t xml:space="preserve">  </w:t>
      </w:r>
    </w:p>
  </w:footnote>
  <w:footnote w:id="38">
    <w:p w14:paraId="4136CDA1" w14:textId="77777777" w:rsidR="00B51279" w:rsidRPr="00B51279" w:rsidRDefault="00B51279">
      <w:pPr>
        <w:pStyle w:val="FootnoteText"/>
        <w:rPr>
          <w:lang w:val="en-GB"/>
        </w:rPr>
      </w:pPr>
      <w:r>
        <w:rPr>
          <w:rStyle w:val="FootnoteReference"/>
        </w:rPr>
        <w:footnoteRef/>
      </w:r>
      <w:r>
        <w:t xml:space="preserve"> </w:t>
      </w:r>
      <w:r>
        <w:rPr>
          <w:lang w:val="en-GB"/>
        </w:rPr>
        <w:tab/>
        <w:t>NOTE:</w:t>
      </w:r>
      <w:r w:rsidR="00AA1C7A">
        <w:rPr>
          <w:lang w:val="en-GB"/>
        </w:rPr>
        <w:tab/>
        <w:t xml:space="preserve">The provisions for a Scoping Plan </w:t>
      </w:r>
      <w:r w:rsidR="008355E8">
        <w:rPr>
          <w:lang w:val="en-GB"/>
        </w:rPr>
        <w:t>should</w:t>
      </w:r>
      <w:r w:rsidR="00AA1C7A">
        <w:rPr>
          <w:lang w:val="en-GB"/>
        </w:rPr>
        <w:t xml:space="preserve"> be adapted to conform with the reporting, consultation, and recommendation processes provided for in the State’s legislative or regulatory framework in which this Model Provision is </w:t>
      </w:r>
      <w:r w:rsidR="008355E8">
        <w:rPr>
          <w:lang w:val="en-GB"/>
        </w:rPr>
        <w:t xml:space="preserve">to be </w:t>
      </w:r>
      <w:r w:rsidR="00AA1C7A">
        <w:rPr>
          <w:lang w:val="en-GB"/>
        </w:rPr>
        <w:t>incorporated.</w:t>
      </w:r>
      <w:r w:rsidR="00CC312C">
        <w:rPr>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C4B37"/>
    <w:multiLevelType w:val="hybridMultilevel"/>
    <w:tmpl w:val="AF7A7080"/>
    <w:lvl w:ilvl="0" w:tplc="D33A02A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189"/>
    <w:rsid w:val="00001514"/>
    <w:rsid w:val="0000185A"/>
    <w:rsid w:val="000048A5"/>
    <w:rsid w:val="0001072A"/>
    <w:rsid w:val="0001355E"/>
    <w:rsid w:val="00013FEC"/>
    <w:rsid w:val="00014605"/>
    <w:rsid w:val="00021CC9"/>
    <w:rsid w:val="00022B50"/>
    <w:rsid w:val="00025DF7"/>
    <w:rsid w:val="00040152"/>
    <w:rsid w:val="00041CBD"/>
    <w:rsid w:val="000510CC"/>
    <w:rsid w:val="00065C79"/>
    <w:rsid w:val="000664DF"/>
    <w:rsid w:val="0007147C"/>
    <w:rsid w:val="00077128"/>
    <w:rsid w:val="000934AA"/>
    <w:rsid w:val="00094A6C"/>
    <w:rsid w:val="0009549F"/>
    <w:rsid w:val="0009772C"/>
    <w:rsid w:val="000A1CAE"/>
    <w:rsid w:val="000B431D"/>
    <w:rsid w:val="000B6412"/>
    <w:rsid w:val="000D0821"/>
    <w:rsid w:val="000D20F6"/>
    <w:rsid w:val="000E041E"/>
    <w:rsid w:val="0010123F"/>
    <w:rsid w:val="00104BF4"/>
    <w:rsid w:val="00107A20"/>
    <w:rsid w:val="00107DB4"/>
    <w:rsid w:val="001115D6"/>
    <w:rsid w:val="0012654B"/>
    <w:rsid w:val="00141F93"/>
    <w:rsid w:val="001439BE"/>
    <w:rsid w:val="001701D4"/>
    <w:rsid w:val="001751BF"/>
    <w:rsid w:val="00176D26"/>
    <w:rsid w:val="00181BF9"/>
    <w:rsid w:val="0018534C"/>
    <w:rsid w:val="00186C05"/>
    <w:rsid w:val="001A6EC7"/>
    <w:rsid w:val="001C4F02"/>
    <w:rsid w:val="001C5CF1"/>
    <w:rsid w:val="001D0B1C"/>
    <w:rsid w:val="001E5DC1"/>
    <w:rsid w:val="0021030E"/>
    <w:rsid w:val="00220D76"/>
    <w:rsid w:val="002257B5"/>
    <w:rsid w:val="00266DCA"/>
    <w:rsid w:val="00283AD2"/>
    <w:rsid w:val="00293C4F"/>
    <w:rsid w:val="00296459"/>
    <w:rsid w:val="002B665F"/>
    <w:rsid w:val="002D004A"/>
    <w:rsid w:val="002D5733"/>
    <w:rsid w:val="002D6049"/>
    <w:rsid w:val="002E7DED"/>
    <w:rsid w:val="00307F35"/>
    <w:rsid w:val="0031232B"/>
    <w:rsid w:val="0031305E"/>
    <w:rsid w:val="00313AA7"/>
    <w:rsid w:val="00315F39"/>
    <w:rsid w:val="00316883"/>
    <w:rsid w:val="00324225"/>
    <w:rsid w:val="0034181F"/>
    <w:rsid w:val="00355ED9"/>
    <w:rsid w:val="0035678A"/>
    <w:rsid w:val="00361731"/>
    <w:rsid w:val="003746F1"/>
    <w:rsid w:val="00375E7A"/>
    <w:rsid w:val="00382147"/>
    <w:rsid w:val="003879E0"/>
    <w:rsid w:val="003A0EF7"/>
    <w:rsid w:val="003A2D22"/>
    <w:rsid w:val="003B2D18"/>
    <w:rsid w:val="003B33CB"/>
    <w:rsid w:val="003B56EC"/>
    <w:rsid w:val="003C7D41"/>
    <w:rsid w:val="003D35CD"/>
    <w:rsid w:val="003D3839"/>
    <w:rsid w:val="003D530A"/>
    <w:rsid w:val="003D6743"/>
    <w:rsid w:val="003F003D"/>
    <w:rsid w:val="00400905"/>
    <w:rsid w:val="0040694F"/>
    <w:rsid w:val="004131DE"/>
    <w:rsid w:val="00444D5B"/>
    <w:rsid w:val="00447F01"/>
    <w:rsid w:val="004502F1"/>
    <w:rsid w:val="0045047B"/>
    <w:rsid w:val="004537FC"/>
    <w:rsid w:val="00453C19"/>
    <w:rsid w:val="00454400"/>
    <w:rsid w:val="00464FCC"/>
    <w:rsid w:val="00466B2D"/>
    <w:rsid w:val="004A13A9"/>
    <w:rsid w:val="004A1FFF"/>
    <w:rsid w:val="004A2A1B"/>
    <w:rsid w:val="004A723D"/>
    <w:rsid w:val="004E39D4"/>
    <w:rsid w:val="004E4E2D"/>
    <w:rsid w:val="004F4C34"/>
    <w:rsid w:val="00502385"/>
    <w:rsid w:val="0050376A"/>
    <w:rsid w:val="005127F6"/>
    <w:rsid w:val="00514227"/>
    <w:rsid w:val="005172CA"/>
    <w:rsid w:val="00517D93"/>
    <w:rsid w:val="00531E66"/>
    <w:rsid w:val="00533802"/>
    <w:rsid w:val="00552CF4"/>
    <w:rsid w:val="005533F3"/>
    <w:rsid w:val="00562CC6"/>
    <w:rsid w:val="00576CE5"/>
    <w:rsid w:val="005B0761"/>
    <w:rsid w:val="005B18DD"/>
    <w:rsid w:val="005E2BF9"/>
    <w:rsid w:val="005F3003"/>
    <w:rsid w:val="005F31CF"/>
    <w:rsid w:val="005F3EE9"/>
    <w:rsid w:val="006104FA"/>
    <w:rsid w:val="00616682"/>
    <w:rsid w:val="00616CD5"/>
    <w:rsid w:val="00620500"/>
    <w:rsid w:val="00650775"/>
    <w:rsid w:val="00674DEF"/>
    <w:rsid w:val="00675523"/>
    <w:rsid w:val="00675938"/>
    <w:rsid w:val="00686123"/>
    <w:rsid w:val="00691EA5"/>
    <w:rsid w:val="00693886"/>
    <w:rsid w:val="00693E93"/>
    <w:rsid w:val="00695379"/>
    <w:rsid w:val="00697DDB"/>
    <w:rsid w:val="006A20E0"/>
    <w:rsid w:val="006A2A73"/>
    <w:rsid w:val="006A69D8"/>
    <w:rsid w:val="006B3189"/>
    <w:rsid w:val="006C31A4"/>
    <w:rsid w:val="006C33F0"/>
    <w:rsid w:val="006C4D64"/>
    <w:rsid w:val="006C66E2"/>
    <w:rsid w:val="006D4386"/>
    <w:rsid w:val="006F054A"/>
    <w:rsid w:val="006F2BBC"/>
    <w:rsid w:val="006F6EBD"/>
    <w:rsid w:val="00701A8C"/>
    <w:rsid w:val="007033D8"/>
    <w:rsid w:val="007158DF"/>
    <w:rsid w:val="0073128C"/>
    <w:rsid w:val="00733BCF"/>
    <w:rsid w:val="007445EB"/>
    <w:rsid w:val="007532C9"/>
    <w:rsid w:val="007568AB"/>
    <w:rsid w:val="0076325D"/>
    <w:rsid w:val="00763C9E"/>
    <w:rsid w:val="007864D6"/>
    <w:rsid w:val="00787A72"/>
    <w:rsid w:val="00794C36"/>
    <w:rsid w:val="00795130"/>
    <w:rsid w:val="007A0F47"/>
    <w:rsid w:val="007A1311"/>
    <w:rsid w:val="007A23EA"/>
    <w:rsid w:val="007A78B6"/>
    <w:rsid w:val="007C16A2"/>
    <w:rsid w:val="007C1D98"/>
    <w:rsid w:val="007C7CD5"/>
    <w:rsid w:val="007D5852"/>
    <w:rsid w:val="007D745E"/>
    <w:rsid w:val="007E75B8"/>
    <w:rsid w:val="007F41B9"/>
    <w:rsid w:val="00812229"/>
    <w:rsid w:val="00820015"/>
    <w:rsid w:val="008355E8"/>
    <w:rsid w:val="008427AD"/>
    <w:rsid w:val="008468A9"/>
    <w:rsid w:val="00855517"/>
    <w:rsid w:val="00860358"/>
    <w:rsid w:val="008711BB"/>
    <w:rsid w:val="00882EE1"/>
    <w:rsid w:val="008912FA"/>
    <w:rsid w:val="00895619"/>
    <w:rsid w:val="008A3BA5"/>
    <w:rsid w:val="008A678E"/>
    <w:rsid w:val="008B0F53"/>
    <w:rsid w:val="008B6390"/>
    <w:rsid w:val="008D4DF4"/>
    <w:rsid w:val="008D66B6"/>
    <w:rsid w:val="008E573F"/>
    <w:rsid w:val="008F4992"/>
    <w:rsid w:val="008F725C"/>
    <w:rsid w:val="0090785F"/>
    <w:rsid w:val="0092038E"/>
    <w:rsid w:val="009273E9"/>
    <w:rsid w:val="00943BDB"/>
    <w:rsid w:val="00947C74"/>
    <w:rsid w:val="009550E9"/>
    <w:rsid w:val="0095580D"/>
    <w:rsid w:val="009639A0"/>
    <w:rsid w:val="00976E01"/>
    <w:rsid w:val="0098719C"/>
    <w:rsid w:val="00995901"/>
    <w:rsid w:val="009A10D6"/>
    <w:rsid w:val="009A1714"/>
    <w:rsid w:val="009A5EB5"/>
    <w:rsid w:val="009B36BB"/>
    <w:rsid w:val="009E145A"/>
    <w:rsid w:val="009E21AD"/>
    <w:rsid w:val="009E2822"/>
    <w:rsid w:val="009E63D1"/>
    <w:rsid w:val="009E6E78"/>
    <w:rsid w:val="00A00DF5"/>
    <w:rsid w:val="00A1647E"/>
    <w:rsid w:val="00A247ED"/>
    <w:rsid w:val="00A34818"/>
    <w:rsid w:val="00A661D7"/>
    <w:rsid w:val="00A733F2"/>
    <w:rsid w:val="00A84CC6"/>
    <w:rsid w:val="00A86855"/>
    <w:rsid w:val="00A86FE4"/>
    <w:rsid w:val="00A95E6E"/>
    <w:rsid w:val="00AA1C7A"/>
    <w:rsid w:val="00AA6415"/>
    <w:rsid w:val="00AD455C"/>
    <w:rsid w:val="00AE15D4"/>
    <w:rsid w:val="00AE1F79"/>
    <w:rsid w:val="00AE4D18"/>
    <w:rsid w:val="00AF1BCF"/>
    <w:rsid w:val="00B00D11"/>
    <w:rsid w:val="00B0180C"/>
    <w:rsid w:val="00B14E0D"/>
    <w:rsid w:val="00B21579"/>
    <w:rsid w:val="00B32121"/>
    <w:rsid w:val="00B32F24"/>
    <w:rsid w:val="00B35CE3"/>
    <w:rsid w:val="00B51279"/>
    <w:rsid w:val="00B76F11"/>
    <w:rsid w:val="00B864AF"/>
    <w:rsid w:val="00BA1159"/>
    <w:rsid w:val="00BA18A1"/>
    <w:rsid w:val="00BA72E6"/>
    <w:rsid w:val="00BC1F1B"/>
    <w:rsid w:val="00BC4951"/>
    <w:rsid w:val="00BD1EA2"/>
    <w:rsid w:val="00BF0D80"/>
    <w:rsid w:val="00BF1559"/>
    <w:rsid w:val="00C0162E"/>
    <w:rsid w:val="00C1207E"/>
    <w:rsid w:val="00C21FB6"/>
    <w:rsid w:val="00C24BB6"/>
    <w:rsid w:val="00C2636D"/>
    <w:rsid w:val="00C26DC3"/>
    <w:rsid w:val="00C36C5E"/>
    <w:rsid w:val="00C37465"/>
    <w:rsid w:val="00C577AE"/>
    <w:rsid w:val="00C64450"/>
    <w:rsid w:val="00C80A75"/>
    <w:rsid w:val="00C941EC"/>
    <w:rsid w:val="00CA1642"/>
    <w:rsid w:val="00CA183D"/>
    <w:rsid w:val="00CA261A"/>
    <w:rsid w:val="00CA7055"/>
    <w:rsid w:val="00CC312C"/>
    <w:rsid w:val="00CE392B"/>
    <w:rsid w:val="00CE4DF7"/>
    <w:rsid w:val="00CE7029"/>
    <w:rsid w:val="00CF2689"/>
    <w:rsid w:val="00CF4318"/>
    <w:rsid w:val="00D00ACC"/>
    <w:rsid w:val="00D1104F"/>
    <w:rsid w:val="00D1749C"/>
    <w:rsid w:val="00D2106D"/>
    <w:rsid w:val="00D234B6"/>
    <w:rsid w:val="00D2612F"/>
    <w:rsid w:val="00D2655E"/>
    <w:rsid w:val="00D31E03"/>
    <w:rsid w:val="00D41D01"/>
    <w:rsid w:val="00D53668"/>
    <w:rsid w:val="00D678ED"/>
    <w:rsid w:val="00D679AA"/>
    <w:rsid w:val="00D8065A"/>
    <w:rsid w:val="00D91C8D"/>
    <w:rsid w:val="00D92093"/>
    <w:rsid w:val="00DB0310"/>
    <w:rsid w:val="00DB54DE"/>
    <w:rsid w:val="00DB5A7E"/>
    <w:rsid w:val="00DC597F"/>
    <w:rsid w:val="00DD6314"/>
    <w:rsid w:val="00DE6EB8"/>
    <w:rsid w:val="00DF1059"/>
    <w:rsid w:val="00DF24F0"/>
    <w:rsid w:val="00DF33EF"/>
    <w:rsid w:val="00DF6FAE"/>
    <w:rsid w:val="00E033BE"/>
    <w:rsid w:val="00E04552"/>
    <w:rsid w:val="00E0650C"/>
    <w:rsid w:val="00E10812"/>
    <w:rsid w:val="00E14822"/>
    <w:rsid w:val="00E164AE"/>
    <w:rsid w:val="00E239EE"/>
    <w:rsid w:val="00E25252"/>
    <w:rsid w:val="00E43C4F"/>
    <w:rsid w:val="00E45239"/>
    <w:rsid w:val="00E46006"/>
    <w:rsid w:val="00E47721"/>
    <w:rsid w:val="00E8134E"/>
    <w:rsid w:val="00E95031"/>
    <w:rsid w:val="00E96B1D"/>
    <w:rsid w:val="00EB0026"/>
    <w:rsid w:val="00EB20B1"/>
    <w:rsid w:val="00EB52E4"/>
    <w:rsid w:val="00EB5AA6"/>
    <w:rsid w:val="00EB745F"/>
    <w:rsid w:val="00EC067A"/>
    <w:rsid w:val="00EC3E51"/>
    <w:rsid w:val="00EE2249"/>
    <w:rsid w:val="00EF0228"/>
    <w:rsid w:val="00EF35BA"/>
    <w:rsid w:val="00EF795C"/>
    <w:rsid w:val="00F031C2"/>
    <w:rsid w:val="00F07560"/>
    <w:rsid w:val="00F10999"/>
    <w:rsid w:val="00F1135B"/>
    <w:rsid w:val="00F1222A"/>
    <w:rsid w:val="00F14B71"/>
    <w:rsid w:val="00F246CF"/>
    <w:rsid w:val="00F61D8A"/>
    <w:rsid w:val="00F63A92"/>
    <w:rsid w:val="00F75968"/>
    <w:rsid w:val="00F92E74"/>
    <w:rsid w:val="00FB2BCD"/>
    <w:rsid w:val="00FD177D"/>
    <w:rsid w:val="00FE2059"/>
    <w:rsid w:val="00FF39B9"/>
    <w:rsid w:val="00FF39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D5A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80C"/>
    <w:rPr>
      <w:rFonts w:ascii="Times New Roman" w:eastAsia="Times New Roman" w:hAnsi="Times New Roman" w:cs="Times New Roman"/>
    </w:rPr>
  </w:style>
  <w:style w:type="paragraph" w:styleId="Heading1">
    <w:name w:val="heading 1"/>
    <w:basedOn w:val="Normal"/>
    <w:link w:val="Heading1Char"/>
    <w:uiPriority w:val="9"/>
    <w:qFormat/>
    <w:rsid w:val="00F031C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extJ">
    <w:name w:val="Block Text J"/>
    <w:basedOn w:val="Normal"/>
    <w:qFormat/>
    <w:rsid w:val="006B3189"/>
    <w:pPr>
      <w:spacing w:after="240"/>
      <w:jc w:val="both"/>
    </w:pPr>
    <w:rPr>
      <w:rFonts w:eastAsiaTheme="minorHAnsi" w:cstheme="minorBidi"/>
      <w:lang w:val="en-US"/>
    </w:rPr>
  </w:style>
  <w:style w:type="paragraph" w:styleId="FootnoteText">
    <w:name w:val="footnote text"/>
    <w:basedOn w:val="Normal"/>
    <w:next w:val="Normal"/>
    <w:link w:val="FootnoteTextChar"/>
    <w:rsid w:val="006B3189"/>
    <w:pPr>
      <w:spacing w:after="200"/>
      <w:ind w:left="720" w:hanging="720"/>
    </w:pPr>
    <w:rPr>
      <w:rFonts w:eastAsiaTheme="minorHAnsi" w:cstheme="minorBidi"/>
      <w:sz w:val="20"/>
      <w:szCs w:val="20"/>
      <w:lang w:val="en-US"/>
    </w:rPr>
  </w:style>
  <w:style w:type="character" w:customStyle="1" w:styleId="FootnoteTextChar">
    <w:name w:val="Footnote Text Char"/>
    <w:basedOn w:val="DefaultParagraphFont"/>
    <w:link w:val="FootnoteText"/>
    <w:rsid w:val="006B3189"/>
    <w:rPr>
      <w:rFonts w:ascii="Times New Roman" w:hAnsi="Times New Roman"/>
      <w:sz w:val="20"/>
      <w:szCs w:val="20"/>
      <w:lang w:val="en-US"/>
    </w:rPr>
  </w:style>
  <w:style w:type="character" w:styleId="FootnoteReference">
    <w:name w:val="footnote reference"/>
    <w:basedOn w:val="DefaultParagraphFont"/>
    <w:uiPriority w:val="99"/>
    <w:semiHidden/>
    <w:unhideWhenUsed/>
    <w:rsid w:val="006B3189"/>
    <w:rPr>
      <w:vertAlign w:val="superscript"/>
    </w:rPr>
  </w:style>
  <w:style w:type="paragraph" w:customStyle="1" w:styleId="Default">
    <w:name w:val="Default"/>
    <w:rsid w:val="00686123"/>
    <w:pPr>
      <w:autoSpaceDE w:val="0"/>
      <w:autoSpaceDN w:val="0"/>
      <w:adjustRightInd w:val="0"/>
    </w:pPr>
    <w:rPr>
      <w:rFonts w:ascii="Times New Roman" w:hAnsi="Times New Roman" w:cs="Times New Roman"/>
      <w:color w:val="000000"/>
      <w:lang w:val="en-US"/>
    </w:rPr>
  </w:style>
  <w:style w:type="character" w:styleId="Hyperlink">
    <w:name w:val="Hyperlink"/>
    <w:basedOn w:val="DefaultParagraphFont"/>
    <w:uiPriority w:val="99"/>
    <w:unhideWhenUsed/>
    <w:rsid w:val="00AA6415"/>
    <w:rPr>
      <w:color w:val="0563C1" w:themeColor="hyperlink"/>
      <w:u w:val="single"/>
    </w:rPr>
  </w:style>
  <w:style w:type="character" w:customStyle="1" w:styleId="UnresolvedMention1">
    <w:name w:val="Unresolved Mention1"/>
    <w:basedOn w:val="DefaultParagraphFont"/>
    <w:uiPriority w:val="99"/>
    <w:semiHidden/>
    <w:unhideWhenUsed/>
    <w:rsid w:val="00AA6415"/>
    <w:rPr>
      <w:color w:val="605E5C"/>
      <w:shd w:val="clear" w:color="auto" w:fill="E1DFDD"/>
    </w:rPr>
  </w:style>
  <w:style w:type="paragraph" w:styleId="NormalWeb">
    <w:name w:val="Normal (Web)"/>
    <w:basedOn w:val="Normal"/>
    <w:uiPriority w:val="99"/>
    <w:semiHidden/>
    <w:unhideWhenUsed/>
    <w:rsid w:val="000B6412"/>
    <w:pPr>
      <w:spacing w:before="100" w:beforeAutospacing="1" w:after="100" w:afterAutospacing="1"/>
    </w:pPr>
  </w:style>
  <w:style w:type="character" w:styleId="FollowedHyperlink">
    <w:name w:val="FollowedHyperlink"/>
    <w:basedOn w:val="DefaultParagraphFont"/>
    <w:uiPriority w:val="99"/>
    <w:semiHidden/>
    <w:unhideWhenUsed/>
    <w:rsid w:val="00107A20"/>
    <w:rPr>
      <w:color w:val="954F72" w:themeColor="followedHyperlink"/>
      <w:u w:val="single"/>
    </w:rPr>
  </w:style>
  <w:style w:type="paragraph" w:styleId="BalloonText">
    <w:name w:val="Balloon Text"/>
    <w:basedOn w:val="Normal"/>
    <w:link w:val="BalloonTextChar"/>
    <w:uiPriority w:val="99"/>
    <w:semiHidden/>
    <w:unhideWhenUsed/>
    <w:rsid w:val="002257B5"/>
    <w:rPr>
      <w:rFonts w:eastAsiaTheme="minorHAnsi"/>
      <w:sz w:val="18"/>
      <w:szCs w:val="18"/>
    </w:rPr>
  </w:style>
  <w:style w:type="character" w:customStyle="1" w:styleId="BalloonTextChar">
    <w:name w:val="Balloon Text Char"/>
    <w:basedOn w:val="DefaultParagraphFont"/>
    <w:link w:val="BalloonText"/>
    <w:uiPriority w:val="99"/>
    <w:semiHidden/>
    <w:rsid w:val="002257B5"/>
    <w:rPr>
      <w:rFonts w:ascii="Times New Roman" w:hAnsi="Times New Roman" w:cs="Times New Roman"/>
      <w:sz w:val="18"/>
      <w:szCs w:val="18"/>
    </w:rPr>
  </w:style>
  <w:style w:type="character" w:customStyle="1" w:styleId="Heading1Char">
    <w:name w:val="Heading 1 Char"/>
    <w:basedOn w:val="DefaultParagraphFont"/>
    <w:link w:val="Heading1"/>
    <w:uiPriority w:val="9"/>
    <w:rsid w:val="00F031C2"/>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0048A5"/>
    <w:pPr>
      <w:tabs>
        <w:tab w:val="center" w:pos="4680"/>
        <w:tab w:val="right" w:pos="9360"/>
      </w:tabs>
    </w:pPr>
  </w:style>
  <w:style w:type="character" w:customStyle="1" w:styleId="HeaderChar">
    <w:name w:val="Header Char"/>
    <w:basedOn w:val="DefaultParagraphFont"/>
    <w:link w:val="Header"/>
    <w:uiPriority w:val="99"/>
    <w:rsid w:val="000048A5"/>
    <w:rPr>
      <w:rFonts w:ascii="Times New Roman" w:eastAsia="Times New Roman" w:hAnsi="Times New Roman" w:cs="Times New Roman"/>
    </w:rPr>
  </w:style>
  <w:style w:type="paragraph" w:styleId="Footer">
    <w:name w:val="footer"/>
    <w:basedOn w:val="Normal"/>
    <w:link w:val="FooterChar"/>
    <w:uiPriority w:val="99"/>
    <w:unhideWhenUsed/>
    <w:rsid w:val="000048A5"/>
    <w:pPr>
      <w:tabs>
        <w:tab w:val="center" w:pos="4680"/>
        <w:tab w:val="right" w:pos="9360"/>
      </w:tabs>
    </w:pPr>
  </w:style>
  <w:style w:type="character" w:customStyle="1" w:styleId="FooterChar">
    <w:name w:val="Footer Char"/>
    <w:basedOn w:val="DefaultParagraphFont"/>
    <w:link w:val="Footer"/>
    <w:uiPriority w:val="99"/>
    <w:rsid w:val="000048A5"/>
    <w:rPr>
      <w:rFonts w:ascii="Times New Roman" w:eastAsia="Times New Roman" w:hAnsi="Times New Roman" w:cs="Times New Roman"/>
    </w:rPr>
  </w:style>
  <w:style w:type="character" w:styleId="PageNumber">
    <w:name w:val="page number"/>
    <w:basedOn w:val="DefaultParagraphFont"/>
    <w:uiPriority w:val="99"/>
    <w:semiHidden/>
    <w:unhideWhenUsed/>
    <w:rsid w:val="00BF1559"/>
  </w:style>
  <w:style w:type="character" w:styleId="CommentReference">
    <w:name w:val="annotation reference"/>
    <w:basedOn w:val="DefaultParagraphFont"/>
    <w:uiPriority w:val="99"/>
    <w:semiHidden/>
    <w:unhideWhenUsed/>
    <w:rsid w:val="00307F35"/>
    <w:rPr>
      <w:sz w:val="16"/>
      <w:szCs w:val="16"/>
    </w:rPr>
  </w:style>
  <w:style w:type="paragraph" w:styleId="CommentText">
    <w:name w:val="annotation text"/>
    <w:basedOn w:val="Normal"/>
    <w:link w:val="CommentTextChar"/>
    <w:uiPriority w:val="99"/>
    <w:semiHidden/>
    <w:unhideWhenUsed/>
    <w:rsid w:val="00307F35"/>
    <w:rPr>
      <w:sz w:val="20"/>
      <w:szCs w:val="20"/>
    </w:rPr>
  </w:style>
  <w:style w:type="character" w:customStyle="1" w:styleId="CommentTextChar">
    <w:name w:val="Comment Text Char"/>
    <w:basedOn w:val="DefaultParagraphFont"/>
    <w:link w:val="CommentText"/>
    <w:uiPriority w:val="99"/>
    <w:semiHidden/>
    <w:rsid w:val="00307F3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07F35"/>
    <w:rPr>
      <w:b/>
      <w:bCs/>
    </w:rPr>
  </w:style>
  <w:style w:type="character" w:customStyle="1" w:styleId="CommentSubjectChar">
    <w:name w:val="Comment Subject Char"/>
    <w:basedOn w:val="CommentTextChar"/>
    <w:link w:val="CommentSubject"/>
    <w:uiPriority w:val="99"/>
    <w:semiHidden/>
    <w:rsid w:val="00307F35"/>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D678ED"/>
    <w:rPr>
      <w:color w:val="605E5C"/>
      <w:shd w:val="clear" w:color="auto" w:fill="E1DFDD"/>
    </w:rPr>
  </w:style>
  <w:style w:type="paragraph" w:styleId="Revision">
    <w:name w:val="Revision"/>
    <w:hidden/>
    <w:uiPriority w:val="99"/>
    <w:semiHidden/>
    <w:rsid w:val="0035678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47367">
      <w:bodyDiv w:val="1"/>
      <w:marLeft w:val="0"/>
      <w:marRight w:val="0"/>
      <w:marTop w:val="0"/>
      <w:marBottom w:val="0"/>
      <w:divBdr>
        <w:top w:val="none" w:sz="0" w:space="0" w:color="auto"/>
        <w:left w:val="none" w:sz="0" w:space="0" w:color="auto"/>
        <w:bottom w:val="none" w:sz="0" w:space="0" w:color="auto"/>
        <w:right w:val="none" w:sz="0" w:space="0" w:color="auto"/>
      </w:divBdr>
      <w:divsChild>
        <w:div w:id="1477336371">
          <w:marLeft w:val="0"/>
          <w:marRight w:val="0"/>
          <w:marTop w:val="0"/>
          <w:marBottom w:val="0"/>
          <w:divBdr>
            <w:top w:val="none" w:sz="0" w:space="0" w:color="auto"/>
            <w:left w:val="none" w:sz="0" w:space="0" w:color="auto"/>
            <w:bottom w:val="none" w:sz="0" w:space="0" w:color="auto"/>
            <w:right w:val="none" w:sz="0" w:space="0" w:color="auto"/>
          </w:divBdr>
          <w:divsChild>
            <w:div w:id="548612284">
              <w:marLeft w:val="0"/>
              <w:marRight w:val="0"/>
              <w:marTop w:val="0"/>
              <w:marBottom w:val="0"/>
              <w:divBdr>
                <w:top w:val="none" w:sz="0" w:space="0" w:color="auto"/>
                <w:left w:val="none" w:sz="0" w:space="0" w:color="auto"/>
                <w:bottom w:val="none" w:sz="0" w:space="0" w:color="auto"/>
                <w:right w:val="none" w:sz="0" w:space="0" w:color="auto"/>
              </w:divBdr>
              <w:divsChild>
                <w:div w:id="137850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23637">
      <w:bodyDiv w:val="1"/>
      <w:marLeft w:val="0"/>
      <w:marRight w:val="0"/>
      <w:marTop w:val="0"/>
      <w:marBottom w:val="0"/>
      <w:divBdr>
        <w:top w:val="none" w:sz="0" w:space="0" w:color="auto"/>
        <w:left w:val="none" w:sz="0" w:space="0" w:color="auto"/>
        <w:bottom w:val="none" w:sz="0" w:space="0" w:color="auto"/>
        <w:right w:val="none" w:sz="0" w:space="0" w:color="auto"/>
      </w:divBdr>
    </w:div>
    <w:div w:id="982150366">
      <w:bodyDiv w:val="1"/>
      <w:marLeft w:val="0"/>
      <w:marRight w:val="0"/>
      <w:marTop w:val="0"/>
      <w:marBottom w:val="0"/>
      <w:divBdr>
        <w:top w:val="none" w:sz="0" w:space="0" w:color="auto"/>
        <w:left w:val="none" w:sz="0" w:space="0" w:color="auto"/>
        <w:bottom w:val="none" w:sz="0" w:space="0" w:color="auto"/>
        <w:right w:val="none" w:sz="0" w:space="0" w:color="auto"/>
      </w:divBdr>
      <w:divsChild>
        <w:div w:id="1976182828">
          <w:marLeft w:val="0"/>
          <w:marRight w:val="0"/>
          <w:marTop w:val="0"/>
          <w:marBottom w:val="0"/>
          <w:divBdr>
            <w:top w:val="none" w:sz="0" w:space="0" w:color="auto"/>
            <w:left w:val="none" w:sz="0" w:space="0" w:color="auto"/>
            <w:bottom w:val="none" w:sz="0" w:space="0" w:color="auto"/>
            <w:right w:val="none" w:sz="0" w:space="0" w:color="auto"/>
          </w:divBdr>
          <w:divsChild>
            <w:div w:id="437872754">
              <w:marLeft w:val="0"/>
              <w:marRight w:val="0"/>
              <w:marTop w:val="0"/>
              <w:marBottom w:val="0"/>
              <w:divBdr>
                <w:top w:val="none" w:sz="0" w:space="0" w:color="auto"/>
                <w:left w:val="none" w:sz="0" w:space="0" w:color="auto"/>
                <w:bottom w:val="none" w:sz="0" w:space="0" w:color="auto"/>
                <w:right w:val="none" w:sz="0" w:space="0" w:color="auto"/>
              </w:divBdr>
              <w:divsChild>
                <w:div w:id="1957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862538">
      <w:bodyDiv w:val="1"/>
      <w:marLeft w:val="0"/>
      <w:marRight w:val="0"/>
      <w:marTop w:val="0"/>
      <w:marBottom w:val="0"/>
      <w:divBdr>
        <w:top w:val="none" w:sz="0" w:space="0" w:color="auto"/>
        <w:left w:val="none" w:sz="0" w:space="0" w:color="auto"/>
        <w:bottom w:val="none" w:sz="0" w:space="0" w:color="auto"/>
        <w:right w:val="none" w:sz="0" w:space="0" w:color="auto"/>
      </w:divBdr>
    </w:div>
    <w:div w:id="1633288908">
      <w:bodyDiv w:val="1"/>
      <w:marLeft w:val="0"/>
      <w:marRight w:val="0"/>
      <w:marTop w:val="0"/>
      <w:marBottom w:val="0"/>
      <w:divBdr>
        <w:top w:val="none" w:sz="0" w:space="0" w:color="auto"/>
        <w:left w:val="none" w:sz="0" w:space="0" w:color="auto"/>
        <w:bottom w:val="none" w:sz="0" w:space="0" w:color="auto"/>
        <w:right w:val="none" w:sz="0" w:space="0" w:color="auto"/>
      </w:divBdr>
      <w:divsChild>
        <w:div w:id="389572928">
          <w:marLeft w:val="0"/>
          <w:marRight w:val="0"/>
          <w:marTop w:val="0"/>
          <w:marBottom w:val="0"/>
          <w:divBdr>
            <w:top w:val="none" w:sz="0" w:space="0" w:color="auto"/>
            <w:left w:val="none" w:sz="0" w:space="0" w:color="auto"/>
            <w:bottom w:val="none" w:sz="0" w:space="0" w:color="auto"/>
            <w:right w:val="none" w:sz="0" w:space="0" w:color="auto"/>
          </w:divBdr>
          <w:divsChild>
            <w:div w:id="1754164796">
              <w:marLeft w:val="0"/>
              <w:marRight w:val="0"/>
              <w:marTop w:val="0"/>
              <w:marBottom w:val="0"/>
              <w:divBdr>
                <w:top w:val="none" w:sz="0" w:space="0" w:color="auto"/>
                <w:left w:val="none" w:sz="0" w:space="0" w:color="auto"/>
                <w:bottom w:val="none" w:sz="0" w:space="0" w:color="auto"/>
                <w:right w:val="none" w:sz="0" w:space="0" w:color="auto"/>
              </w:divBdr>
              <w:divsChild>
                <w:div w:id="11182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53948">
      <w:bodyDiv w:val="1"/>
      <w:marLeft w:val="0"/>
      <w:marRight w:val="0"/>
      <w:marTop w:val="0"/>
      <w:marBottom w:val="0"/>
      <w:divBdr>
        <w:top w:val="none" w:sz="0" w:space="0" w:color="auto"/>
        <w:left w:val="none" w:sz="0" w:space="0" w:color="auto"/>
        <w:bottom w:val="none" w:sz="0" w:space="0" w:color="auto"/>
        <w:right w:val="none" w:sz="0" w:space="0" w:color="auto"/>
      </w:divBdr>
    </w:div>
    <w:div w:id="1804158484">
      <w:bodyDiv w:val="1"/>
      <w:marLeft w:val="0"/>
      <w:marRight w:val="0"/>
      <w:marTop w:val="0"/>
      <w:marBottom w:val="0"/>
      <w:divBdr>
        <w:top w:val="none" w:sz="0" w:space="0" w:color="auto"/>
        <w:left w:val="none" w:sz="0" w:space="0" w:color="auto"/>
        <w:bottom w:val="none" w:sz="0" w:space="0" w:color="auto"/>
        <w:right w:val="none" w:sz="0" w:space="0" w:color="auto"/>
      </w:divBdr>
      <w:divsChild>
        <w:div w:id="1200585232">
          <w:marLeft w:val="0"/>
          <w:marRight w:val="0"/>
          <w:marTop w:val="0"/>
          <w:marBottom w:val="0"/>
          <w:divBdr>
            <w:top w:val="none" w:sz="0" w:space="0" w:color="auto"/>
            <w:left w:val="none" w:sz="0" w:space="0" w:color="auto"/>
            <w:bottom w:val="none" w:sz="0" w:space="0" w:color="auto"/>
            <w:right w:val="none" w:sz="0" w:space="0" w:color="auto"/>
          </w:divBdr>
          <w:divsChild>
            <w:div w:id="417555735">
              <w:marLeft w:val="0"/>
              <w:marRight w:val="0"/>
              <w:marTop w:val="0"/>
              <w:marBottom w:val="0"/>
              <w:divBdr>
                <w:top w:val="none" w:sz="0" w:space="0" w:color="auto"/>
                <w:left w:val="none" w:sz="0" w:space="0" w:color="auto"/>
                <w:bottom w:val="none" w:sz="0" w:space="0" w:color="auto"/>
                <w:right w:val="none" w:sz="0" w:space="0" w:color="auto"/>
              </w:divBdr>
              <w:divsChild>
                <w:div w:id="207192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27305">
      <w:bodyDiv w:val="1"/>
      <w:marLeft w:val="0"/>
      <w:marRight w:val="0"/>
      <w:marTop w:val="0"/>
      <w:marBottom w:val="0"/>
      <w:divBdr>
        <w:top w:val="none" w:sz="0" w:space="0" w:color="auto"/>
        <w:left w:val="none" w:sz="0" w:space="0" w:color="auto"/>
        <w:bottom w:val="none" w:sz="0" w:space="0" w:color="auto"/>
        <w:right w:val="none" w:sz="0" w:space="0" w:color="auto"/>
      </w:divBdr>
    </w:div>
    <w:div w:id="21256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ead.oecd-ilibrary.org/environment/overcoming-barriers-to-international-investment-in-clean-energy_9789264227064-en" TargetMode="External"/><Relationship Id="rId13" Type="http://schemas.openxmlformats.org/officeDocument/2006/relationships/hyperlink" Target="http://membership.awordaboutwind.com/blog/how-important-is-local-content-to-us-offshore-wind" TargetMode="External"/><Relationship Id="rId18" Type="http://schemas.openxmlformats.org/officeDocument/2006/relationships/hyperlink" Target="https://cdn.ymaws.com/www.renewableuk.com/resource/resmgr/Publications/Guides/uk_content_methodology.pdf" TargetMode="External"/><Relationship Id="rId3" Type="http://schemas.openxmlformats.org/officeDocument/2006/relationships/hyperlink" Target="https://read.oecd-ilibrary.org/environment/overcoming-barriers-to-international-investment-in-clean-energy_9789264227064-en" TargetMode="External"/><Relationship Id="rId21" Type="http://schemas.openxmlformats.org/officeDocument/2006/relationships/hyperlink" Target="https://www.asil.org/insights/volume/16/issue/25/wto-appellate-body-knocks-down-us-" TargetMode="External"/><Relationship Id="rId7" Type="http://schemas.openxmlformats.org/officeDocument/2006/relationships/hyperlink" Target="https://www.oecd.org/trade/topics/local-content-requirements/" TargetMode="External"/><Relationship Id="rId12" Type="http://schemas.openxmlformats.org/officeDocument/2006/relationships/hyperlink" Target="https://institute.smartprosperity.ca/sites/default/files/publications/files/Domestic%20Content%20Requirements%20for%20Renewable%20Energy%20Manufacturing.pdf" TargetMode="External"/><Relationship Id="rId17" Type="http://schemas.openxmlformats.org/officeDocument/2006/relationships/hyperlink" Target="https://ore.catapult.org.uk/app/uploads/2017/12/SP-0012-The-Economic-Value-of-Offshore-Wind-1.pdf" TargetMode="External"/><Relationship Id="rId25" Type="http://schemas.openxmlformats.org/officeDocument/2006/relationships/hyperlink" Target="http://www.oecd.org/daf/inv/mne/48004323.pdf" TargetMode="External"/><Relationship Id="rId2" Type="http://schemas.openxmlformats.org/officeDocument/2006/relationships/hyperlink" Target="http://www.oecd.org/officialdocuments/publicdisplaydocumentpdf/?cote=COM/TAD/ENV/JWPTE(2017)8/FINAL&amp;docLanguage=En" TargetMode="External"/><Relationship Id="rId16" Type="http://schemas.openxmlformats.org/officeDocument/2006/relationships/hyperlink" Target="https://www.gov.uk/government/publications/offshore-wind-sector-deal" TargetMode="External"/><Relationship Id="rId20" Type="http://schemas.openxmlformats.org/officeDocument/2006/relationships/hyperlink" Target="https://www.wto.org/english/tratop_e/dispu_e/381abr_e.pdf" TargetMode="External"/><Relationship Id="rId1" Type="http://schemas.openxmlformats.org/officeDocument/2006/relationships/hyperlink" Target="https://www.oecd.org/trade/topics/local-content-requirements/" TargetMode="External"/><Relationship Id="rId6" Type="http://schemas.openxmlformats.org/officeDocument/2006/relationships/hyperlink" Target="https://read.oecd-ilibrary.org/environment/overcoming-barriers-to-international-investment-in-clean-energy_9789264227064-en" TargetMode="External"/><Relationship Id="rId11" Type="http://schemas.openxmlformats.org/officeDocument/2006/relationships/hyperlink" Target="https://www.greentechmedia.com/articles/read/inside-new-yorks-push-to-be-center-of-gravity-for-us-offshore-wind" TargetMode="External"/><Relationship Id="rId24" Type="http://schemas.openxmlformats.org/officeDocument/2006/relationships/hyperlink" Target="https://climate.law.columbia.edu/content/establish-just-transition-working-group" TargetMode="External"/><Relationship Id="rId5" Type="http://schemas.openxmlformats.org/officeDocument/2006/relationships/hyperlink" Target="http://files.publicaffairs.geblogs.com/files/2014/08/Local-Content-Requirements-Report-on-a-Global-Problem.pdf" TargetMode="External"/><Relationship Id="rId15" Type="http://schemas.openxmlformats.org/officeDocument/2006/relationships/hyperlink" Target="https://sdgs.un.org/goals" TargetMode="External"/><Relationship Id="rId23" Type="http://schemas.openxmlformats.org/officeDocument/2006/relationships/hyperlink" Target="https://cdn.ymaws.com/www.renewableuk.com/resource/resmgr/publications/guides/guide_to_measuring_uk_conten.pdf" TargetMode="External"/><Relationship Id="rId10" Type="http://schemas.openxmlformats.org/officeDocument/2006/relationships/hyperlink" Target="https://www.rivieramm.com/news-content-hub/top-down-approach-to-local-content-lsquodrove-costs-uprsquo-in-france-55156" TargetMode="External"/><Relationship Id="rId19" Type="http://schemas.openxmlformats.org/officeDocument/2006/relationships/hyperlink" Target="https://bvgassociates.com/wp-content/uploads/2016/08/1306-BVGA-RUK2013-Offshore-Roberts.pdf" TargetMode="External"/><Relationship Id="rId4" Type="http://schemas.openxmlformats.org/officeDocument/2006/relationships/hyperlink" Target="https://www.wto.org/english/tratop_e/dispu_e/cases_e/ds510_e.htm" TargetMode="External"/><Relationship Id="rId9" Type="http://schemas.openxmlformats.org/officeDocument/2006/relationships/hyperlink" Target="https://read.oecd-ilibrary.org/environment/overcoming-barriers-to-international-investment-in-clean-energy_9789264227064-en" TargetMode="External"/><Relationship Id="rId14" Type="http://schemas.openxmlformats.org/officeDocument/2006/relationships/hyperlink" Target="http://www.oecd.org/daf/inv/mne/48004323.pdf" TargetMode="External"/><Relationship Id="rId22" Type="http://schemas.openxmlformats.org/officeDocument/2006/relationships/hyperlink" Target="https://doi.org/10.1093/jiel/jgt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3373</Words>
  <Characters>19231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2021-05-25T16:39:00Z</dcterms:created>
  <dcterms:modified xsi:type="dcterms:W3CDTF">2021-05-25T16:39:00Z</dcterms:modified>
</cp:coreProperties>
</file>