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88C11" w14:textId="4FF54FD5" w:rsidR="00127EB7" w:rsidRDefault="00127EB7" w:rsidP="0092075F">
      <w:pPr>
        <w:pStyle w:val="NormalWeb"/>
        <w:spacing w:before="0" w:beforeAutospacing="0" w:after="0" w:afterAutospacing="0"/>
      </w:pPr>
      <w:r w:rsidRPr="00127EB7">
        <w:t xml:space="preserve">This document has been prepared as part of the implementation project of Legal Pathways to Deep Decarbonization (Michael B. Gerrard and John C. </w:t>
      </w:r>
      <w:proofErr w:type="spellStart"/>
      <w:r w:rsidRPr="00127EB7">
        <w:t>Dernbach</w:t>
      </w:r>
      <w:proofErr w:type="spellEnd"/>
      <w:r w:rsidRPr="00127EB7">
        <w:t xml:space="preserve">, eds. Environmental Law Institute [2019]) (LPDD).  For background information on the project, see </w:t>
      </w:r>
      <w:hyperlink r:id="rId8" w:history="1">
        <w:r w:rsidRPr="00DB5896">
          <w:rPr>
            <w:rStyle w:val="Hyperlink"/>
          </w:rPr>
          <w:t>https://lpdd.org</w:t>
        </w:r>
      </w:hyperlink>
    </w:p>
    <w:p w14:paraId="506BCE60" w14:textId="77777777" w:rsidR="00127EB7" w:rsidRDefault="00127EB7" w:rsidP="0092075F">
      <w:pPr>
        <w:pStyle w:val="NormalWeb"/>
        <w:spacing w:before="0" w:beforeAutospacing="0" w:after="0" w:afterAutospacing="0"/>
      </w:pPr>
    </w:p>
    <w:p w14:paraId="53D5CD5C" w14:textId="284898BE" w:rsidR="0092075F" w:rsidRPr="00861621" w:rsidRDefault="0092075F" w:rsidP="0092075F">
      <w:pPr>
        <w:pStyle w:val="NormalWeb"/>
        <w:spacing w:before="0" w:beforeAutospacing="0" w:after="0" w:afterAutospacing="0"/>
      </w:pPr>
      <w:r w:rsidRPr="00861621">
        <w:t xml:space="preserve">117TH CONGRESS </w:t>
      </w:r>
    </w:p>
    <w:p w14:paraId="5F7CEE41" w14:textId="3851D2D3" w:rsidR="0092075F" w:rsidRPr="00861621" w:rsidRDefault="0092075F" w:rsidP="0092075F">
      <w:pPr>
        <w:pStyle w:val="NormalWeb"/>
        <w:spacing w:before="0" w:beforeAutospacing="0" w:after="0" w:afterAutospacing="0"/>
      </w:pPr>
      <w:r w:rsidRPr="00861621">
        <w:t xml:space="preserve">       XX SESSION </w:t>
      </w:r>
    </w:p>
    <w:p w14:paraId="6C6D58A1" w14:textId="77777777" w:rsidR="0092075F" w:rsidRPr="00861621" w:rsidRDefault="0092075F" w:rsidP="0092075F">
      <w:pPr>
        <w:pStyle w:val="NormalWeb"/>
        <w:spacing w:before="0" w:beforeAutospacing="0" w:after="0" w:afterAutospacing="0"/>
      </w:pPr>
    </w:p>
    <w:p w14:paraId="79E081F7" w14:textId="77777777" w:rsidR="0092075F" w:rsidRPr="00861621" w:rsidRDefault="0092075F" w:rsidP="00707965">
      <w:pPr>
        <w:pStyle w:val="NormalWeb"/>
        <w:spacing w:before="0" w:beforeAutospacing="0" w:after="0" w:afterAutospacing="0"/>
        <w:jc w:val="center"/>
      </w:pPr>
    </w:p>
    <w:p w14:paraId="78EF9B96" w14:textId="7090B1BC" w:rsidR="00707965" w:rsidRPr="00861621" w:rsidRDefault="00707965" w:rsidP="00707965">
      <w:pPr>
        <w:pStyle w:val="NormalWeb"/>
        <w:spacing w:before="0" w:beforeAutospacing="0" w:after="0" w:afterAutospacing="0"/>
        <w:jc w:val="center"/>
      </w:pPr>
      <w:r w:rsidRPr="00861621">
        <w:t>An Act</w:t>
      </w:r>
      <w:r w:rsidR="00B0195B" w:rsidRPr="00861621">
        <w:rPr>
          <w:rStyle w:val="FootnoteReference"/>
        </w:rPr>
        <w:footnoteReference w:id="1"/>
      </w:r>
    </w:p>
    <w:p w14:paraId="1B30CEA4" w14:textId="77777777" w:rsidR="00707965" w:rsidRPr="00861621" w:rsidRDefault="00707965" w:rsidP="00707965">
      <w:pPr>
        <w:pStyle w:val="NormalWeb"/>
        <w:spacing w:before="0" w:beforeAutospacing="0" w:after="0" w:afterAutospacing="0"/>
      </w:pPr>
    </w:p>
    <w:p w14:paraId="43474758" w14:textId="3AEE9EBD" w:rsidR="000A78D0" w:rsidRPr="00861621" w:rsidRDefault="000A78D0" w:rsidP="00ED6ACF">
      <w:pPr>
        <w:pStyle w:val="NormalWeb"/>
        <w:adjustRightInd w:val="0"/>
        <w:snapToGrid w:val="0"/>
        <w:spacing w:before="0" w:beforeAutospacing="0" w:after="0" w:afterAutospacing="0"/>
        <w:rPr>
          <w14:ligatures w14:val="standard"/>
        </w:rPr>
      </w:pPr>
    </w:p>
    <w:p w14:paraId="7029BACC" w14:textId="1795072D" w:rsidR="0086395A" w:rsidRPr="00861621" w:rsidRDefault="000A78D0" w:rsidP="00707965">
      <w:pPr>
        <w:pStyle w:val="NormalWeb"/>
        <w:spacing w:before="0" w:beforeAutospacing="0" w:after="0" w:afterAutospacing="0"/>
        <w:rPr>
          <w14:ligatures w14:val="standard"/>
        </w:rPr>
      </w:pPr>
      <w:r w:rsidRPr="00861621">
        <w:rPr>
          <w14:ligatures w14:val="standard"/>
        </w:rPr>
        <w:t xml:space="preserve">To ensure any ship that departs from or calls at a U.S. port utilizes </w:t>
      </w:r>
      <w:r w:rsidR="00127EB7">
        <w:rPr>
          <w14:ligatures w14:val="standard"/>
        </w:rPr>
        <w:t>A</w:t>
      </w:r>
      <w:r w:rsidRPr="00861621">
        <w:rPr>
          <w14:ligatures w14:val="standard"/>
        </w:rPr>
        <w:t>rctic-eligible fuels on Arctic journeys.</w:t>
      </w:r>
    </w:p>
    <w:p w14:paraId="3C0D22B5" w14:textId="6DF52217" w:rsidR="00275272" w:rsidRPr="00861621" w:rsidRDefault="00326E6B" w:rsidP="00707965">
      <w:pPr>
        <w:pStyle w:val="NormalWeb"/>
        <w:spacing w:before="0" w:beforeAutospacing="0" w:after="0" w:afterAutospacing="0"/>
        <w:rPr>
          <w:i/>
          <w:iCs/>
        </w:rPr>
      </w:pPr>
      <w:r w:rsidRPr="00861621">
        <w:rPr>
          <w14:ligatures w14:val="standard"/>
        </w:rPr>
        <w:t xml:space="preserve"> </w:t>
      </w:r>
    </w:p>
    <w:p w14:paraId="595D5359" w14:textId="77777777" w:rsidR="00707965" w:rsidRPr="00861621" w:rsidRDefault="00707965" w:rsidP="0092075F">
      <w:pPr>
        <w:pStyle w:val="NormalWeb"/>
        <w:spacing w:before="0" w:beforeAutospacing="0" w:after="0" w:afterAutospacing="0"/>
        <w:ind w:firstLine="720"/>
      </w:pPr>
      <w:r w:rsidRPr="00861621">
        <w:rPr>
          <w:i/>
          <w:iCs/>
        </w:rPr>
        <w:t>Be it enacted by the Senate and House of Representatives of the United States of America in Congress assembled</w:t>
      </w:r>
      <w:r w:rsidRPr="00861621">
        <w:t xml:space="preserve">, </w:t>
      </w:r>
    </w:p>
    <w:p w14:paraId="46620004" w14:textId="77777777" w:rsidR="0092075F" w:rsidRPr="00861621" w:rsidRDefault="0092075F" w:rsidP="00707965">
      <w:pPr>
        <w:rPr>
          <w:rFonts w:cs="Times New Roman"/>
          <w:b/>
          <w:bCs/>
        </w:rPr>
      </w:pPr>
    </w:p>
    <w:p w14:paraId="3F9E8351" w14:textId="7384BD60" w:rsidR="00707965" w:rsidRPr="00861621" w:rsidRDefault="003D6CBA" w:rsidP="00707965">
      <w:pPr>
        <w:rPr>
          <w:rFonts w:cs="Times New Roman"/>
          <w:b/>
          <w:bCs/>
        </w:rPr>
      </w:pPr>
      <w:r w:rsidRPr="00861621">
        <w:rPr>
          <w:rFonts w:cs="Times New Roman"/>
          <w:b/>
          <w:bCs/>
        </w:rPr>
        <w:t xml:space="preserve">SECTION 1. SHORT TITLE. </w:t>
      </w:r>
    </w:p>
    <w:p w14:paraId="3876FAE6" w14:textId="77777777" w:rsidR="0092075F" w:rsidRPr="00861621" w:rsidRDefault="0092075F" w:rsidP="00707965">
      <w:pPr>
        <w:rPr>
          <w:rFonts w:cs="Times New Roman"/>
        </w:rPr>
      </w:pPr>
    </w:p>
    <w:p w14:paraId="0F070BB2" w14:textId="714E245C" w:rsidR="003D6CBA" w:rsidRPr="00861621" w:rsidRDefault="003D6CBA" w:rsidP="00707965">
      <w:pPr>
        <w:rPr>
          <w:rFonts w:eastAsia="Times New Roman" w:cs="Times New Roman"/>
          <w:color w:val="32434F"/>
        </w:rPr>
      </w:pPr>
      <w:r w:rsidRPr="00861621">
        <w:rPr>
          <w:rFonts w:cs="Times New Roman"/>
        </w:rPr>
        <w:t>This Act may be cited as the</w:t>
      </w:r>
      <w:r w:rsidR="007E458C" w:rsidRPr="00861621">
        <w:rPr>
          <w:rFonts w:cs="Times New Roman"/>
        </w:rPr>
        <w:t xml:space="preserve"> “</w:t>
      </w:r>
      <w:r w:rsidR="007E458C" w:rsidRPr="00861621">
        <w:rPr>
          <w:rFonts w:cs="Times New Roman"/>
          <w:color w:val="000000" w:themeColor="text1"/>
        </w:rPr>
        <w:t xml:space="preserve">Reduction of </w:t>
      </w:r>
      <w:r w:rsidR="00326E6B" w:rsidRPr="00861621">
        <w:rPr>
          <w:rFonts w:cs="Times New Roman"/>
          <w:color w:val="000000" w:themeColor="text1"/>
        </w:rPr>
        <w:t xml:space="preserve">Arctic </w:t>
      </w:r>
      <w:r w:rsidR="007E458C" w:rsidRPr="00861621">
        <w:rPr>
          <w:rFonts w:cs="Times New Roman"/>
          <w:color w:val="000000" w:themeColor="text1"/>
        </w:rPr>
        <w:t xml:space="preserve">Shipping Emissions </w:t>
      </w:r>
      <w:r w:rsidR="00326E6B" w:rsidRPr="00861621">
        <w:rPr>
          <w:rFonts w:cs="Times New Roman"/>
          <w:color w:val="000000" w:themeColor="text1"/>
        </w:rPr>
        <w:t>that</w:t>
      </w:r>
      <w:r w:rsidR="007E458C" w:rsidRPr="00861621">
        <w:rPr>
          <w:rFonts w:cs="Times New Roman"/>
          <w:color w:val="000000" w:themeColor="text1"/>
        </w:rPr>
        <w:t xml:space="preserve"> Lead to Warming </w:t>
      </w:r>
      <w:r w:rsidR="0010387B" w:rsidRPr="00861621">
        <w:rPr>
          <w:rFonts w:cs="Times New Roman"/>
          <w:color w:val="000000" w:themeColor="text1"/>
        </w:rPr>
        <w:t>Act</w:t>
      </w:r>
      <w:r w:rsidR="007E458C" w:rsidRPr="00861621">
        <w:rPr>
          <w:rFonts w:cs="Times New Roman"/>
        </w:rPr>
        <w:t>”</w:t>
      </w:r>
      <w:r w:rsidRPr="00861621">
        <w:rPr>
          <w:rFonts w:cs="Times New Roman"/>
        </w:rPr>
        <w:t>.</w:t>
      </w:r>
      <w:r w:rsidR="00FF3CB8" w:rsidRPr="00861621">
        <w:rPr>
          <w:rStyle w:val="FootnoteReference"/>
          <w:rFonts w:cs="Times New Roman"/>
          <w14:ligatures w14:val="standard"/>
        </w:rPr>
        <w:t xml:space="preserve"> </w:t>
      </w:r>
    </w:p>
    <w:p w14:paraId="1C587180" w14:textId="77777777" w:rsidR="003D6CBA" w:rsidRPr="00861621" w:rsidRDefault="003D6CBA" w:rsidP="00707965">
      <w:pPr>
        <w:pStyle w:val="NormalWeb"/>
        <w:spacing w:before="0" w:beforeAutospacing="0" w:after="0" w:afterAutospacing="0"/>
        <w:rPr>
          <w:b/>
          <w:bCs/>
        </w:rPr>
      </w:pPr>
    </w:p>
    <w:p w14:paraId="1F3BF944" w14:textId="4EAEAB26" w:rsidR="00707965" w:rsidRPr="00861621" w:rsidRDefault="00AF36A5" w:rsidP="00707965">
      <w:pPr>
        <w:rPr>
          <w:rFonts w:cs="Times New Roman"/>
          <w:b/>
          <w:bCs/>
        </w:rPr>
      </w:pPr>
      <w:r w:rsidRPr="00861621">
        <w:rPr>
          <w:rFonts w:cs="Times New Roman"/>
          <w:b/>
          <w:bCs/>
        </w:rPr>
        <w:t>SEC</w:t>
      </w:r>
      <w:r w:rsidR="008B4FF7" w:rsidRPr="00861621">
        <w:rPr>
          <w:rFonts w:cs="Times New Roman"/>
          <w:b/>
          <w:bCs/>
        </w:rPr>
        <w:t>.</w:t>
      </w:r>
      <w:r w:rsidRPr="00861621">
        <w:rPr>
          <w:rFonts w:cs="Times New Roman"/>
          <w:b/>
          <w:bCs/>
        </w:rPr>
        <w:t xml:space="preserve"> </w:t>
      </w:r>
      <w:r w:rsidR="00707965" w:rsidRPr="00861621">
        <w:rPr>
          <w:rFonts w:cs="Times New Roman"/>
          <w:b/>
          <w:bCs/>
        </w:rPr>
        <w:t>2</w:t>
      </w:r>
      <w:r w:rsidRPr="00861621">
        <w:rPr>
          <w:rFonts w:cs="Times New Roman"/>
          <w:b/>
          <w:bCs/>
        </w:rPr>
        <w:t xml:space="preserve">. </w:t>
      </w:r>
      <w:r w:rsidR="0092075F" w:rsidRPr="00861621">
        <w:rPr>
          <w:rFonts w:cs="Times New Roman"/>
          <w:b/>
          <w:bCs/>
        </w:rPr>
        <w:t>DEFINITIONS.</w:t>
      </w:r>
    </w:p>
    <w:p w14:paraId="2FCAF3D8" w14:textId="77777777" w:rsidR="0092075F" w:rsidRPr="00861621" w:rsidRDefault="0092075F" w:rsidP="00707965">
      <w:pPr>
        <w:rPr>
          <w:rFonts w:cs="Times New Roman"/>
        </w:rPr>
      </w:pPr>
    </w:p>
    <w:p w14:paraId="00145E1B" w14:textId="3F6D8F36" w:rsidR="004E2244" w:rsidRPr="00861621" w:rsidRDefault="0092075F" w:rsidP="00707965">
      <w:pPr>
        <w:rPr>
          <w:rFonts w:cs="Times New Roman"/>
        </w:rPr>
      </w:pPr>
      <w:r w:rsidRPr="00861621">
        <w:rPr>
          <w:rFonts w:cs="Times New Roman"/>
        </w:rPr>
        <w:t xml:space="preserve">In this </w:t>
      </w:r>
      <w:r w:rsidR="00DB4364" w:rsidRPr="00861621">
        <w:rPr>
          <w:rFonts w:cs="Times New Roman"/>
        </w:rPr>
        <w:t>Act</w:t>
      </w:r>
      <w:r w:rsidR="008B4FF7" w:rsidRPr="00861621">
        <w:rPr>
          <w:rFonts w:cs="Times New Roman"/>
        </w:rPr>
        <w:t>:</w:t>
      </w:r>
    </w:p>
    <w:p w14:paraId="00C364BE" w14:textId="77777777" w:rsidR="008B4FF7" w:rsidRPr="00861621" w:rsidRDefault="008B4FF7" w:rsidP="00707965">
      <w:pPr>
        <w:rPr>
          <w:rFonts w:cs="Times New Roman"/>
        </w:rPr>
      </w:pPr>
    </w:p>
    <w:p w14:paraId="39442892" w14:textId="08CCB66A" w:rsidR="0010387B" w:rsidRPr="00861621" w:rsidRDefault="00DD63D1" w:rsidP="00204BBE">
      <w:pPr>
        <w:outlineLvl w:val="2"/>
        <w:rPr>
          <w:rFonts w:cs="Times New Roman"/>
          <w:color w:val="000000" w:themeColor="text1"/>
        </w:rPr>
      </w:pPr>
      <w:r w:rsidRPr="00861621">
        <w:rPr>
          <w:rFonts w:cs="Times New Roman"/>
        </w:rPr>
        <w:t>(</w:t>
      </w:r>
      <w:r w:rsidR="007D3418" w:rsidRPr="00861621">
        <w:rPr>
          <w:rFonts w:cs="Times New Roman"/>
        </w:rPr>
        <w:t xml:space="preserve">1) </w:t>
      </w:r>
      <w:r w:rsidR="008B4FF7" w:rsidRPr="00861621">
        <w:rPr>
          <w:rFonts w:cs="Times New Roman"/>
        </w:rPr>
        <w:t xml:space="preserve">The term </w:t>
      </w:r>
      <w:r w:rsidR="007D3418" w:rsidRPr="00861621">
        <w:rPr>
          <w:rFonts w:cs="Times New Roman"/>
        </w:rPr>
        <w:t>“Administrator” means the Administrator of the Environmental Protection Agency</w:t>
      </w:r>
      <w:r w:rsidR="008B4FF7" w:rsidRPr="00861621">
        <w:rPr>
          <w:rFonts w:cs="Times New Roman"/>
        </w:rPr>
        <w:t>.</w:t>
      </w:r>
      <w:r w:rsidR="007D3418" w:rsidRPr="00861621">
        <w:rPr>
          <w:rStyle w:val="FootnoteReference"/>
          <w:rFonts w:cs="Times New Roman"/>
        </w:rPr>
        <w:footnoteReference w:id="2"/>
      </w:r>
    </w:p>
    <w:p w14:paraId="309E24BA" w14:textId="77777777" w:rsidR="00447A46" w:rsidRPr="00861621" w:rsidRDefault="00447A46" w:rsidP="008B4FF7">
      <w:pPr>
        <w:rPr>
          <w:rFonts w:cs="Times New Roman"/>
        </w:rPr>
      </w:pPr>
    </w:p>
    <w:p w14:paraId="4702044B" w14:textId="4DEDA34A" w:rsidR="0010387B" w:rsidRPr="00861621" w:rsidRDefault="0010387B" w:rsidP="008B4FF7">
      <w:pPr>
        <w:rPr>
          <w:rFonts w:cs="Times New Roman"/>
        </w:rPr>
      </w:pPr>
      <w:r w:rsidRPr="00861621">
        <w:rPr>
          <w:rFonts w:cs="Times New Roman"/>
        </w:rPr>
        <w:t>(2)</w:t>
      </w:r>
      <w:r w:rsidR="008B4FF7" w:rsidRPr="00861621">
        <w:rPr>
          <w:rFonts w:cs="Times New Roman"/>
        </w:rPr>
        <w:t xml:space="preserve"> </w:t>
      </w:r>
      <w:r w:rsidR="00391555" w:rsidRPr="00861621">
        <w:rPr>
          <w:rFonts w:cs="Times New Roman"/>
        </w:rPr>
        <w:t xml:space="preserve">The term </w:t>
      </w:r>
      <w:r w:rsidRPr="00861621">
        <w:rPr>
          <w:rFonts w:cs="Times New Roman"/>
        </w:rPr>
        <w:t>“Arctic” means all United States and foreign territory north of the</w:t>
      </w:r>
    </w:p>
    <w:p w14:paraId="74EC3EE7" w14:textId="307EB7A8" w:rsidR="00CC45A1" w:rsidRPr="00861621" w:rsidRDefault="0010387B" w:rsidP="0010387B">
      <w:pPr>
        <w:rPr>
          <w:rFonts w:cs="Times New Roman"/>
        </w:rPr>
      </w:pPr>
      <w:r w:rsidRPr="00861621">
        <w:rPr>
          <w:rFonts w:cs="Times New Roman"/>
        </w:rPr>
        <w:t>Arctic Circle and all United States territory north and west of the boundary formed by the Porcupine, Yukon, and Kuskokwim Rivers; all contiguous seas, including the Arctic Ocean and the Beaufort, Bering, and Chukchi Seas; and the Aleutian chain.</w:t>
      </w:r>
      <w:r w:rsidRPr="00861621">
        <w:rPr>
          <w:rStyle w:val="FootnoteReference"/>
          <w:rFonts w:cs="Times New Roman"/>
        </w:rPr>
        <w:footnoteReference w:id="3"/>
      </w:r>
    </w:p>
    <w:p w14:paraId="4A5BC680" w14:textId="77777777" w:rsidR="00447A46" w:rsidRPr="00861621" w:rsidRDefault="00447A46" w:rsidP="004D75B3">
      <w:pPr>
        <w:rPr>
          <w:rFonts w:cs="Times New Roman"/>
          <w:color w:val="000000" w:themeColor="text1"/>
        </w:rPr>
      </w:pPr>
    </w:p>
    <w:p w14:paraId="343DDB80" w14:textId="22DE58BF" w:rsidR="0046531C" w:rsidRPr="00861621" w:rsidRDefault="00391555" w:rsidP="004D75B3">
      <w:pPr>
        <w:rPr>
          <w:rFonts w:cs="Times New Roman"/>
          <w:color w:val="000000" w:themeColor="text1"/>
        </w:rPr>
      </w:pPr>
      <w:r w:rsidRPr="00861621">
        <w:rPr>
          <w:rFonts w:cs="Times New Roman"/>
          <w:color w:val="000000" w:themeColor="text1"/>
        </w:rPr>
        <w:t>(</w:t>
      </w:r>
      <w:r w:rsidR="004D75B3" w:rsidRPr="00861621">
        <w:rPr>
          <w:rFonts w:cs="Times New Roman"/>
          <w:color w:val="000000" w:themeColor="text1"/>
        </w:rPr>
        <w:t>3</w:t>
      </w:r>
      <w:r w:rsidRPr="00861621">
        <w:rPr>
          <w:rFonts w:cs="Times New Roman"/>
          <w:color w:val="000000" w:themeColor="text1"/>
        </w:rPr>
        <w:t xml:space="preserve">) </w:t>
      </w:r>
      <w:r w:rsidRPr="00861621">
        <w:rPr>
          <w:rFonts w:cs="Times New Roman"/>
        </w:rPr>
        <w:t xml:space="preserve">The term </w:t>
      </w:r>
      <w:r w:rsidR="00CC45A1" w:rsidRPr="00861621">
        <w:rPr>
          <w:rFonts w:cs="Times New Roman"/>
          <w:color w:val="000000" w:themeColor="text1"/>
        </w:rPr>
        <w:t xml:space="preserve">“Arctic Baseline Fuel” means fuel not prohibited in </w:t>
      </w:r>
      <w:r w:rsidR="004D75B3" w:rsidRPr="00861621">
        <w:rPr>
          <w:rFonts w:cs="Times New Roman"/>
          <w:color w:val="000000" w:themeColor="text1"/>
        </w:rPr>
        <w:t>section 4</w:t>
      </w:r>
      <w:r w:rsidR="00284C04" w:rsidRPr="00861621">
        <w:rPr>
          <w:rFonts w:cs="Times New Roman"/>
          <w:color w:val="000000" w:themeColor="text1"/>
        </w:rPr>
        <w:t>(a)(1)</w:t>
      </w:r>
      <w:r w:rsidR="00F07E84" w:rsidRPr="00861621">
        <w:rPr>
          <w:rStyle w:val="FootnoteReference"/>
          <w:rFonts w:cs="Times New Roman"/>
          <w14:ligatures w14:val="standard"/>
        </w:rPr>
        <w:t xml:space="preserve"> </w:t>
      </w:r>
      <w:r w:rsidR="00CC45A1" w:rsidRPr="00861621">
        <w:rPr>
          <w:rFonts w:cs="Times New Roman"/>
          <w:color w:val="000000" w:themeColor="text1"/>
        </w:rPr>
        <w:t xml:space="preserve">or </w:t>
      </w:r>
      <w:r w:rsidR="00AC2981" w:rsidRPr="00861621">
        <w:rPr>
          <w:rFonts w:cs="Times New Roman"/>
          <w:color w:val="000000" w:themeColor="text1"/>
        </w:rPr>
        <w:t xml:space="preserve">not </w:t>
      </w:r>
      <w:r w:rsidR="00CC45A1" w:rsidRPr="00861621">
        <w:rPr>
          <w:rFonts w:cs="Times New Roman"/>
          <w:color w:val="000000" w:themeColor="text1"/>
        </w:rPr>
        <w:t>otherwise prohibited by law</w:t>
      </w:r>
      <w:r w:rsidRPr="00861621">
        <w:rPr>
          <w:rFonts w:cs="Times New Roman"/>
          <w:color w:val="000000" w:themeColor="text1"/>
        </w:rPr>
        <w:t>.</w:t>
      </w:r>
    </w:p>
    <w:p w14:paraId="15EC84FA" w14:textId="76990C3D" w:rsidR="00447A46" w:rsidRPr="00861621" w:rsidRDefault="00447A46" w:rsidP="004D75B3">
      <w:pPr>
        <w:rPr>
          <w:rFonts w:cs="Times New Roman"/>
          <w:color w:val="000000" w:themeColor="text1"/>
        </w:rPr>
      </w:pPr>
    </w:p>
    <w:p w14:paraId="37BE6E0D" w14:textId="45F6141E" w:rsidR="004103F4" w:rsidRPr="00861621" w:rsidRDefault="009B6433" w:rsidP="009B6433">
      <w:pPr>
        <w:rPr>
          <w:rFonts w:cs="Times New Roman"/>
          <w:color w:val="000000" w:themeColor="text1"/>
        </w:rPr>
      </w:pPr>
      <w:r w:rsidRPr="00861621">
        <w:rPr>
          <w:rFonts w:cs="Times New Roman"/>
          <w:color w:val="000000" w:themeColor="text1"/>
        </w:rPr>
        <w:t xml:space="preserve">(4) </w:t>
      </w:r>
      <w:r w:rsidRPr="00861621">
        <w:rPr>
          <w:rFonts w:cs="Times New Roman"/>
        </w:rPr>
        <w:t xml:space="preserve">The term </w:t>
      </w:r>
      <w:r w:rsidRPr="00861621">
        <w:rPr>
          <w:rFonts w:cs="Times New Roman"/>
          <w:color w:val="000000" w:themeColor="text1"/>
        </w:rPr>
        <w:t xml:space="preserve">“Arctic-eligible Fuel” </w:t>
      </w:r>
      <w:r w:rsidR="004103F4" w:rsidRPr="00861621">
        <w:rPr>
          <w:rFonts w:cs="Times New Roman"/>
          <w:color w:val="000000" w:themeColor="text1"/>
        </w:rPr>
        <w:t>means a fuel or battery operation—</w:t>
      </w:r>
    </w:p>
    <w:p w14:paraId="65EC9B4F" w14:textId="3F2B4B90" w:rsidR="004103F4" w:rsidRPr="00861621" w:rsidRDefault="004103F4" w:rsidP="004103F4">
      <w:pPr>
        <w:ind w:firstLine="720"/>
        <w:outlineLvl w:val="2"/>
        <w:rPr>
          <w:rFonts w:cs="Times New Roman"/>
          <w:color w:val="000000" w:themeColor="text1"/>
        </w:rPr>
      </w:pPr>
      <w:r w:rsidRPr="00861621">
        <w:rPr>
          <w:rFonts w:cs="Times New Roman"/>
        </w:rPr>
        <w:t xml:space="preserve">(a) </w:t>
      </w:r>
      <w:r w:rsidRPr="00861621">
        <w:rPr>
          <w:rFonts w:cs="Times New Roman"/>
          <w:color w:val="000000" w:themeColor="text1"/>
        </w:rPr>
        <w:t>eligible</w:t>
      </w:r>
      <w:r w:rsidR="00382DAE" w:rsidRPr="00861621">
        <w:rPr>
          <w:rFonts w:cs="Times New Roman"/>
          <w:color w:val="000000" w:themeColor="text1"/>
        </w:rPr>
        <w:t xml:space="preserve"> to be considered by the Administrator pursuant to section 4(b)</w:t>
      </w:r>
      <w:r w:rsidRPr="00861621">
        <w:rPr>
          <w:rFonts w:cs="Times New Roman"/>
          <w:color w:val="000000" w:themeColor="text1"/>
        </w:rPr>
        <w:t>,</w:t>
      </w:r>
      <w:r w:rsidR="00382DAE" w:rsidRPr="00861621">
        <w:rPr>
          <w:rFonts w:cs="Times New Roman"/>
          <w:color w:val="000000" w:themeColor="text1"/>
        </w:rPr>
        <w:t xml:space="preserve"> </w:t>
      </w:r>
    </w:p>
    <w:p w14:paraId="45F5BA13" w14:textId="4F1ED2A4" w:rsidR="004103F4" w:rsidRPr="00861621" w:rsidRDefault="004103F4" w:rsidP="004103F4">
      <w:pPr>
        <w:ind w:firstLine="720"/>
        <w:outlineLvl w:val="2"/>
        <w:rPr>
          <w:rFonts w:cs="Times New Roman"/>
          <w:color w:val="000000" w:themeColor="text1"/>
        </w:rPr>
      </w:pPr>
      <w:r w:rsidRPr="00861621">
        <w:rPr>
          <w:rFonts w:cs="Times New Roman"/>
          <w:color w:val="000000" w:themeColor="text1"/>
        </w:rPr>
        <w:t xml:space="preserve">(b) </w:t>
      </w:r>
      <w:r w:rsidR="00382DAE" w:rsidRPr="00861621">
        <w:rPr>
          <w:rFonts w:cs="Times New Roman"/>
          <w:color w:val="000000" w:themeColor="text1"/>
        </w:rPr>
        <w:t>not prohibited by the Administrator pursuant to section 4(a)</w:t>
      </w:r>
      <w:r w:rsidRPr="00861621">
        <w:rPr>
          <w:rFonts w:cs="Times New Roman"/>
          <w:color w:val="000000" w:themeColor="text1"/>
        </w:rPr>
        <w:t>,</w:t>
      </w:r>
      <w:r w:rsidR="009B6433" w:rsidRPr="00861621">
        <w:rPr>
          <w:rFonts w:cs="Times New Roman"/>
          <w:color w:val="000000" w:themeColor="text1"/>
        </w:rPr>
        <w:t xml:space="preserve"> </w:t>
      </w:r>
      <w:r w:rsidRPr="00861621">
        <w:rPr>
          <w:rFonts w:cs="Times New Roman"/>
          <w:color w:val="000000" w:themeColor="text1"/>
        </w:rPr>
        <w:t>and</w:t>
      </w:r>
      <w:r w:rsidR="009B6433" w:rsidRPr="00861621">
        <w:rPr>
          <w:rFonts w:cs="Times New Roman"/>
          <w:color w:val="000000" w:themeColor="text1"/>
        </w:rPr>
        <w:t xml:space="preserve"> </w:t>
      </w:r>
    </w:p>
    <w:p w14:paraId="49A15742" w14:textId="0C790DA8" w:rsidR="009B6433" w:rsidRPr="00861621" w:rsidRDefault="004103F4" w:rsidP="004C0305">
      <w:pPr>
        <w:ind w:firstLine="720"/>
        <w:outlineLvl w:val="2"/>
        <w:rPr>
          <w:rFonts w:cs="Times New Roman"/>
          <w:color w:val="000000" w:themeColor="text1"/>
        </w:rPr>
      </w:pPr>
      <w:r w:rsidRPr="00861621">
        <w:rPr>
          <w:rFonts w:cs="Times New Roman"/>
          <w:color w:val="000000" w:themeColor="text1"/>
        </w:rPr>
        <w:t xml:space="preserve">(c) </w:t>
      </w:r>
      <w:r w:rsidR="00F07E84" w:rsidRPr="00861621">
        <w:rPr>
          <w:rFonts w:cs="Times New Roman"/>
          <w:color w:val="000000" w:themeColor="text1"/>
        </w:rPr>
        <w:t xml:space="preserve">not </w:t>
      </w:r>
      <w:r w:rsidR="009B6433" w:rsidRPr="00861621">
        <w:rPr>
          <w:rFonts w:cs="Times New Roman"/>
          <w:color w:val="000000" w:themeColor="text1"/>
        </w:rPr>
        <w:t>otherwise prohibited by law.</w:t>
      </w:r>
      <w:r w:rsidR="00C60AE6" w:rsidRPr="00861621">
        <w:rPr>
          <w:rFonts w:cs="Times New Roman"/>
        </w:rPr>
        <w:t xml:space="preserve"> </w:t>
      </w:r>
    </w:p>
    <w:p w14:paraId="687773C6" w14:textId="77777777" w:rsidR="009B6433" w:rsidRPr="00861621" w:rsidRDefault="009B6433" w:rsidP="004D75B3">
      <w:pPr>
        <w:rPr>
          <w:rFonts w:cs="Times New Roman"/>
          <w:color w:val="000000" w:themeColor="text1"/>
        </w:rPr>
      </w:pPr>
    </w:p>
    <w:p w14:paraId="5106BF1F" w14:textId="5226DDBE" w:rsidR="009D27CA" w:rsidRPr="00861621" w:rsidRDefault="00391555" w:rsidP="004D75B3">
      <w:pPr>
        <w:rPr>
          <w:rFonts w:cs="Times New Roman"/>
          <w:color w:val="000000" w:themeColor="text1"/>
        </w:rPr>
      </w:pPr>
      <w:r w:rsidRPr="00861621">
        <w:rPr>
          <w:rFonts w:cs="Times New Roman"/>
          <w:color w:val="000000" w:themeColor="text1"/>
        </w:rPr>
        <w:lastRenderedPageBreak/>
        <w:t>(</w:t>
      </w:r>
      <w:r w:rsidR="00871627" w:rsidRPr="00861621">
        <w:rPr>
          <w:rFonts w:cs="Times New Roman"/>
          <w:color w:val="000000" w:themeColor="text1"/>
        </w:rPr>
        <w:t>5</w:t>
      </w:r>
      <w:r w:rsidRPr="00861621">
        <w:rPr>
          <w:rFonts w:cs="Times New Roman"/>
          <w:color w:val="000000" w:themeColor="text1"/>
        </w:rPr>
        <w:t xml:space="preserve">) </w:t>
      </w:r>
      <w:r w:rsidR="0046531C" w:rsidRPr="00861621">
        <w:rPr>
          <w:rFonts w:cs="Times New Roman"/>
          <w:color w:val="000000" w:themeColor="text1"/>
        </w:rPr>
        <w:t>The term “</w:t>
      </w:r>
      <w:r w:rsidR="006D4080" w:rsidRPr="00861621">
        <w:rPr>
          <w:rFonts w:cs="Times New Roman"/>
          <w:color w:val="000000" w:themeColor="text1"/>
        </w:rPr>
        <w:t>B</w:t>
      </w:r>
      <w:r w:rsidR="0046531C" w:rsidRPr="00861621">
        <w:rPr>
          <w:rFonts w:cs="Times New Roman"/>
          <w:color w:val="000000" w:themeColor="text1"/>
        </w:rPr>
        <w:t xml:space="preserve">aseline lifecycle </w:t>
      </w:r>
      <w:r w:rsidR="000B1C6A" w:rsidRPr="00861621">
        <w:rPr>
          <w:rFonts w:cs="Times New Roman"/>
          <w:color w:val="000000" w:themeColor="text1"/>
        </w:rPr>
        <w:t xml:space="preserve">climate </w:t>
      </w:r>
      <w:r w:rsidR="0046531C" w:rsidRPr="00861621">
        <w:rPr>
          <w:rFonts w:cs="Times New Roman"/>
          <w:color w:val="000000" w:themeColor="text1"/>
        </w:rPr>
        <w:t>emissions” means the</w:t>
      </w:r>
      <w:r w:rsidR="00F74A70" w:rsidRPr="00861621">
        <w:rPr>
          <w:rFonts w:cs="Times New Roman"/>
          <w:color w:val="000000" w:themeColor="text1"/>
        </w:rPr>
        <w:t xml:space="preserve"> </w:t>
      </w:r>
      <w:r w:rsidR="0046531C" w:rsidRPr="00861621">
        <w:rPr>
          <w:rFonts w:cs="Times New Roman"/>
          <w:color w:val="000000" w:themeColor="text1"/>
        </w:rPr>
        <w:t>lifecycle</w:t>
      </w:r>
      <w:r w:rsidR="00F74A70" w:rsidRPr="00861621">
        <w:rPr>
          <w:rFonts w:cs="Times New Roman"/>
          <w:color w:val="000000" w:themeColor="text1"/>
        </w:rPr>
        <w:t xml:space="preserve"> </w:t>
      </w:r>
      <w:r w:rsidR="00FF6EF1" w:rsidRPr="00861621">
        <w:rPr>
          <w:rFonts w:cs="Times New Roman"/>
        </w:rPr>
        <w:t xml:space="preserve">climate </w:t>
      </w:r>
      <w:r w:rsidR="00B77B32" w:rsidRPr="00861621">
        <w:rPr>
          <w:rFonts w:cs="Times New Roman"/>
        </w:rPr>
        <w:t>emissions</w:t>
      </w:r>
      <w:r w:rsidR="0046531C" w:rsidRPr="00861621">
        <w:rPr>
          <w:rFonts w:cs="Times New Roman"/>
          <w:color w:val="000000" w:themeColor="text1"/>
        </w:rPr>
        <w:t>, as determined by the Administrator</w:t>
      </w:r>
      <w:r w:rsidR="00E57FED" w:rsidRPr="00861621">
        <w:rPr>
          <w:rFonts w:cs="Times New Roman"/>
          <w:color w:val="000000" w:themeColor="text1"/>
        </w:rPr>
        <w:t xml:space="preserve"> </w:t>
      </w:r>
      <w:r w:rsidR="00E57FED" w:rsidRPr="00861621">
        <w:rPr>
          <w:rFonts w:cs="Times New Roman"/>
        </w:rPr>
        <w:t>to be feasible using the best available current technology</w:t>
      </w:r>
      <w:r w:rsidR="0046531C" w:rsidRPr="00861621">
        <w:rPr>
          <w:rFonts w:cs="Times New Roman"/>
          <w:color w:val="000000" w:themeColor="text1"/>
        </w:rPr>
        <w:t xml:space="preserve">, after notice and opportunity for comment, for </w:t>
      </w:r>
      <w:r w:rsidR="000B1C6A" w:rsidRPr="00861621">
        <w:rPr>
          <w:rFonts w:cs="Times New Roman"/>
          <w:color w:val="000000" w:themeColor="text1"/>
        </w:rPr>
        <w:t>Arctic Baseline Fuel.</w:t>
      </w:r>
      <w:r w:rsidR="0046531C" w:rsidRPr="00861621">
        <w:rPr>
          <w:rStyle w:val="FootnoteReference"/>
          <w:rFonts w:cs="Times New Roman"/>
          <w:color w:val="000000" w:themeColor="text1"/>
        </w:rPr>
        <w:footnoteReference w:id="4"/>
      </w:r>
    </w:p>
    <w:p w14:paraId="1E890F34" w14:textId="608F6EC2" w:rsidR="00B77B32" w:rsidRPr="00861621" w:rsidRDefault="00B77B32" w:rsidP="004D75B3">
      <w:pPr>
        <w:rPr>
          <w:rFonts w:cs="Times New Roman"/>
          <w:color w:val="000000" w:themeColor="text1"/>
        </w:rPr>
      </w:pPr>
    </w:p>
    <w:p w14:paraId="79990082" w14:textId="50009EBB" w:rsidR="00B77B32" w:rsidRPr="00861621" w:rsidRDefault="00B77B32" w:rsidP="004D75B3">
      <w:pPr>
        <w:rPr>
          <w:rFonts w:cs="Times New Roman"/>
          <w:color w:val="000000" w:themeColor="text1"/>
          <w:u w:val="single"/>
        </w:rPr>
      </w:pPr>
      <w:r w:rsidRPr="00861621">
        <w:rPr>
          <w:rFonts w:cs="Times New Roman"/>
          <w:color w:val="000000" w:themeColor="text1"/>
        </w:rPr>
        <w:t>(6) The term “</w:t>
      </w:r>
      <w:r w:rsidRPr="00861621">
        <w:rPr>
          <w:rFonts w:cs="Times New Roman"/>
        </w:rPr>
        <w:t xml:space="preserve">carbon dioxide equivalent emissions” means </w:t>
      </w:r>
      <w:r w:rsidRPr="00861621">
        <w:rPr>
          <w:rFonts w:cs="Times New Roman"/>
          <w:color w:val="000000" w:themeColor="text1"/>
        </w:rPr>
        <w:t>greenhouse gas emissions together with short-lived climate pollutants emissions.</w:t>
      </w:r>
    </w:p>
    <w:p w14:paraId="3F6A3322" w14:textId="77777777" w:rsidR="00447A46" w:rsidRDefault="00447A46" w:rsidP="004D75B3">
      <w:pPr>
        <w:rPr>
          <w:rFonts w:cs="Times New Roman"/>
          <w:color w:val="000000" w:themeColor="text1"/>
        </w:rPr>
      </w:pPr>
    </w:p>
    <w:p w14:paraId="43292987" w14:textId="762F7386" w:rsidR="00D46176" w:rsidRDefault="007D3418" w:rsidP="004D75B3">
      <w:pPr>
        <w:rPr>
          <w:rFonts w:cs="Times New Roman"/>
          <w:color w:val="000000" w:themeColor="text1"/>
        </w:rPr>
      </w:pPr>
      <w:r w:rsidRPr="007D3418">
        <w:rPr>
          <w:rFonts w:cs="Times New Roman"/>
          <w:color w:val="000000" w:themeColor="text1"/>
        </w:rPr>
        <w:t>(</w:t>
      </w:r>
      <w:r w:rsidR="00861621">
        <w:rPr>
          <w:rFonts w:cs="Times New Roman"/>
          <w:color w:val="000000" w:themeColor="text1"/>
        </w:rPr>
        <w:t>7</w:t>
      </w:r>
      <w:r w:rsidRPr="007D3418">
        <w:rPr>
          <w:rFonts w:cs="Times New Roman"/>
          <w:color w:val="000000" w:themeColor="text1"/>
        </w:rPr>
        <w:t xml:space="preserve">) </w:t>
      </w:r>
      <w:r w:rsidR="00805969" w:rsidRPr="000B1C6A">
        <w:rPr>
          <w:rFonts w:cs="Times New Roman"/>
          <w:color w:val="000000" w:themeColor="text1"/>
        </w:rPr>
        <w:t xml:space="preserve">The term </w:t>
      </w:r>
      <w:r w:rsidR="000B7B43">
        <w:rPr>
          <w:rFonts w:cs="Times New Roman"/>
          <w:color w:val="000000" w:themeColor="text1"/>
        </w:rPr>
        <w:t>“</w:t>
      </w:r>
      <w:r w:rsidRPr="007D3418">
        <w:rPr>
          <w:rFonts w:cs="Times New Roman"/>
          <w:color w:val="000000" w:themeColor="text1"/>
        </w:rPr>
        <w:t>Convention</w:t>
      </w:r>
      <w:r w:rsidR="000B7B43">
        <w:rPr>
          <w:rFonts w:cs="Times New Roman"/>
          <w:color w:val="000000" w:themeColor="text1"/>
        </w:rPr>
        <w:t>”</w:t>
      </w:r>
      <w:r w:rsidRPr="007D3418">
        <w:rPr>
          <w:rFonts w:cs="Times New Roman"/>
          <w:color w:val="000000" w:themeColor="text1"/>
        </w:rPr>
        <w:t xml:space="preserve"> means the International Convention for the Prevention of Pollution from Ships, 1973, including Protocols I and II and Annexes I, II, V, and VI thereto, including any modification or amendments to the Convention, Protocols, or Annexes which have entered into force for the United States</w:t>
      </w:r>
      <w:r w:rsidR="000B7B43">
        <w:rPr>
          <w:rFonts w:cs="Times New Roman"/>
          <w:color w:val="000000" w:themeColor="text1"/>
        </w:rPr>
        <w:t>.</w:t>
      </w:r>
      <w:r w:rsidR="00F201A1">
        <w:rPr>
          <w:rStyle w:val="FootnoteReference"/>
          <w:rFonts w:cs="Times New Roman"/>
        </w:rPr>
        <w:footnoteReference w:id="5"/>
      </w:r>
    </w:p>
    <w:p w14:paraId="507E0AF3" w14:textId="77777777" w:rsidR="00CF61ED" w:rsidRDefault="00CF61ED" w:rsidP="004D75B3">
      <w:pPr>
        <w:rPr>
          <w:rFonts w:cs="Times New Roman"/>
          <w:color w:val="000000" w:themeColor="text1"/>
        </w:rPr>
      </w:pPr>
    </w:p>
    <w:p w14:paraId="0DCE5B93" w14:textId="7CB29D1B" w:rsidR="00A50E85" w:rsidRDefault="007947B5" w:rsidP="001C639A">
      <w:pPr>
        <w:adjustRightInd w:val="0"/>
        <w:snapToGrid w:val="0"/>
        <w:rPr>
          <w:rFonts w:cs="Times New Roman"/>
        </w:rPr>
      </w:pPr>
      <w:r>
        <w:rPr>
          <w:rFonts w:cs="Times New Roman"/>
        </w:rPr>
        <w:t>(</w:t>
      </w:r>
      <w:r w:rsidR="00861621">
        <w:rPr>
          <w:rFonts w:cs="Times New Roman"/>
        </w:rPr>
        <w:t>8</w:t>
      </w:r>
      <w:r>
        <w:rPr>
          <w:rFonts w:cs="Times New Roman"/>
        </w:rPr>
        <w:t xml:space="preserve">) </w:t>
      </w:r>
      <w:r w:rsidRPr="000B1C6A">
        <w:rPr>
          <w:rFonts w:cs="Times New Roman"/>
          <w:color w:val="000000" w:themeColor="text1"/>
        </w:rPr>
        <w:t xml:space="preserve">The term </w:t>
      </w:r>
      <w:r w:rsidR="001628C7">
        <w:rPr>
          <w:rFonts w:cs="Times New Roman"/>
        </w:rPr>
        <w:t>“G</w:t>
      </w:r>
      <w:r w:rsidR="001628C7" w:rsidRPr="001628C7">
        <w:rPr>
          <w:rFonts w:cs="Times New Roman"/>
        </w:rPr>
        <w:t>reenhouse gas” means carbon dioxide, hydrofluorocarbons, methane, nitrous oxide, perfluorocarbons,</w:t>
      </w:r>
      <w:r w:rsidR="00876171">
        <w:rPr>
          <w:rFonts w:cs="Times New Roman"/>
        </w:rPr>
        <w:t xml:space="preserve"> </w:t>
      </w:r>
      <w:r w:rsidR="001628C7" w:rsidRPr="001628C7">
        <w:rPr>
          <w:rFonts w:cs="Times New Roman"/>
        </w:rPr>
        <w:t>sulfur hexafluoride</w:t>
      </w:r>
      <w:r w:rsidR="001628C7">
        <w:rPr>
          <w:rFonts w:cs="Times New Roman"/>
        </w:rPr>
        <w:t xml:space="preserve">, </w:t>
      </w:r>
      <w:r w:rsidR="00AF4A1F">
        <w:rPr>
          <w:rFonts w:cs="Times New Roman"/>
        </w:rPr>
        <w:t xml:space="preserve">and </w:t>
      </w:r>
      <w:r w:rsidR="003677A3" w:rsidRPr="003677A3">
        <w:rPr>
          <w:rFonts w:cs="Times New Roman"/>
        </w:rPr>
        <w:t>nitrogen trifluorid</w:t>
      </w:r>
      <w:r w:rsidR="003677A3">
        <w:rPr>
          <w:rFonts w:cs="Times New Roman"/>
        </w:rPr>
        <w:t>e.</w:t>
      </w:r>
      <w:r w:rsidR="00AF4A1F">
        <w:rPr>
          <w:rStyle w:val="FootnoteReference"/>
          <w:rFonts w:cs="Times New Roman"/>
        </w:rPr>
        <w:footnoteReference w:id="6"/>
      </w:r>
      <w:r w:rsidR="003677A3">
        <w:rPr>
          <w:rFonts w:cs="Times New Roman"/>
        </w:rPr>
        <w:t xml:space="preserve"> </w:t>
      </w:r>
      <w:r w:rsidR="001628C7" w:rsidRPr="001628C7">
        <w:rPr>
          <w:rFonts w:cs="Times New Roman"/>
        </w:rPr>
        <w:t>The Administrator may include any other anthropogenically-emitted gas that is determined by the Administrator, after notice and comment, to contribute to global warming</w:t>
      </w:r>
      <w:r w:rsidR="0006702F" w:rsidRPr="001628C7">
        <w:rPr>
          <w:rFonts w:cs="Times New Roman"/>
        </w:rPr>
        <w:t>.</w:t>
      </w:r>
      <w:r w:rsidR="007B2D61">
        <w:rPr>
          <w:rStyle w:val="FootnoteReference"/>
          <w:rFonts w:cs="Times New Roman"/>
        </w:rPr>
        <w:footnoteReference w:id="7"/>
      </w:r>
    </w:p>
    <w:p w14:paraId="5AD2EFDC" w14:textId="77777777" w:rsidR="00447A46" w:rsidRDefault="00447A46" w:rsidP="001C639A">
      <w:pPr>
        <w:adjustRightInd w:val="0"/>
        <w:snapToGrid w:val="0"/>
        <w:rPr>
          <w:rFonts w:cs="Times New Roman"/>
        </w:rPr>
      </w:pPr>
    </w:p>
    <w:p w14:paraId="49A6F85E" w14:textId="62F03175" w:rsidR="007B2D61" w:rsidRPr="001C639A" w:rsidRDefault="000B7B43" w:rsidP="001C639A">
      <w:pPr>
        <w:adjustRightInd w:val="0"/>
        <w:snapToGrid w:val="0"/>
        <w:rPr>
          <w:rFonts w:cs="Times New Roman"/>
        </w:rPr>
      </w:pPr>
      <w:r>
        <w:rPr>
          <w:rFonts w:cs="Times New Roman"/>
        </w:rPr>
        <w:t>(</w:t>
      </w:r>
      <w:r w:rsidR="00861621">
        <w:rPr>
          <w:rFonts w:cs="Times New Roman"/>
        </w:rPr>
        <w:t>9</w:t>
      </w:r>
      <w:r>
        <w:rPr>
          <w:rFonts w:cs="Times New Roman"/>
        </w:rPr>
        <w:t xml:space="preserve">) </w:t>
      </w:r>
      <w:r w:rsidR="007947B5" w:rsidRPr="000B1C6A">
        <w:rPr>
          <w:rFonts w:cs="Times New Roman"/>
          <w:color w:val="000000" w:themeColor="text1"/>
        </w:rPr>
        <w:t xml:space="preserve">The term </w:t>
      </w:r>
      <w:r w:rsidR="004E2244" w:rsidRPr="004E2244">
        <w:rPr>
          <w:rFonts w:cs="Times New Roman"/>
        </w:rPr>
        <w:t>“</w:t>
      </w:r>
      <w:r w:rsidR="00DF73B3">
        <w:rPr>
          <w:rFonts w:cs="Times New Roman"/>
        </w:rPr>
        <w:t>L</w:t>
      </w:r>
      <w:r w:rsidR="004E2244" w:rsidRPr="004E2244">
        <w:rPr>
          <w:rFonts w:cs="Times New Roman"/>
        </w:rPr>
        <w:t xml:space="preserve">ifecycle </w:t>
      </w:r>
      <w:r w:rsidR="00E0125D">
        <w:rPr>
          <w:rFonts w:cs="Times New Roman"/>
        </w:rPr>
        <w:t>climate</w:t>
      </w:r>
      <w:r w:rsidR="004E2244" w:rsidRPr="004E2244">
        <w:rPr>
          <w:rFonts w:cs="Times New Roman"/>
        </w:rPr>
        <w:t xml:space="preserve"> emissions” means the aggregate quantity of</w:t>
      </w:r>
      <w:r w:rsidR="00F74A70">
        <w:rPr>
          <w:rFonts w:cs="Times New Roman"/>
        </w:rPr>
        <w:t xml:space="preserve"> </w:t>
      </w:r>
      <w:r w:rsidR="00B77B32">
        <w:t>carbon dioxide equivalent emissions</w:t>
      </w:r>
      <w:r w:rsidR="00B77B32" w:rsidRPr="004E2244">
        <w:rPr>
          <w:rFonts w:cs="Times New Roman"/>
        </w:rPr>
        <w:t xml:space="preserve"> </w:t>
      </w:r>
      <w:r w:rsidR="004E2244" w:rsidRPr="004E2244">
        <w:rPr>
          <w:rFonts w:cs="Times New Roman"/>
        </w:rPr>
        <w:t xml:space="preserve">(including direct emissions and significant indirect emissions such as significant emissions from land use changes), as determined by the Administrator, related to the full fuel lifecycle, including all stages of fuel and feedstock production and distribution, from feedstock generation or extraction through the distribution and delivery and use of the finished fuel to the ultimate consumer, where the mass values for all </w:t>
      </w:r>
      <w:r w:rsidR="004E2244" w:rsidRPr="000B2F50">
        <w:rPr>
          <w:rFonts w:cs="Times New Roman"/>
        </w:rPr>
        <w:t>greenhouse gases</w:t>
      </w:r>
      <w:r w:rsidR="004E2244" w:rsidRPr="004E2244">
        <w:rPr>
          <w:rFonts w:cs="Times New Roman"/>
        </w:rPr>
        <w:t xml:space="preserve"> </w:t>
      </w:r>
      <w:r w:rsidR="000B2F50">
        <w:rPr>
          <w:rFonts w:cs="Times New Roman"/>
        </w:rPr>
        <w:t xml:space="preserve">and </w:t>
      </w:r>
      <w:r w:rsidR="000B2F50" w:rsidRPr="006F5FAC">
        <w:rPr>
          <w:color w:val="000000" w:themeColor="text1"/>
        </w:rPr>
        <w:t xml:space="preserve">short-lived climate </w:t>
      </w:r>
      <w:r w:rsidR="00F400BE">
        <w:rPr>
          <w:color w:val="000000" w:themeColor="text1"/>
        </w:rPr>
        <w:t>pollutant</w:t>
      </w:r>
      <w:r w:rsidR="000B2F50">
        <w:rPr>
          <w:color w:val="000000" w:themeColor="text1"/>
        </w:rPr>
        <w:t>s</w:t>
      </w:r>
      <w:r w:rsidR="000B2F50" w:rsidRPr="001628C7">
        <w:rPr>
          <w:rFonts w:cs="Times New Roman"/>
        </w:rPr>
        <w:t xml:space="preserve"> </w:t>
      </w:r>
      <w:r w:rsidR="004E2244" w:rsidRPr="004E2244">
        <w:rPr>
          <w:rFonts w:cs="Times New Roman"/>
        </w:rPr>
        <w:t>are adjusted to account for their relative global warming potential</w:t>
      </w:r>
      <w:r w:rsidR="00885D9B">
        <w:rPr>
          <w:rFonts w:cs="Times New Roman"/>
        </w:rPr>
        <w:t xml:space="preserve">. </w:t>
      </w:r>
      <w:r w:rsidR="00D03517" w:rsidRPr="00D03517">
        <w:rPr>
          <w:rFonts w:cs="Times New Roman"/>
        </w:rPr>
        <w:t xml:space="preserve">For purposes of this </w:t>
      </w:r>
      <w:r w:rsidR="00DB4364">
        <w:rPr>
          <w:rFonts w:cs="Times New Roman"/>
        </w:rPr>
        <w:t>Act</w:t>
      </w:r>
      <w:r w:rsidR="00D03517" w:rsidRPr="00D03517">
        <w:rPr>
          <w:rFonts w:cs="Times New Roman"/>
        </w:rPr>
        <w:t xml:space="preserve">, </w:t>
      </w:r>
      <w:r w:rsidR="001252A7">
        <w:rPr>
          <w:rFonts w:cs="Times New Roman"/>
        </w:rPr>
        <w:t xml:space="preserve">the </w:t>
      </w:r>
      <w:r w:rsidR="00D03517" w:rsidRPr="00D03517">
        <w:rPr>
          <w:rFonts w:cs="Times New Roman"/>
        </w:rPr>
        <w:t>“global warming potential”</w:t>
      </w:r>
      <w:r w:rsidR="001252A7">
        <w:rPr>
          <w:rFonts w:cs="Times New Roman"/>
        </w:rPr>
        <w:t xml:space="preserve"> is the </w:t>
      </w:r>
      <w:r w:rsidR="001252A7" w:rsidRPr="001252A7">
        <w:rPr>
          <w:rFonts w:cs="Times New Roman"/>
        </w:rPr>
        <w:t>20-year</w:t>
      </w:r>
      <w:r w:rsidR="001252A7">
        <w:rPr>
          <w:rFonts w:cs="Times New Roman"/>
        </w:rPr>
        <w:t xml:space="preserve"> </w:t>
      </w:r>
      <w:r w:rsidR="001252A7" w:rsidRPr="00D03517">
        <w:rPr>
          <w:rFonts w:cs="Times New Roman"/>
        </w:rPr>
        <w:t>global warming potential</w:t>
      </w:r>
      <w:r w:rsidR="00D03517" w:rsidRPr="00D03517">
        <w:rPr>
          <w:rFonts w:cs="Times New Roman"/>
        </w:rPr>
        <w:t>.</w:t>
      </w:r>
      <w:r w:rsidR="00D03517">
        <w:rPr>
          <w:rStyle w:val="FootnoteReference"/>
          <w:rFonts w:cs="Times New Roman"/>
        </w:rPr>
        <w:footnoteReference w:id="8"/>
      </w:r>
    </w:p>
    <w:p w14:paraId="22084879" w14:textId="77777777" w:rsidR="00447A46" w:rsidRDefault="00447A46" w:rsidP="004D75B3">
      <w:pPr>
        <w:rPr>
          <w:rFonts w:cs="Times New Roman"/>
          <w:color w:val="000000" w:themeColor="text1"/>
        </w:rPr>
      </w:pPr>
    </w:p>
    <w:p w14:paraId="33073757" w14:textId="308629F9" w:rsidR="006E5080" w:rsidRDefault="007D3418" w:rsidP="004D75B3">
      <w:pPr>
        <w:rPr>
          <w:rFonts w:cs="Times New Roman"/>
          <w:color w:val="000000" w:themeColor="text1"/>
        </w:rPr>
      </w:pPr>
      <w:r w:rsidRPr="004D75B3">
        <w:rPr>
          <w:rFonts w:cs="Times New Roman"/>
          <w:color w:val="000000" w:themeColor="text1"/>
        </w:rPr>
        <w:t>(</w:t>
      </w:r>
      <w:r w:rsidR="00861621">
        <w:rPr>
          <w:rFonts w:cs="Times New Roman"/>
          <w:color w:val="000000" w:themeColor="text1"/>
        </w:rPr>
        <w:t>10</w:t>
      </w:r>
      <w:r w:rsidRPr="007D3418">
        <w:rPr>
          <w:rFonts w:cs="Times New Roman"/>
          <w:color w:val="000000" w:themeColor="text1"/>
        </w:rPr>
        <w:t>)</w:t>
      </w:r>
      <w:r w:rsidR="000B7B43" w:rsidRPr="000B7B43">
        <w:rPr>
          <w:rFonts w:cs="Times New Roman"/>
          <w:color w:val="000000" w:themeColor="text1"/>
        </w:rPr>
        <w:t xml:space="preserve"> </w:t>
      </w:r>
      <w:r w:rsidR="000B7B43" w:rsidRPr="000B1C6A">
        <w:rPr>
          <w:rFonts w:cs="Times New Roman"/>
          <w:color w:val="000000" w:themeColor="text1"/>
        </w:rPr>
        <w:t xml:space="preserve">The term </w:t>
      </w:r>
      <w:r w:rsidR="000B7B43">
        <w:rPr>
          <w:rFonts w:cs="Times New Roman"/>
          <w:color w:val="000000" w:themeColor="text1"/>
        </w:rPr>
        <w:t>“</w:t>
      </w:r>
      <w:r w:rsidRPr="007D3418">
        <w:rPr>
          <w:rFonts w:cs="Times New Roman"/>
          <w:color w:val="000000" w:themeColor="text1"/>
        </w:rPr>
        <w:t>MARPOL Protocol</w:t>
      </w:r>
      <w:r w:rsidR="000B7B43">
        <w:rPr>
          <w:rFonts w:cs="Times New Roman"/>
          <w:color w:val="000000" w:themeColor="text1"/>
        </w:rPr>
        <w:t>”</w:t>
      </w:r>
      <w:r w:rsidRPr="007D3418">
        <w:rPr>
          <w:rFonts w:cs="Times New Roman"/>
          <w:color w:val="000000" w:themeColor="text1"/>
        </w:rPr>
        <w:t xml:space="preserve"> means the Protocol of 1978 relating to the International Convention for the Prevention of Pollution from Ships, 1973, and includes the Convention</w:t>
      </w:r>
      <w:r w:rsidR="000B7B43">
        <w:rPr>
          <w:rFonts w:cs="Times New Roman"/>
          <w:color w:val="000000" w:themeColor="text1"/>
        </w:rPr>
        <w:t>.</w:t>
      </w:r>
      <w:r w:rsidR="006E5080">
        <w:rPr>
          <w:rStyle w:val="FootnoteReference"/>
          <w:rFonts w:cs="Times New Roman"/>
        </w:rPr>
        <w:footnoteReference w:id="9"/>
      </w:r>
    </w:p>
    <w:p w14:paraId="1815ABCC" w14:textId="77777777" w:rsidR="00447A46" w:rsidRDefault="00447A46" w:rsidP="004D75B3">
      <w:pPr>
        <w:rPr>
          <w:color w:val="000000" w:themeColor="text1"/>
        </w:rPr>
      </w:pPr>
    </w:p>
    <w:p w14:paraId="5EC9C9D7" w14:textId="27433529" w:rsidR="00E8165D" w:rsidRPr="001C639A" w:rsidRDefault="007D3418" w:rsidP="004D75B3">
      <w:pPr>
        <w:rPr>
          <w:color w:val="000000" w:themeColor="text1"/>
        </w:rPr>
      </w:pPr>
      <w:r w:rsidRPr="007D3418">
        <w:rPr>
          <w:color w:val="000000" w:themeColor="text1"/>
        </w:rPr>
        <w:t>(</w:t>
      </w:r>
      <w:r w:rsidR="00871627">
        <w:rPr>
          <w:color w:val="000000" w:themeColor="text1"/>
        </w:rPr>
        <w:t>1</w:t>
      </w:r>
      <w:r w:rsidR="00861621">
        <w:rPr>
          <w:color w:val="000000" w:themeColor="text1"/>
        </w:rPr>
        <w:t>1</w:t>
      </w:r>
      <w:r w:rsidRPr="007D3418">
        <w:rPr>
          <w:color w:val="000000" w:themeColor="text1"/>
        </w:rPr>
        <w:t xml:space="preserve">) </w:t>
      </w:r>
      <w:r w:rsidR="000B7B43" w:rsidRPr="000B1C6A">
        <w:rPr>
          <w:rFonts w:cs="Times New Roman"/>
          <w:color w:val="000000" w:themeColor="text1"/>
        </w:rPr>
        <w:t xml:space="preserve">The term </w:t>
      </w:r>
      <w:r w:rsidRPr="007D3418">
        <w:rPr>
          <w:color w:val="000000" w:themeColor="text1"/>
        </w:rPr>
        <w:t>"Secretary" means the Secretary of the department in which the Coast Guard is operating</w:t>
      </w:r>
      <w:r w:rsidR="000B7B43">
        <w:rPr>
          <w:color w:val="000000" w:themeColor="text1"/>
        </w:rPr>
        <w:t>.</w:t>
      </w:r>
      <w:r w:rsidR="00E8165D">
        <w:rPr>
          <w:rStyle w:val="FootnoteReference"/>
          <w:rFonts w:cs="Times New Roman"/>
        </w:rPr>
        <w:footnoteReference w:id="10"/>
      </w:r>
    </w:p>
    <w:p w14:paraId="676391BC" w14:textId="77777777" w:rsidR="00447A46" w:rsidRDefault="00447A46" w:rsidP="004D75B3">
      <w:pPr>
        <w:rPr>
          <w:color w:val="000000" w:themeColor="text1"/>
        </w:rPr>
      </w:pPr>
    </w:p>
    <w:p w14:paraId="08D5C8FC" w14:textId="3B6D31BA" w:rsidR="00E8165D" w:rsidRPr="001C639A" w:rsidRDefault="007D3418" w:rsidP="004D75B3">
      <w:pPr>
        <w:rPr>
          <w:rFonts w:cs="Times New Roman"/>
          <w:color w:val="000000" w:themeColor="text1"/>
        </w:rPr>
      </w:pPr>
      <w:r w:rsidRPr="007D3418">
        <w:rPr>
          <w:color w:val="000000" w:themeColor="text1"/>
        </w:rPr>
        <w:t>(</w:t>
      </w:r>
      <w:r w:rsidR="00871627">
        <w:rPr>
          <w:color w:val="000000" w:themeColor="text1"/>
        </w:rPr>
        <w:t>1</w:t>
      </w:r>
      <w:r w:rsidR="00861621">
        <w:rPr>
          <w:color w:val="000000" w:themeColor="text1"/>
        </w:rPr>
        <w:t>2</w:t>
      </w:r>
      <w:r w:rsidRPr="007D3418">
        <w:rPr>
          <w:color w:val="000000" w:themeColor="text1"/>
        </w:rPr>
        <w:t xml:space="preserve">) </w:t>
      </w:r>
      <w:r w:rsidR="000B7B43" w:rsidRPr="000B1C6A">
        <w:rPr>
          <w:rFonts w:cs="Times New Roman"/>
          <w:color w:val="000000" w:themeColor="text1"/>
        </w:rPr>
        <w:t xml:space="preserve">The term </w:t>
      </w:r>
      <w:r w:rsidRPr="007D3418">
        <w:rPr>
          <w:color w:val="000000" w:themeColor="text1"/>
        </w:rPr>
        <w:t>"</w:t>
      </w:r>
      <w:r w:rsidR="006D4080">
        <w:rPr>
          <w:color w:val="000000" w:themeColor="text1"/>
        </w:rPr>
        <w:t>S</w:t>
      </w:r>
      <w:r w:rsidRPr="007D3418">
        <w:rPr>
          <w:color w:val="000000" w:themeColor="text1"/>
        </w:rPr>
        <w:t>hip" means a vessel of any type whatsoever, including hydrofoils, air-cushion vehicles, submersibles, floating craft whether self-propelled or not, and fixed or floating platforms</w:t>
      </w:r>
      <w:r w:rsidR="000B7B43">
        <w:rPr>
          <w:color w:val="000000" w:themeColor="text1"/>
        </w:rPr>
        <w:t>.</w:t>
      </w:r>
      <w:r w:rsidR="00E8165D">
        <w:rPr>
          <w:rStyle w:val="FootnoteReference"/>
          <w:rFonts w:cs="Times New Roman"/>
        </w:rPr>
        <w:footnoteReference w:id="11"/>
      </w:r>
    </w:p>
    <w:p w14:paraId="7086DB52" w14:textId="77777777" w:rsidR="00447A46" w:rsidRDefault="00447A46" w:rsidP="004D75B3">
      <w:pPr>
        <w:rPr>
          <w:color w:val="000000" w:themeColor="text1"/>
        </w:rPr>
      </w:pPr>
    </w:p>
    <w:p w14:paraId="084DD90C" w14:textId="56523DD4" w:rsidR="002D0906" w:rsidRPr="000B2F50" w:rsidRDefault="000B7B43" w:rsidP="004D75B3">
      <w:pPr>
        <w:rPr>
          <w:rFonts w:cs="Times New Roman"/>
        </w:rPr>
      </w:pPr>
      <w:r>
        <w:rPr>
          <w:color w:val="000000" w:themeColor="text1"/>
        </w:rPr>
        <w:t>(</w:t>
      </w:r>
      <w:r w:rsidR="00871627">
        <w:rPr>
          <w:color w:val="000000" w:themeColor="text1"/>
        </w:rPr>
        <w:t>1</w:t>
      </w:r>
      <w:r w:rsidR="00861621">
        <w:rPr>
          <w:color w:val="000000" w:themeColor="text1"/>
        </w:rPr>
        <w:t>3</w:t>
      </w:r>
      <w:r>
        <w:rPr>
          <w:color w:val="000000" w:themeColor="text1"/>
        </w:rPr>
        <w:t xml:space="preserve">) </w:t>
      </w:r>
      <w:r w:rsidRPr="000B1C6A">
        <w:rPr>
          <w:rFonts w:cs="Times New Roman"/>
          <w:color w:val="000000" w:themeColor="text1"/>
        </w:rPr>
        <w:t xml:space="preserve">The term </w:t>
      </w:r>
      <w:r w:rsidR="002D0906">
        <w:rPr>
          <w:color w:val="000000" w:themeColor="text1"/>
        </w:rPr>
        <w:t>“</w:t>
      </w:r>
      <w:r w:rsidR="00F400BE">
        <w:rPr>
          <w:color w:val="000000" w:themeColor="text1"/>
        </w:rPr>
        <w:t>S</w:t>
      </w:r>
      <w:r w:rsidR="006D145F" w:rsidRPr="006D145F">
        <w:rPr>
          <w:color w:val="000000" w:themeColor="text1"/>
        </w:rPr>
        <w:t>hort-lived climate pollutants</w:t>
      </w:r>
      <w:r w:rsidR="002D0906">
        <w:rPr>
          <w:color w:val="000000" w:themeColor="text1"/>
        </w:rPr>
        <w:t xml:space="preserve">” </w:t>
      </w:r>
      <w:r w:rsidR="00F400BE">
        <w:rPr>
          <w:color w:val="000000" w:themeColor="text1"/>
        </w:rPr>
        <w:t xml:space="preserve">are warming </w:t>
      </w:r>
      <w:r w:rsidR="00F400BE" w:rsidRPr="006D145F">
        <w:rPr>
          <w:color w:val="000000" w:themeColor="text1"/>
        </w:rPr>
        <w:t xml:space="preserve">short-lived climate </w:t>
      </w:r>
      <w:r w:rsidR="00F400BE">
        <w:rPr>
          <w:color w:val="000000" w:themeColor="text1"/>
        </w:rPr>
        <w:t>forcers.</w:t>
      </w:r>
      <w:r w:rsidR="00FC41A8">
        <w:rPr>
          <w:rStyle w:val="FootnoteReference"/>
          <w:color w:val="000000" w:themeColor="text1"/>
        </w:rPr>
        <w:footnoteReference w:id="12"/>
      </w:r>
      <w:r w:rsidR="00F400BE">
        <w:rPr>
          <w:color w:val="000000" w:themeColor="text1"/>
        </w:rPr>
        <w:t xml:space="preserve"> S</w:t>
      </w:r>
      <w:r w:rsidR="00F400BE" w:rsidRPr="006D145F">
        <w:rPr>
          <w:color w:val="000000" w:themeColor="text1"/>
        </w:rPr>
        <w:t>hort-lived climate pollutants</w:t>
      </w:r>
      <w:r w:rsidR="00F400BE">
        <w:rPr>
          <w:color w:val="000000" w:themeColor="text1"/>
        </w:rPr>
        <w:t xml:space="preserve"> </w:t>
      </w:r>
      <w:r w:rsidR="002D0906" w:rsidRPr="006F5FAC">
        <w:rPr>
          <w:color w:val="000000" w:themeColor="text1"/>
        </w:rPr>
        <w:t>include</w:t>
      </w:r>
      <w:r w:rsidR="00782FA7">
        <w:rPr>
          <w:color w:val="000000" w:themeColor="text1"/>
        </w:rPr>
        <w:t xml:space="preserve"> the following </w:t>
      </w:r>
      <w:r w:rsidR="002D0906" w:rsidRPr="006F5FAC">
        <w:rPr>
          <w:color w:val="000000" w:themeColor="text1"/>
        </w:rPr>
        <w:t>substances</w:t>
      </w:r>
      <w:r w:rsidR="00F400BE">
        <w:rPr>
          <w:color w:val="000000" w:themeColor="text1"/>
        </w:rPr>
        <w:t>:</w:t>
      </w:r>
      <w:r w:rsidR="002D0906" w:rsidRPr="006F5FAC">
        <w:rPr>
          <w:color w:val="000000" w:themeColor="text1"/>
        </w:rPr>
        <w:t xml:space="preserve"> black carbon,</w:t>
      </w:r>
      <w:r w:rsidR="002D0906">
        <w:rPr>
          <w:color w:val="000000" w:themeColor="text1"/>
        </w:rPr>
        <w:t xml:space="preserve"> </w:t>
      </w:r>
      <w:r w:rsidR="002D0906" w:rsidRPr="006F5FAC">
        <w:rPr>
          <w:color w:val="000000" w:themeColor="text1"/>
        </w:rPr>
        <w:t xml:space="preserve">hydrofluorocarbons </w:t>
      </w:r>
      <w:r w:rsidR="002D0906" w:rsidRPr="006F5FAC">
        <w:rPr>
          <w:color w:val="000000" w:themeColor="text1"/>
        </w:rPr>
        <w:lastRenderedPageBreak/>
        <w:t>(HFCs), methane, and tropospheric (ground-level) ozone.”</w:t>
      </w:r>
      <w:r w:rsidR="002D0906" w:rsidRPr="006F5FAC">
        <w:rPr>
          <w:rStyle w:val="FootnoteReference"/>
          <w:color w:val="000000" w:themeColor="text1"/>
        </w:rPr>
        <w:footnoteReference w:id="13"/>
      </w:r>
      <w:r w:rsidR="006B0B07">
        <w:rPr>
          <w:color w:val="000000" w:themeColor="text1"/>
        </w:rPr>
        <w:t xml:space="preserve"> </w:t>
      </w:r>
      <w:r w:rsidR="006B0B07" w:rsidRPr="001628C7">
        <w:rPr>
          <w:rFonts w:cs="Times New Roman"/>
        </w:rPr>
        <w:t xml:space="preserve">The Administrator may include any other anthropogenically-emitted </w:t>
      </w:r>
      <w:r w:rsidR="006B0B07" w:rsidRPr="006F5FAC">
        <w:rPr>
          <w:color w:val="000000" w:themeColor="text1"/>
        </w:rPr>
        <w:t xml:space="preserve">short-lived climate </w:t>
      </w:r>
      <w:r w:rsidR="00F400BE">
        <w:rPr>
          <w:color w:val="000000" w:themeColor="text1"/>
        </w:rPr>
        <w:t>pollutant</w:t>
      </w:r>
      <w:r w:rsidR="006B0B07" w:rsidRPr="001628C7">
        <w:rPr>
          <w:rFonts w:cs="Times New Roman"/>
        </w:rPr>
        <w:t xml:space="preserve"> that is determined by the Administrator, after notice and comment, to contribute to global warming.</w:t>
      </w:r>
      <w:r w:rsidR="006B0B07">
        <w:rPr>
          <w:rStyle w:val="FootnoteReference"/>
          <w:rFonts w:cs="Times New Roman"/>
        </w:rPr>
        <w:footnoteReference w:id="14"/>
      </w:r>
    </w:p>
    <w:p w14:paraId="74DA8A76" w14:textId="17AAFA94" w:rsidR="002D0906" w:rsidRDefault="002D0906" w:rsidP="00DF73B3">
      <w:pPr>
        <w:ind w:hanging="480"/>
        <w:outlineLvl w:val="2"/>
        <w:rPr>
          <w:rFonts w:cs="Times New Roman"/>
        </w:rPr>
      </w:pPr>
    </w:p>
    <w:p w14:paraId="5B1697BF" w14:textId="39F18CA1" w:rsidR="004B3DD2" w:rsidRPr="0092075F" w:rsidRDefault="004B3DD2" w:rsidP="004B3DD2">
      <w:pPr>
        <w:rPr>
          <w:rFonts w:cs="Times New Roman"/>
          <w:b/>
          <w:bCs/>
        </w:rPr>
      </w:pPr>
      <w:r w:rsidRPr="0092075F">
        <w:rPr>
          <w:rFonts w:cs="Times New Roman"/>
          <w:b/>
          <w:bCs/>
        </w:rPr>
        <w:t>SEC</w:t>
      </w:r>
      <w:r>
        <w:rPr>
          <w:rFonts w:cs="Times New Roman"/>
          <w:b/>
          <w:bCs/>
        </w:rPr>
        <w:t>.</w:t>
      </w:r>
      <w:r w:rsidRPr="0092075F">
        <w:rPr>
          <w:rFonts w:cs="Times New Roman"/>
          <w:b/>
          <w:bCs/>
        </w:rPr>
        <w:t xml:space="preserve"> </w:t>
      </w:r>
      <w:r>
        <w:rPr>
          <w:rFonts w:cs="Times New Roman"/>
          <w:b/>
          <w:bCs/>
        </w:rPr>
        <w:t>3</w:t>
      </w:r>
      <w:r w:rsidRPr="0092075F">
        <w:rPr>
          <w:rFonts w:cs="Times New Roman"/>
          <w:b/>
          <w:bCs/>
        </w:rPr>
        <w:t xml:space="preserve">. </w:t>
      </w:r>
      <w:r w:rsidR="00272EE6">
        <w:rPr>
          <w:rFonts w:cs="Times New Roman"/>
          <w:b/>
          <w:bCs/>
        </w:rPr>
        <w:t>APPLICABILITY</w:t>
      </w:r>
      <w:r w:rsidRPr="0092075F">
        <w:rPr>
          <w:rFonts w:cs="Times New Roman"/>
          <w:b/>
          <w:bCs/>
        </w:rPr>
        <w:t>.</w:t>
      </w:r>
    </w:p>
    <w:p w14:paraId="182A1A36" w14:textId="77777777" w:rsidR="00B65A36" w:rsidRDefault="00B65A36" w:rsidP="00DF73B3">
      <w:pPr>
        <w:ind w:hanging="480"/>
        <w:outlineLvl w:val="2"/>
        <w:rPr>
          <w:rFonts w:cs="Times New Roman"/>
        </w:rPr>
      </w:pPr>
    </w:p>
    <w:p w14:paraId="14F5742A" w14:textId="05400341" w:rsidR="00272EE6" w:rsidRDefault="00272EE6" w:rsidP="00272EE6">
      <w:pPr>
        <w:ind w:firstLine="720"/>
        <w:outlineLvl w:val="2"/>
        <w:rPr>
          <w:rFonts w:cs="Times New Roman"/>
        </w:rPr>
      </w:pPr>
      <w:r w:rsidRPr="00272EE6">
        <w:rPr>
          <w:rFonts w:cs="Times New Roman"/>
        </w:rPr>
        <w:t>(a) Included vessels. This</w:t>
      </w:r>
      <w:r w:rsidR="00A65881">
        <w:rPr>
          <w:rFonts w:cs="Times New Roman"/>
        </w:rPr>
        <w:t xml:space="preserve"> </w:t>
      </w:r>
      <w:r w:rsidR="00DB4364">
        <w:rPr>
          <w:rFonts w:cs="Times New Roman"/>
        </w:rPr>
        <w:t>Act</w:t>
      </w:r>
      <w:r w:rsidRPr="00272EE6">
        <w:rPr>
          <w:rFonts w:cs="Times New Roman"/>
        </w:rPr>
        <w:t xml:space="preserve"> shall apply</w:t>
      </w:r>
      <w:r w:rsidR="008E2901" w:rsidRPr="00754E01">
        <w:rPr>
          <w:rFonts w:eastAsia="Times New Roman" w:cs="Times New Roman"/>
          <w:color w:val="000000"/>
        </w:rPr>
        <w:t>—</w:t>
      </w:r>
      <w:r w:rsidRPr="00272EE6">
        <w:rPr>
          <w:rFonts w:cs="Times New Roman"/>
        </w:rPr>
        <w:t xml:space="preserve"> </w:t>
      </w:r>
    </w:p>
    <w:p w14:paraId="22C5BCB9" w14:textId="3346058D" w:rsidR="00C75EFB" w:rsidRPr="00272EE6" w:rsidRDefault="00C75EFB" w:rsidP="00272EE6">
      <w:pPr>
        <w:ind w:firstLine="720"/>
        <w:outlineLvl w:val="2"/>
        <w:rPr>
          <w:rFonts w:cs="Times New Roman"/>
        </w:rPr>
      </w:pPr>
      <w:r>
        <w:rPr>
          <w:rFonts w:cs="Times New Roman"/>
        </w:rPr>
        <w:tab/>
        <w:t>(1) to a ship</w:t>
      </w:r>
      <w:r w:rsidRPr="00754E01">
        <w:rPr>
          <w:rFonts w:eastAsia="Times New Roman" w:cs="Times New Roman"/>
          <w:color w:val="000000"/>
        </w:rPr>
        <w:t>—</w:t>
      </w:r>
      <w:r>
        <w:rPr>
          <w:rStyle w:val="FootnoteReference"/>
          <w:rFonts w:cs="Times New Roman"/>
        </w:rPr>
        <w:footnoteReference w:id="15"/>
      </w:r>
    </w:p>
    <w:p w14:paraId="79C96ADE" w14:textId="3E61D77C" w:rsidR="008E2901" w:rsidRPr="00AD3B82" w:rsidRDefault="00272EE6" w:rsidP="00A91667">
      <w:pPr>
        <w:ind w:left="2160"/>
        <w:outlineLvl w:val="2"/>
        <w:rPr>
          <w:rFonts w:cs="Times New Roman"/>
          <w:color w:val="000000" w:themeColor="text1"/>
        </w:rPr>
      </w:pPr>
      <w:r w:rsidRPr="00272EE6">
        <w:rPr>
          <w:rFonts w:cs="Times New Roman"/>
        </w:rPr>
        <w:t>(</w:t>
      </w:r>
      <w:r w:rsidR="00C75EFB">
        <w:rPr>
          <w:rFonts w:cs="Times New Roman"/>
        </w:rPr>
        <w:t>A</w:t>
      </w:r>
      <w:r w:rsidRPr="00272EE6">
        <w:rPr>
          <w:rFonts w:cs="Times New Roman"/>
        </w:rPr>
        <w:t xml:space="preserve">) </w:t>
      </w:r>
      <w:r w:rsidR="008E2901" w:rsidRPr="00476815">
        <w:rPr>
          <w:rFonts w:cs="Times New Roman"/>
        </w:rPr>
        <w:t>entering</w:t>
      </w:r>
      <w:r w:rsidR="008E2901" w:rsidRPr="004B021A">
        <w:rPr>
          <w:rFonts w:eastAsia="Times New Roman" w:cs="Times New Roman"/>
          <w:color w:val="000000"/>
        </w:rPr>
        <w:t xml:space="preserve"> </w:t>
      </w:r>
      <w:r w:rsidR="008E2901" w:rsidRPr="00754E01">
        <w:rPr>
          <w:rFonts w:eastAsia="Times New Roman" w:cs="Times New Roman"/>
          <w:color w:val="000000"/>
        </w:rPr>
        <w:t>any port or place under the jurisdiction of the United States</w:t>
      </w:r>
      <w:r w:rsidR="008E2901">
        <w:rPr>
          <w:rStyle w:val="FootnoteReference"/>
          <w:rFonts w:eastAsia="Times New Roman" w:cs="Times New Roman"/>
          <w:color w:val="000000"/>
        </w:rPr>
        <w:footnoteReference w:id="16"/>
      </w:r>
      <w:r w:rsidR="008E2901">
        <w:rPr>
          <w:rFonts w:eastAsia="Times New Roman" w:cs="Times New Roman"/>
          <w:color w:val="000000"/>
        </w:rPr>
        <w:t xml:space="preserve"> within a </w:t>
      </w:r>
      <w:r w:rsidR="008E2901" w:rsidRPr="004B021A">
        <w:rPr>
          <w:rFonts w:cs="Times New Roman"/>
        </w:rPr>
        <w:t>1-year time period</w:t>
      </w:r>
      <w:r w:rsidR="008E2901">
        <w:rPr>
          <w:rFonts w:cs="Times New Roman"/>
        </w:rPr>
        <w:t xml:space="preserve"> of operating in Arctic waters;</w:t>
      </w:r>
      <w:r w:rsidR="008E2901">
        <w:rPr>
          <w:rStyle w:val="FootnoteReference"/>
          <w:rFonts w:cs="Times New Roman"/>
        </w:rPr>
        <w:footnoteReference w:id="17"/>
      </w:r>
      <w:r w:rsidR="008E2901">
        <w:rPr>
          <w:rFonts w:cs="Times New Roman"/>
        </w:rPr>
        <w:t xml:space="preserve"> </w:t>
      </w:r>
      <w:r w:rsidR="003C5C87">
        <w:rPr>
          <w:rFonts w:cs="Times New Roman"/>
        </w:rPr>
        <w:t>and</w:t>
      </w:r>
      <w:r w:rsidR="008E2901" w:rsidRPr="00476815">
        <w:rPr>
          <w:rFonts w:cs="Times New Roman"/>
        </w:rPr>
        <w:t xml:space="preserve"> </w:t>
      </w:r>
    </w:p>
    <w:p w14:paraId="3F15C4C1" w14:textId="09299802" w:rsidR="008E2901" w:rsidRPr="00AD3B82" w:rsidRDefault="003C5C87" w:rsidP="00A91667">
      <w:pPr>
        <w:ind w:left="2160"/>
        <w:outlineLvl w:val="2"/>
        <w:rPr>
          <w:rFonts w:cs="Times New Roman"/>
          <w:color w:val="000000" w:themeColor="text1"/>
        </w:rPr>
      </w:pPr>
      <w:r w:rsidRPr="00272EE6">
        <w:rPr>
          <w:rFonts w:cs="Times New Roman"/>
        </w:rPr>
        <w:t>(</w:t>
      </w:r>
      <w:r w:rsidR="00C75EFB">
        <w:rPr>
          <w:rFonts w:cs="Times New Roman"/>
        </w:rPr>
        <w:t>B</w:t>
      </w:r>
      <w:r w:rsidRPr="00272EE6">
        <w:rPr>
          <w:rFonts w:cs="Times New Roman"/>
        </w:rPr>
        <w:t xml:space="preserve">) </w:t>
      </w:r>
      <w:r w:rsidR="008E2901" w:rsidRPr="00476815">
        <w:rPr>
          <w:rFonts w:cs="Times New Roman"/>
        </w:rPr>
        <w:t>departing from</w:t>
      </w:r>
      <w:r w:rsidR="008E2901">
        <w:rPr>
          <w:rFonts w:cs="Times New Roman"/>
        </w:rPr>
        <w:t xml:space="preserve"> </w:t>
      </w:r>
      <w:r w:rsidR="008E2901" w:rsidRPr="00754E01">
        <w:rPr>
          <w:rFonts w:eastAsia="Times New Roman" w:cs="Times New Roman"/>
          <w:color w:val="000000"/>
        </w:rPr>
        <w:t>any port or place under the jurisdiction of the United States</w:t>
      </w:r>
      <w:r w:rsidR="008E2901">
        <w:rPr>
          <w:rStyle w:val="FootnoteReference"/>
          <w:rFonts w:eastAsia="Times New Roman" w:cs="Times New Roman"/>
          <w:color w:val="000000"/>
        </w:rPr>
        <w:footnoteReference w:id="18"/>
      </w:r>
      <w:r w:rsidR="008E2901">
        <w:rPr>
          <w:rFonts w:eastAsia="Times New Roman" w:cs="Times New Roman"/>
          <w:color w:val="000000"/>
        </w:rPr>
        <w:t xml:space="preserve"> </w:t>
      </w:r>
      <w:r w:rsidR="00F471B6">
        <w:rPr>
          <w:rFonts w:cs="Times New Roman"/>
        </w:rPr>
        <w:t>with the intent</w:t>
      </w:r>
      <w:r w:rsidR="008E2901">
        <w:rPr>
          <w:rFonts w:cs="Times New Roman"/>
        </w:rPr>
        <w:t xml:space="preserve"> to operate in Arctic waters</w:t>
      </w:r>
      <w:r w:rsidR="008E2901">
        <w:rPr>
          <w:rFonts w:eastAsia="Times New Roman" w:cs="Times New Roman"/>
          <w:color w:val="000000"/>
        </w:rPr>
        <w:t xml:space="preserve"> within a </w:t>
      </w:r>
      <w:r w:rsidR="008E2901" w:rsidRPr="004B021A">
        <w:rPr>
          <w:rFonts w:cs="Times New Roman"/>
        </w:rPr>
        <w:t>1-year time period</w:t>
      </w:r>
      <w:r w:rsidR="009D1326">
        <w:rPr>
          <w:rFonts w:cs="Times New Roman"/>
        </w:rPr>
        <w:t>.</w:t>
      </w:r>
      <w:r w:rsidR="008E2901">
        <w:rPr>
          <w:rStyle w:val="FootnoteReference"/>
          <w:rFonts w:cs="Times New Roman"/>
        </w:rPr>
        <w:footnoteReference w:id="19"/>
      </w:r>
    </w:p>
    <w:p w14:paraId="1C426BC4" w14:textId="6606658F" w:rsidR="00F471B6" w:rsidRPr="00272EE6" w:rsidRDefault="00F471B6" w:rsidP="00F471B6">
      <w:pPr>
        <w:ind w:firstLine="720"/>
        <w:outlineLvl w:val="2"/>
        <w:rPr>
          <w:rFonts w:cs="Times New Roman"/>
        </w:rPr>
      </w:pPr>
      <w:r w:rsidRPr="00272EE6">
        <w:rPr>
          <w:rFonts w:cs="Times New Roman"/>
        </w:rPr>
        <w:t>(</w:t>
      </w:r>
      <w:r>
        <w:rPr>
          <w:rFonts w:cs="Times New Roman"/>
        </w:rPr>
        <w:t>b</w:t>
      </w:r>
      <w:r w:rsidRPr="00272EE6">
        <w:rPr>
          <w:rFonts w:cs="Times New Roman"/>
        </w:rPr>
        <w:t xml:space="preserve">) </w:t>
      </w:r>
      <w:r>
        <w:rPr>
          <w:rFonts w:cs="Times New Roman"/>
        </w:rPr>
        <w:t>Ex</w:t>
      </w:r>
      <w:r w:rsidRPr="00272EE6">
        <w:rPr>
          <w:rFonts w:cs="Times New Roman"/>
        </w:rPr>
        <w:t xml:space="preserve">cluded vessels. This </w:t>
      </w:r>
      <w:r w:rsidR="00DB4364">
        <w:rPr>
          <w:rFonts w:cs="Times New Roman"/>
        </w:rPr>
        <w:t>Act</w:t>
      </w:r>
      <w:r w:rsidRPr="00272EE6">
        <w:rPr>
          <w:rFonts w:cs="Times New Roman"/>
        </w:rPr>
        <w:t xml:space="preserve"> shall </w:t>
      </w:r>
      <w:r>
        <w:rPr>
          <w:rFonts w:cs="Times New Roman"/>
        </w:rPr>
        <w:t xml:space="preserve">not </w:t>
      </w:r>
      <w:r w:rsidRPr="00272EE6">
        <w:rPr>
          <w:rFonts w:cs="Times New Roman"/>
        </w:rPr>
        <w:t>apply</w:t>
      </w:r>
      <w:r w:rsidRPr="00754E01">
        <w:rPr>
          <w:rFonts w:eastAsia="Times New Roman" w:cs="Times New Roman"/>
          <w:color w:val="000000"/>
        </w:rPr>
        <w:t>—</w:t>
      </w:r>
      <w:r w:rsidRPr="00272EE6">
        <w:rPr>
          <w:rFonts w:cs="Times New Roman"/>
        </w:rPr>
        <w:t xml:space="preserve"> </w:t>
      </w:r>
    </w:p>
    <w:p w14:paraId="01F2D52E" w14:textId="5C4096C4" w:rsidR="00C75EFB" w:rsidRDefault="00F471B6" w:rsidP="00AD3B82">
      <w:pPr>
        <w:ind w:left="720" w:firstLine="720"/>
        <w:outlineLvl w:val="2"/>
        <w:rPr>
          <w:rFonts w:eastAsia="Times New Roman" w:cs="Times New Roman"/>
          <w:color w:val="000000"/>
        </w:rPr>
      </w:pPr>
      <w:r w:rsidRPr="00272EE6">
        <w:rPr>
          <w:rFonts w:cs="Times New Roman"/>
        </w:rPr>
        <w:t xml:space="preserve">(1) to </w:t>
      </w:r>
      <w:r w:rsidRPr="00272EE6">
        <w:rPr>
          <w:rFonts w:cs="Times New Roman"/>
          <w:color w:val="000000" w:themeColor="text1"/>
        </w:rPr>
        <w:t>a ship</w:t>
      </w:r>
      <w:r w:rsidR="00C75EFB" w:rsidRPr="00754E01">
        <w:rPr>
          <w:rFonts w:eastAsia="Times New Roman" w:cs="Times New Roman"/>
          <w:color w:val="000000"/>
        </w:rPr>
        <w:t>—</w:t>
      </w:r>
      <w:r w:rsidR="00AD3B82">
        <w:rPr>
          <w:rFonts w:eastAsia="Times New Roman" w:cs="Times New Roman"/>
          <w:color w:val="000000"/>
        </w:rPr>
        <w:t xml:space="preserve"> </w:t>
      </w:r>
    </w:p>
    <w:p w14:paraId="13383743" w14:textId="22952792" w:rsidR="00F471B6" w:rsidRPr="009D1326" w:rsidRDefault="00C75EFB" w:rsidP="00C75EFB">
      <w:pPr>
        <w:ind w:left="1440" w:firstLine="720"/>
        <w:outlineLvl w:val="2"/>
        <w:rPr>
          <w:rFonts w:cs="Times New Roman"/>
          <w:color w:val="000000" w:themeColor="text1"/>
        </w:rPr>
      </w:pPr>
      <w:r>
        <w:t xml:space="preserve">(A) </w:t>
      </w:r>
      <w:r w:rsidR="00F471B6">
        <w:t>engaged in</w:t>
      </w:r>
      <w:r w:rsidR="00F471B6" w:rsidRPr="00754E01">
        <w:rPr>
          <w:rFonts w:eastAsia="Times New Roman" w:cs="Times New Roman"/>
          <w:color w:val="000000"/>
        </w:rPr>
        <w:t>—</w:t>
      </w:r>
    </w:p>
    <w:p w14:paraId="6EACCD91" w14:textId="74179947" w:rsidR="00F471B6" w:rsidRPr="002A60F7" w:rsidRDefault="002A60F7" w:rsidP="009D1326">
      <w:pPr>
        <w:ind w:left="2160" w:firstLine="720"/>
        <w:rPr>
          <w:rFonts w:cs="Times New Roman"/>
        </w:rPr>
      </w:pPr>
      <w:r>
        <w:rPr>
          <w:rFonts w:cs="Times New Roman"/>
        </w:rPr>
        <w:t>(</w:t>
      </w:r>
      <w:r w:rsidR="009D1326">
        <w:rPr>
          <w:rFonts w:cs="Times New Roman"/>
        </w:rPr>
        <w:t>i</w:t>
      </w:r>
      <w:r>
        <w:rPr>
          <w:rFonts w:cs="Times New Roman"/>
        </w:rPr>
        <w:t xml:space="preserve">) </w:t>
      </w:r>
      <w:r w:rsidR="00F471B6" w:rsidRPr="002A60F7">
        <w:rPr>
          <w:rFonts w:cs="Times New Roman"/>
        </w:rPr>
        <w:t xml:space="preserve">securing the safety of ships; or </w:t>
      </w:r>
    </w:p>
    <w:p w14:paraId="765737C5" w14:textId="55F33D2A" w:rsidR="00F471B6" w:rsidRDefault="002A60F7" w:rsidP="002A60F7">
      <w:pPr>
        <w:ind w:left="2640" w:firstLine="240"/>
        <w:rPr>
          <w:rFonts w:cs="Times New Roman"/>
        </w:rPr>
      </w:pPr>
      <w:r>
        <w:rPr>
          <w:rFonts w:cs="Times New Roman"/>
        </w:rPr>
        <w:t xml:space="preserve">(ii) </w:t>
      </w:r>
      <w:r w:rsidR="00F471B6" w:rsidRPr="002A60F7">
        <w:rPr>
          <w:rFonts w:cs="Times New Roman"/>
        </w:rPr>
        <w:t>search and rescue operations;</w:t>
      </w:r>
      <w:r w:rsidR="00235706">
        <w:rPr>
          <w:rStyle w:val="FootnoteReference"/>
        </w:rPr>
        <w:footnoteReference w:id="20"/>
      </w:r>
      <w:r w:rsidR="00F74A70">
        <w:rPr>
          <w:rFonts w:cs="Times New Roman"/>
        </w:rPr>
        <w:t xml:space="preserve"> </w:t>
      </w:r>
    </w:p>
    <w:p w14:paraId="0B0389C3" w14:textId="59E12E28" w:rsidR="00F471B6" w:rsidRPr="00AD3B82" w:rsidRDefault="009D1326" w:rsidP="00C75EFB">
      <w:pPr>
        <w:ind w:left="1440" w:firstLine="720"/>
        <w:outlineLvl w:val="2"/>
        <w:rPr>
          <w:rFonts w:cs="Times New Roman"/>
          <w:color w:val="000000" w:themeColor="text1"/>
        </w:rPr>
      </w:pPr>
      <w:r w:rsidRPr="00272EE6">
        <w:rPr>
          <w:rFonts w:cs="Times New Roman"/>
        </w:rPr>
        <w:t>(</w:t>
      </w:r>
      <w:r w:rsidR="00C75EFB">
        <w:rPr>
          <w:rFonts w:cs="Times New Roman"/>
        </w:rPr>
        <w:t>B</w:t>
      </w:r>
      <w:r w:rsidRPr="00272EE6">
        <w:rPr>
          <w:rFonts w:cs="Times New Roman"/>
        </w:rPr>
        <w:t xml:space="preserve">) </w:t>
      </w:r>
      <w:r w:rsidR="00F471B6" w:rsidRPr="008055AB">
        <w:rPr>
          <w:rFonts w:cs="Times New Roman"/>
        </w:rPr>
        <w:t>dedicated to oil spill preparedness and response</w:t>
      </w:r>
      <w:r>
        <w:rPr>
          <w:rFonts w:cs="Times New Roman"/>
        </w:rPr>
        <w:t xml:space="preserve">; </w:t>
      </w:r>
      <w:r w:rsidR="000014B4">
        <w:rPr>
          <w:rFonts w:cs="Times New Roman"/>
        </w:rPr>
        <w:t>or</w:t>
      </w:r>
    </w:p>
    <w:p w14:paraId="5EDDAA67" w14:textId="6967B56C" w:rsidR="009D1326" w:rsidRPr="00AD3B82" w:rsidRDefault="009D1326" w:rsidP="00C75EFB">
      <w:pPr>
        <w:ind w:left="1440" w:firstLine="720"/>
        <w:outlineLvl w:val="2"/>
        <w:rPr>
          <w:rFonts w:cs="Times New Roman"/>
          <w:color w:val="000000" w:themeColor="text1"/>
        </w:rPr>
      </w:pPr>
      <w:r w:rsidRPr="00272EE6">
        <w:rPr>
          <w:rFonts w:cs="Times New Roman"/>
        </w:rPr>
        <w:t>(</w:t>
      </w:r>
      <w:r w:rsidR="00C75EFB">
        <w:rPr>
          <w:rFonts w:cs="Times New Roman"/>
        </w:rPr>
        <w:t>C</w:t>
      </w:r>
      <w:r w:rsidRPr="00272EE6">
        <w:rPr>
          <w:rFonts w:cs="Times New Roman"/>
        </w:rPr>
        <w:t xml:space="preserve">) </w:t>
      </w:r>
      <w:r w:rsidR="00235706">
        <w:rPr>
          <w:rFonts w:cs="Times New Roman"/>
        </w:rPr>
        <w:t>whose passage is rendered necessary by force majeure or distress</w:t>
      </w:r>
      <w:r>
        <w:rPr>
          <w:rFonts w:cs="Times New Roman"/>
        </w:rPr>
        <w:t>.</w:t>
      </w:r>
      <w:r w:rsidR="00C75EFB">
        <w:rPr>
          <w:rStyle w:val="FootnoteReference"/>
          <w:rFonts w:cs="Times New Roman"/>
        </w:rPr>
        <w:footnoteReference w:id="21"/>
      </w:r>
    </w:p>
    <w:p w14:paraId="23F7F046" w14:textId="77777777" w:rsidR="008E2901" w:rsidRDefault="008E2901" w:rsidP="00272EE6">
      <w:pPr>
        <w:ind w:left="720" w:firstLine="720"/>
        <w:outlineLvl w:val="2"/>
        <w:rPr>
          <w:rFonts w:cs="Times New Roman"/>
          <w:color w:val="000000" w:themeColor="text1"/>
        </w:rPr>
      </w:pPr>
    </w:p>
    <w:p w14:paraId="7B66895C" w14:textId="0F2F24DF" w:rsidR="00272EE6" w:rsidRPr="00E80E4D" w:rsidRDefault="00E03964" w:rsidP="00E03964">
      <w:pPr>
        <w:rPr>
          <w:rFonts w:cs="Times New Roman"/>
        </w:rPr>
      </w:pPr>
      <w:r w:rsidRPr="0092075F">
        <w:rPr>
          <w:rFonts w:cs="Times New Roman"/>
          <w:b/>
          <w:bCs/>
        </w:rPr>
        <w:t>SEC</w:t>
      </w:r>
      <w:r>
        <w:rPr>
          <w:rFonts w:cs="Times New Roman"/>
          <w:b/>
          <w:bCs/>
        </w:rPr>
        <w:t>.</w:t>
      </w:r>
      <w:r w:rsidRPr="0092075F">
        <w:rPr>
          <w:rFonts w:cs="Times New Roman"/>
          <w:b/>
          <w:bCs/>
        </w:rPr>
        <w:t xml:space="preserve"> </w:t>
      </w:r>
      <w:r>
        <w:rPr>
          <w:rFonts w:cs="Times New Roman"/>
          <w:b/>
          <w:bCs/>
        </w:rPr>
        <w:t>4</w:t>
      </w:r>
      <w:r w:rsidRPr="0092075F">
        <w:rPr>
          <w:rFonts w:cs="Times New Roman"/>
          <w:b/>
          <w:bCs/>
        </w:rPr>
        <w:t xml:space="preserve">. </w:t>
      </w:r>
      <w:r>
        <w:rPr>
          <w:rFonts w:cs="Times New Roman"/>
          <w:b/>
          <w:bCs/>
        </w:rPr>
        <w:t>PROHIBITION</w:t>
      </w:r>
      <w:r w:rsidR="00447A46">
        <w:rPr>
          <w:rFonts w:cs="Times New Roman"/>
          <w:b/>
          <w:bCs/>
        </w:rPr>
        <w:t>S</w:t>
      </w:r>
      <w:r w:rsidR="00E80E4D">
        <w:rPr>
          <w:rFonts w:cs="Times New Roman"/>
          <w:b/>
          <w:bCs/>
        </w:rPr>
        <w:t>;</w:t>
      </w:r>
      <w:r w:rsidR="00E80E4D" w:rsidRPr="00E80E4D">
        <w:rPr>
          <w:rFonts w:cs="Times New Roman"/>
        </w:rPr>
        <w:t xml:space="preserve"> </w:t>
      </w:r>
      <w:r w:rsidR="00E80E4D" w:rsidRPr="00E80E4D">
        <w:rPr>
          <w:rFonts w:cs="Times New Roman"/>
          <w:b/>
          <w:bCs/>
          <w:color w:val="000000" w:themeColor="text1"/>
        </w:rPr>
        <w:t>ARCTIC-ELIGIBLE FUEL</w:t>
      </w:r>
      <w:r w:rsidR="005F2C5A">
        <w:rPr>
          <w:rFonts w:cs="Times New Roman"/>
          <w:b/>
          <w:bCs/>
          <w:color w:val="000000" w:themeColor="text1"/>
        </w:rPr>
        <w:t>S</w:t>
      </w:r>
      <w:r w:rsidR="00084592">
        <w:rPr>
          <w:rFonts w:cs="Times New Roman"/>
          <w:b/>
          <w:bCs/>
          <w:color w:val="000000" w:themeColor="text1"/>
        </w:rPr>
        <w:t>; CREDITS</w:t>
      </w:r>
      <w:r w:rsidR="00E80E4D" w:rsidRPr="00E80E4D">
        <w:rPr>
          <w:rFonts w:cs="Times New Roman"/>
          <w:b/>
          <w:bCs/>
        </w:rPr>
        <w:t>.</w:t>
      </w:r>
    </w:p>
    <w:p w14:paraId="7C72F5D7" w14:textId="614E381B" w:rsidR="00822F49" w:rsidRDefault="00822F49" w:rsidP="00E03964">
      <w:pPr>
        <w:rPr>
          <w:rFonts w:cs="Times New Roman"/>
          <w:b/>
          <w:bCs/>
        </w:rPr>
      </w:pPr>
    </w:p>
    <w:p w14:paraId="10CB5F85" w14:textId="650834DC" w:rsidR="00822F49" w:rsidRPr="00822F49" w:rsidRDefault="00822F49" w:rsidP="00822F49">
      <w:pPr>
        <w:ind w:firstLine="720"/>
        <w:rPr>
          <w:rFonts w:cs="Times New Roman"/>
        </w:rPr>
      </w:pPr>
      <w:r w:rsidRPr="00822F49">
        <w:rPr>
          <w:rFonts w:cs="Times New Roman"/>
        </w:rPr>
        <w:t>(a) Effective dates</w:t>
      </w:r>
      <w:r w:rsidR="00B815EF">
        <w:rPr>
          <w:rFonts w:cs="Times New Roman"/>
        </w:rPr>
        <w:t>.</w:t>
      </w:r>
    </w:p>
    <w:p w14:paraId="7AA8F26E" w14:textId="77777777" w:rsidR="0075488B" w:rsidRPr="00754E01" w:rsidRDefault="0075488B" w:rsidP="0075488B">
      <w:pPr>
        <w:ind w:hanging="480"/>
        <w:outlineLvl w:val="2"/>
        <w:rPr>
          <w:rFonts w:eastAsia="Times New Roman" w:cs="Times New Roman"/>
          <w:color w:val="000000" w:themeColor="text1"/>
        </w:rPr>
      </w:pPr>
    </w:p>
    <w:p w14:paraId="545D6C81" w14:textId="494BCDD4" w:rsidR="002D606A" w:rsidRPr="00016C84" w:rsidRDefault="006D0AEB" w:rsidP="00016C84">
      <w:pPr>
        <w:ind w:left="1440"/>
        <w:rPr>
          <w:color w:val="000000" w:themeColor="text1"/>
        </w:rPr>
      </w:pPr>
      <w:r>
        <w:rPr>
          <w:rFonts w:cs="Times New Roman"/>
        </w:rPr>
        <w:t>(1) Heavy Fuel Oil.</w:t>
      </w:r>
      <w:r w:rsidRPr="00754E01">
        <w:rPr>
          <w:rFonts w:eastAsia="Times New Roman" w:cs="Times New Roman"/>
          <w:color w:val="000000"/>
        </w:rPr>
        <w:t>—</w:t>
      </w:r>
      <w:r>
        <w:rPr>
          <w:rFonts w:eastAsia="Times New Roman" w:cs="Times New Roman"/>
          <w:color w:val="000000"/>
        </w:rPr>
        <w:t xml:space="preserve"> </w:t>
      </w:r>
      <w:r>
        <w:rPr>
          <w:rFonts w:cs="Times New Roman"/>
        </w:rPr>
        <w:t>Not later than</w:t>
      </w:r>
      <w:r w:rsidRPr="00476815">
        <w:rPr>
          <w:rFonts w:cs="Times New Roman"/>
        </w:rPr>
        <w:t xml:space="preserve"> </w:t>
      </w:r>
      <w:r w:rsidR="00F4500D">
        <w:rPr>
          <w:rFonts w:cs="Times New Roman"/>
        </w:rPr>
        <w:t>January</w:t>
      </w:r>
      <w:r w:rsidRPr="00476815">
        <w:rPr>
          <w:rFonts w:cs="Times New Roman"/>
        </w:rPr>
        <w:t xml:space="preserve"> 1, 202</w:t>
      </w:r>
      <w:r w:rsidR="00DC2581">
        <w:rPr>
          <w:rFonts w:cs="Times New Roman"/>
        </w:rPr>
        <w:t>3</w:t>
      </w:r>
      <w:r>
        <w:rPr>
          <w:rFonts w:cs="Times New Roman"/>
        </w:rPr>
        <w:t>,</w:t>
      </w:r>
      <w:r>
        <w:rPr>
          <w:rStyle w:val="FootnoteReference"/>
          <w:rFonts w:cs="Times New Roman"/>
        </w:rPr>
        <w:footnoteReference w:id="22"/>
      </w:r>
      <w:r>
        <w:rPr>
          <w:rFonts w:eastAsia="Times New Roman" w:cs="Times New Roman"/>
          <w:color w:val="000000"/>
        </w:rPr>
        <w:t xml:space="preserve"> </w:t>
      </w:r>
      <w:r w:rsidR="006E09EE">
        <w:rPr>
          <w:rFonts w:eastAsia="Times New Roman" w:cs="Times New Roman"/>
          <w:color w:val="000000"/>
        </w:rPr>
        <w:t xml:space="preserve">a </w:t>
      </w:r>
      <w:r>
        <w:rPr>
          <w:rFonts w:eastAsia="Times New Roman" w:cs="Times New Roman"/>
          <w:color w:val="000000"/>
        </w:rPr>
        <w:t xml:space="preserve">ship </w:t>
      </w:r>
      <w:r>
        <w:rPr>
          <w:color w:val="000000" w:themeColor="text1"/>
        </w:rPr>
        <w:t xml:space="preserve">shall be prohibited from </w:t>
      </w:r>
      <w:r w:rsidRPr="00D509BF">
        <w:rPr>
          <w:rFonts w:cs="Times New Roman"/>
        </w:rPr>
        <w:t>the use and carriage as fuel of the following</w:t>
      </w:r>
      <w:r w:rsidRPr="00D509BF">
        <w:rPr>
          <w:color w:val="000000" w:themeColor="text1"/>
        </w:rPr>
        <w:t xml:space="preserve"> in the Arctic:</w:t>
      </w:r>
      <w:r w:rsidRPr="00D509BF">
        <w:rPr>
          <w:rStyle w:val="FootnoteReference"/>
          <w:color w:val="000000" w:themeColor="text1"/>
        </w:rPr>
        <w:footnoteReference w:id="23"/>
      </w:r>
      <w:r w:rsidR="002D606A" w:rsidRPr="00F357D6">
        <w:t xml:space="preserve"> </w:t>
      </w:r>
    </w:p>
    <w:p w14:paraId="72FE6B5F" w14:textId="77777777" w:rsidR="00C74616" w:rsidRDefault="00C74616" w:rsidP="002D606A">
      <w:pPr>
        <w:ind w:left="2160"/>
      </w:pPr>
    </w:p>
    <w:p w14:paraId="08351C62" w14:textId="59FE1801" w:rsidR="002D606A" w:rsidRPr="00016C84" w:rsidRDefault="002D606A" w:rsidP="00016C84">
      <w:pPr>
        <w:ind w:left="2160"/>
      </w:pPr>
      <w:r w:rsidRPr="00F357D6">
        <w:t>(</w:t>
      </w:r>
      <w:r w:rsidR="00016C84">
        <w:t>A</w:t>
      </w:r>
      <w:r w:rsidRPr="00F357D6">
        <w:t xml:space="preserve">) oils, other than crude oils, having a density </w:t>
      </w:r>
      <w:r w:rsidR="008715B7">
        <w:t>at</w:t>
      </w:r>
      <w:r w:rsidRPr="00F357D6">
        <w:t xml:space="preserve"> 15°C higher than 900 kg/m</w:t>
      </w:r>
      <w:r w:rsidRPr="004C0305">
        <w:rPr>
          <w:vertAlign w:val="superscript"/>
        </w:rPr>
        <w:t>3</w:t>
      </w:r>
      <w:r w:rsidRPr="00F357D6">
        <w:t xml:space="preserve"> or a kinematic viscosity at 50°C higher than 180 mm</w:t>
      </w:r>
      <w:r w:rsidRPr="004C0305">
        <w:rPr>
          <w:vertAlign w:val="superscript"/>
        </w:rPr>
        <w:t>2</w:t>
      </w:r>
      <w:r w:rsidRPr="00F357D6">
        <w:t>/s.</w:t>
      </w:r>
      <w:r>
        <w:rPr>
          <w:rStyle w:val="FootnoteReference"/>
        </w:rPr>
        <w:footnoteReference w:id="24"/>
      </w:r>
    </w:p>
    <w:p w14:paraId="231C2A20" w14:textId="0A88DD34" w:rsidR="00870D6D" w:rsidRDefault="00870D6D" w:rsidP="00822F49">
      <w:pPr>
        <w:ind w:left="720" w:firstLine="720"/>
        <w:rPr>
          <w:rFonts w:cs="Times New Roman"/>
        </w:rPr>
      </w:pPr>
    </w:p>
    <w:p w14:paraId="604C144E" w14:textId="5D4192D6" w:rsidR="008E280B" w:rsidRPr="008E2E89" w:rsidRDefault="000D30EE" w:rsidP="00822F49">
      <w:pPr>
        <w:ind w:left="1440"/>
        <w:rPr>
          <w:rFonts w:eastAsia="Times New Roman" w:cs="Times New Roman"/>
          <w:color w:val="000000"/>
        </w:rPr>
      </w:pPr>
      <w:r>
        <w:rPr>
          <w:rFonts w:cs="Times New Roman"/>
        </w:rPr>
        <w:lastRenderedPageBreak/>
        <w:t>(</w:t>
      </w:r>
      <w:r w:rsidR="00447A46">
        <w:rPr>
          <w:rFonts w:cs="Times New Roman"/>
        </w:rPr>
        <w:t>2</w:t>
      </w:r>
      <w:r>
        <w:rPr>
          <w:rFonts w:cs="Times New Roman"/>
        </w:rPr>
        <w:t xml:space="preserve">) </w:t>
      </w:r>
      <w:r w:rsidR="00822F49">
        <w:rPr>
          <w:rFonts w:cs="Times New Roman"/>
          <w:color w:val="000000" w:themeColor="text1"/>
        </w:rPr>
        <w:t>Twenty</w:t>
      </w:r>
      <w:r w:rsidR="00447A46" w:rsidRPr="002976E1">
        <w:rPr>
          <w:rFonts w:cs="Times New Roman"/>
          <w:color w:val="000000" w:themeColor="text1"/>
        </w:rPr>
        <w:t xml:space="preserve"> percent </w:t>
      </w:r>
      <w:r w:rsidR="00822F49" w:rsidRPr="002976E1">
        <w:rPr>
          <w:rFonts w:cs="Times New Roman"/>
          <w:color w:val="000000" w:themeColor="text1"/>
        </w:rPr>
        <w:t xml:space="preserve">lifecycle </w:t>
      </w:r>
      <w:r w:rsidR="00447A46">
        <w:rPr>
          <w:rFonts w:cs="Times New Roman"/>
          <w:color w:val="000000" w:themeColor="text1"/>
        </w:rPr>
        <w:t>reduction</w:t>
      </w:r>
      <w:r w:rsidR="00822F49">
        <w:rPr>
          <w:rFonts w:cs="Times New Roman"/>
          <w:color w:val="000000" w:themeColor="text1"/>
        </w:rPr>
        <w:t>.</w:t>
      </w:r>
      <w:r w:rsidR="00447A46" w:rsidRPr="00754E01">
        <w:rPr>
          <w:rFonts w:eastAsia="Times New Roman" w:cs="Times New Roman"/>
          <w:color w:val="000000"/>
        </w:rPr>
        <w:t>—</w:t>
      </w:r>
      <w:r w:rsidR="00447A46">
        <w:rPr>
          <w:rFonts w:eastAsia="Times New Roman" w:cs="Times New Roman"/>
          <w:color w:val="000000"/>
        </w:rPr>
        <w:t xml:space="preserve"> </w:t>
      </w:r>
      <w:r w:rsidR="008E280B">
        <w:rPr>
          <w:rFonts w:cs="Times New Roman"/>
        </w:rPr>
        <w:t>Not later than</w:t>
      </w:r>
      <w:r w:rsidR="00F74A70">
        <w:rPr>
          <w:rFonts w:cs="Times New Roman"/>
        </w:rPr>
        <w:t xml:space="preserve"> </w:t>
      </w:r>
      <w:r w:rsidR="00FF1175">
        <w:t xml:space="preserve">January 1, </w:t>
      </w:r>
      <w:r w:rsidR="00962FAA">
        <w:rPr>
          <w:rFonts w:cs="Times New Roman"/>
          <w:color w:val="000000" w:themeColor="text1"/>
        </w:rPr>
        <w:t>2025</w:t>
      </w:r>
      <w:r w:rsidR="00BB7501">
        <w:rPr>
          <w:rFonts w:cs="Times New Roman"/>
          <w:color w:val="000000" w:themeColor="text1"/>
        </w:rPr>
        <w:t xml:space="preserve">, </w:t>
      </w:r>
      <w:r w:rsidR="007B00DE" w:rsidRPr="003165F9">
        <w:rPr>
          <w:rFonts w:cs="Times New Roman"/>
        </w:rPr>
        <w:t xml:space="preserve">the use and carriage as fuel by </w:t>
      </w:r>
      <w:r w:rsidR="00832C98">
        <w:rPr>
          <w:rFonts w:cs="Times New Roman"/>
        </w:rPr>
        <w:t xml:space="preserve">a </w:t>
      </w:r>
      <w:r w:rsidR="007B00DE" w:rsidRPr="003165F9">
        <w:rPr>
          <w:rFonts w:cs="Times New Roman"/>
        </w:rPr>
        <w:t>ship</w:t>
      </w:r>
      <w:r w:rsidR="007B00DE">
        <w:rPr>
          <w:rFonts w:cs="Times New Roman"/>
        </w:rPr>
        <w:t xml:space="preserve"> of</w:t>
      </w:r>
      <w:r w:rsidR="007B00DE">
        <w:rPr>
          <w:rFonts w:eastAsia="Times New Roman" w:cs="Times New Roman"/>
          <w:color w:val="000000"/>
        </w:rPr>
        <w:t xml:space="preserve"> </w:t>
      </w:r>
      <w:r w:rsidR="00870D6D" w:rsidRPr="002976E1">
        <w:rPr>
          <w:rFonts w:cs="Times New Roman"/>
          <w:color w:val="000000" w:themeColor="text1"/>
        </w:rPr>
        <w:t xml:space="preserve">fuel that has lifecycle </w:t>
      </w:r>
      <w:r w:rsidR="00870D6D">
        <w:rPr>
          <w:rFonts w:cs="Times New Roman"/>
          <w:color w:val="000000" w:themeColor="text1"/>
        </w:rPr>
        <w:t>climate</w:t>
      </w:r>
      <w:r w:rsidR="00870D6D" w:rsidRPr="002976E1">
        <w:rPr>
          <w:rFonts w:cs="Times New Roman"/>
          <w:color w:val="000000" w:themeColor="text1"/>
        </w:rPr>
        <w:t xml:space="preserve"> emissions, as determined by the Administrator, after notice and opportunity for comment, that </w:t>
      </w:r>
      <w:r w:rsidR="00822F49">
        <w:rPr>
          <w:rFonts w:cs="Times New Roman"/>
          <w:color w:val="000000" w:themeColor="text1"/>
        </w:rPr>
        <w:t>is</w:t>
      </w:r>
      <w:r w:rsidR="00870D6D" w:rsidRPr="002976E1">
        <w:rPr>
          <w:rFonts w:cs="Times New Roman"/>
          <w:color w:val="000000" w:themeColor="text1"/>
        </w:rPr>
        <w:t xml:space="preserve"> </w:t>
      </w:r>
      <w:r w:rsidR="00584496">
        <w:rPr>
          <w:rFonts w:cs="Times New Roman"/>
          <w:color w:val="000000" w:themeColor="text1"/>
        </w:rPr>
        <w:t xml:space="preserve">more </w:t>
      </w:r>
      <w:r w:rsidR="00447A46">
        <w:rPr>
          <w:rFonts w:cs="Times New Roman"/>
          <w:color w:val="000000" w:themeColor="text1"/>
        </w:rPr>
        <w:t>than</w:t>
      </w:r>
      <w:r w:rsidR="00870D6D" w:rsidRPr="002976E1">
        <w:rPr>
          <w:rFonts w:cs="Times New Roman"/>
          <w:color w:val="000000" w:themeColor="text1"/>
        </w:rPr>
        <w:t xml:space="preserve"> </w:t>
      </w:r>
      <w:r w:rsidR="00584496">
        <w:rPr>
          <w:rFonts w:cs="Times New Roman"/>
          <w:color w:val="000000" w:themeColor="text1"/>
        </w:rPr>
        <w:t>8</w:t>
      </w:r>
      <w:r w:rsidR="00870D6D" w:rsidRPr="002976E1">
        <w:rPr>
          <w:rFonts w:cs="Times New Roman"/>
          <w:color w:val="000000" w:themeColor="text1"/>
        </w:rPr>
        <w:t xml:space="preserve">0 percent </w:t>
      </w:r>
      <w:r w:rsidR="00447A46">
        <w:rPr>
          <w:rFonts w:cs="Times New Roman"/>
          <w:color w:val="000000" w:themeColor="text1"/>
        </w:rPr>
        <w:t>of</w:t>
      </w:r>
      <w:r w:rsidR="00870D6D" w:rsidRPr="002976E1">
        <w:rPr>
          <w:rFonts w:cs="Times New Roman"/>
          <w:color w:val="000000" w:themeColor="text1"/>
        </w:rPr>
        <w:t xml:space="preserve"> baseline lifecycle </w:t>
      </w:r>
      <w:r w:rsidR="00870D6D">
        <w:rPr>
          <w:rFonts w:cs="Times New Roman"/>
          <w:color w:val="000000" w:themeColor="text1"/>
        </w:rPr>
        <w:t>climate</w:t>
      </w:r>
      <w:r w:rsidR="00870D6D" w:rsidRPr="002976E1">
        <w:rPr>
          <w:rFonts w:cs="Times New Roman"/>
          <w:color w:val="000000" w:themeColor="text1"/>
        </w:rPr>
        <w:t xml:space="preserve"> emissions</w:t>
      </w:r>
      <w:r w:rsidR="00AC3904">
        <w:rPr>
          <w:rFonts w:cs="Times New Roman"/>
          <w:color w:val="000000" w:themeColor="text1"/>
        </w:rPr>
        <w:t xml:space="preserve"> </w:t>
      </w:r>
      <w:r w:rsidR="00447A46">
        <w:rPr>
          <w:color w:val="000000" w:themeColor="text1"/>
        </w:rPr>
        <w:t>shall be prohibited in the Arctic</w:t>
      </w:r>
      <w:r w:rsidR="00870D6D" w:rsidRPr="006F68C6">
        <w:rPr>
          <w:rFonts w:cs="Times New Roman"/>
          <w:color w:val="000000" w:themeColor="text1"/>
        </w:rPr>
        <w:t>.</w:t>
      </w:r>
      <w:r w:rsidR="00870D6D" w:rsidRPr="006D1C18">
        <w:rPr>
          <w:rStyle w:val="FootnoteReference"/>
          <w:rFonts w:cs="Times New Roman"/>
          <w:color w:val="000000" w:themeColor="text1"/>
        </w:rPr>
        <w:footnoteReference w:id="25"/>
      </w:r>
    </w:p>
    <w:p w14:paraId="15243A73" w14:textId="77777777" w:rsidR="00447A46" w:rsidRDefault="00447A46" w:rsidP="00447A46">
      <w:pPr>
        <w:rPr>
          <w:rFonts w:cs="Times New Roman"/>
          <w:color w:val="000000" w:themeColor="text1"/>
        </w:rPr>
      </w:pPr>
    </w:p>
    <w:p w14:paraId="7708373C" w14:textId="7425B6FB" w:rsidR="008E280B" w:rsidRDefault="008E280B" w:rsidP="00822F49">
      <w:pPr>
        <w:ind w:left="1440"/>
        <w:rPr>
          <w:rFonts w:cs="Times New Roman"/>
          <w:color w:val="000000" w:themeColor="text1"/>
        </w:rPr>
      </w:pPr>
      <w:r>
        <w:rPr>
          <w:rFonts w:cs="Times New Roman"/>
          <w:color w:val="000000" w:themeColor="text1"/>
        </w:rPr>
        <w:t>(</w:t>
      </w:r>
      <w:r w:rsidR="00822F49">
        <w:rPr>
          <w:rFonts w:cs="Times New Roman"/>
          <w:color w:val="000000" w:themeColor="text1"/>
        </w:rPr>
        <w:t>3</w:t>
      </w:r>
      <w:r>
        <w:rPr>
          <w:rFonts w:cs="Times New Roman"/>
          <w:color w:val="000000" w:themeColor="text1"/>
        </w:rPr>
        <w:t xml:space="preserve">) </w:t>
      </w:r>
      <w:r w:rsidR="00822F49">
        <w:rPr>
          <w:rFonts w:cs="Times New Roman"/>
          <w:color w:val="000000" w:themeColor="text1"/>
        </w:rPr>
        <w:t>Fifty</w:t>
      </w:r>
      <w:r w:rsidR="00822F49" w:rsidRPr="002976E1">
        <w:rPr>
          <w:rFonts w:cs="Times New Roman"/>
          <w:color w:val="000000" w:themeColor="text1"/>
        </w:rPr>
        <w:t xml:space="preserve"> percent lifecycle </w:t>
      </w:r>
      <w:r w:rsidR="00822F49">
        <w:rPr>
          <w:rFonts w:cs="Times New Roman"/>
          <w:color w:val="000000" w:themeColor="text1"/>
        </w:rPr>
        <w:t>reduction.</w:t>
      </w:r>
      <w:r w:rsidR="00822F49" w:rsidRPr="00754E01">
        <w:rPr>
          <w:rFonts w:eastAsia="Times New Roman" w:cs="Times New Roman"/>
          <w:color w:val="000000"/>
        </w:rPr>
        <w:t>—</w:t>
      </w:r>
      <w:r w:rsidR="00822F49">
        <w:rPr>
          <w:rFonts w:eastAsia="Times New Roman" w:cs="Times New Roman"/>
          <w:color w:val="000000"/>
        </w:rPr>
        <w:t xml:space="preserve"> </w:t>
      </w:r>
      <w:r>
        <w:rPr>
          <w:rFonts w:cs="Times New Roman"/>
        </w:rPr>
        <w:t>Not later than</w:t>
      </w:r>
      <w:r w:rsidR="00870D6D" w:rsidRPr="00CC45A1">
        <w:rPr>
          <w:rFonts w:cs="Times New Roman"/>
          <w:color w:val="000000" w:themeColor="text1"/>
        </w:rPr>
        <w:t xml:space="preserve"> </w:t>
      </w:r>
      <w:r w:rsidR="00FF1175">
        <w:t xml:space="preserve">January 1, </w:t>
      </w:r>
      <w:r w:rsidR="00962FAA">
        <w:rPr>
          <w:rFonts w:cs="Times New Roman"/>
          <w:color w:val="000000" w:themeColor="text1"/>
        </w:rPr>
        <w:t>2030</w:t>
      </w:r>
      <w:r>
        <w:rPr>
          <w:rFonts w:cs="Times New Roman"/>
          <w:color w:val="000000" w:themeColor="text1"/>
        </w:rPr>
        <w:t xml:space="preserve">, </w:t>
      </w:r>
      <w:r w:rsidR="00822F49" w:rsidRPr="003165F9">
        <w:rPr>
          <w:rFonts w:cs="Times New Roman"/>
        </w:rPr>
        <w:t xml:space="preserve">the use and carriage as fuel by </w:t>
      </w:r>
      <w:r w:rsidR="00822F49">
        <w:rPr>
          <w:rFonts w:cs="Times New Roman"/>
        </w:rPr>
        <w:t xml:space="preserve">a </w:t>
      </w:r>
      <w:r w:rsidR="00822F49" w:rsidRPr="003165F9">
        <w:rPr>
          <w:rFonts w:cs="Times New Roman"/>
        </w:rPr>
        <w:t>ship</w:t>
      </w:r>
      <w:r w:rsidR="00822F49">
        <w:rPr>
          <w:rFonts w:cs="Times New Roman"/>
        </w:rPr>
        <w:t xml:space="preserve"> of</w:t>
      </w:r>
      <w:r w:rsidR="00822F49">
        <w:rPr>
          <w:rFonts w:eastAsia="Times New Roman" w:cs="Times New Roman"/>
          <w:color w:val="000000"/>
        </w:rPr>
        <w:t xml:space="preserve"> </w:t>
      </w:r>
      <w:r w:rsidR="00822F49" w:rsidRPr="002976E1">
        <w:rPr>
          <w:rFonts w:cs="Times New Roman"/>
          <w:color w:val="000000" w:themeColor="text1"/>
        </w:rPr>
        <w:t xml:space="preserve">fuel that has lifecycle </w:t>
      </w:r>
      <w:r w:rsidR="00822F49">
        <w:rPr>
          <w:rFonts w:cs="Times New Roman"/>
          <w:color w:val="000000" w:themeColor="text1"/>
        </w:rPr>
        <w:t>climate</w:t>
      </w:r>
      <w:r w:rsidR="00822F49" w:rsidRPr="002976E1">
        <w:rPr>
          <w:rFonts w:cs="Times New Roman"/>
          <w:color w:val="000000" w:themeColor="text1"/>
        </w:rPr>
        <w:t xml:space="preserve"> emissions, as determined by the Administrator, after notice and opportunity for comment, that </w:t>
      </w:r>
      <w:r w:rsidR="00822F49">
        <w:rPr>
          <w:rFonts w:cs="Times New Roman"/>
          <w:color w:val="000000" w:themeColor="text1"/>
        </w:rPr>
        <w:t>is</w:t>
      </w:r>
      <w:r w:rsidR="00822F49" w:rsidRPr="002976E1">
        <w:rPr>
          <w:rFonts w:cs="Times New Roman"/>
          <w:color w:val="000000" w:themeColor="text1"/>
        </w:rPr>
        <w:t xml:space="preserve"> </w:t>
      </w:r>
      <w:r w:rsidR="00584496">
        <w:rPr>
          <w:rFonts w:cs="Times New Roman"/>
          <w:color w:val="000000" w:themeColor="text1"/>
        </w:rPr>
        <w:t>more</w:t>
      </w:r>
      <w:r w:rsidR="00822F49">
        <w:rPr>
          <w:rFonts w:cs="Times New Roman"/>
          <w:color w:val="000000" w:themeColor="text1"/>
        </w:rPr>
        <w:t xml:space="preserve"> than</w:t>
      </w:r>
      <w:r w:rsidR="00822F49" w:rsidRPr="002976E1">
        <w:rPr>
          <w:rFonts w:cs="Times New Roman"/>
          <w:color w:val="000000" w:themeColor="text1"/>
        </w:rPr>
        <w:t xml:space="preserve"> </w:t>
      </w:r>
      <w:r w:rsidR="00822F49">
        <w:rPr>
          <w:rFonts w:cs="Times New Roman"/>
          <w:color w:val="000000" w:themeColor="text1"/>
        </w:rPr>
        <w:t>5</w:t>
      </w:r>
      <w:r w:rsidR="00822F49" w:rsidRPr="002976E1">
        <w:rPr>
          <w:rFonts w:cs="Times New Roman"/>
          <w:color w:val="000000" w:themeColor="text1"/>
        </w:rPr>
        <w:t xml:space="preserve">0 percent </w:t>
      </w:r>
      <w:r w:rsidR="00822F49">
        <w:rPr>
          <w:rFonts w:cs="Times New Roman"/>
          <w:color w:val="000000" w:themeColor="text1"/>
        </w:rPr>
        <w:t>of</w:t>
      </w:r>
      <w:r w:rsidR="00822F49" w:rsidRPr="002976E1">
        <w:rPr>
          <w:rFonts w:cs="Times New Roman"/>
          <w:color w:val="000000" w:themeColor="text1"/>
        </w:rPr>
        <w:t xml:space="preserve"> baseline lifecycle </w:t>
      </w:r>
      <w:r w:rsidR="00822F49">
        <w:rPr>
          <w:rFonts w:cs="Times New Roman"/>
          <w:color w:val="000000" w:themeColor="text1"/>
        </w:rPr>
        <w:t>climate</w:t>
      </w:r>
      <w:r w:rsidR="00822F49" w:rsidRPr="002976E1">
        <w:rPr>
          <w:rFonts w:cs="Times New Roman"/>
          <w:color w:val="000000" w:themeColor="text1"/>
        </w:rPr>
        <w:t xml:space="preserve"> emissions</w:t>
      </w:r>
      <w:r w:rsidR="00822F49">
        <w:rPr>
          <w:rFonts w:cs="Times New Roman"/>
          <w:color w:val="000000" w:themeColor="text1"/>
        </w:rPr>
        <w:t xml:space="preserve"> </w:t>
      </w:r>
      <w:r w:rsidR="00822F49">
        <w:rPr>
          <w:color w:val="000000" w:themeColor="text1"/>
        </w:rPr>
        <w:t>shall be prohibited in the Arctic</w:t>
      </w:r>
      <w:r w:rsidR="00870D6D" w:rsidRPr="006F68C6">
        <w:rPr>
          <w:rFonts w:cs="Times New Roman"/>
          <w:color w:val="000000" w:themeColor="text1"/>
        </w:rPr>
        <w:t>.</w:t>
      </w:r>
      <w:r w:rsidR="00870D6D" w:rsidRPr="006D1C18">
        <w:rPr>
          <w:rStyle w:val="FootnoteReference"/>
          <w:rFonts w:cs="Times New Roman"/>
          <w:color w:val="000000" w:themeColor="text1"/>
        </w:rPr>
        <w:footnoteReference w:id="26"/>
      </w:r>
    </w:p>
    <w:p w14:paraId="757AFFD6" w14:textId="77777777" w:rsidR="00822F49" w:rsidRDefault="00822F49" w:rsidP="00822F49">
      <w:pPr>
        <w:ind w:left="720"/>
        <w:rPr>
          <w:rFonts w:cs="Times New Roman"/>
          <w:color w:val="000000" w:themeColor="text1"/>
        </w:rPr>
      </w:pPr>
    </w:p>
    <w:p w14:paraId="3294D147" w14:textId="1429011E" w:rsidR="008E280B" w:rsidRDefault="00870D6D" w:rsidP="00822F49">
      <w:pPr>
        <w:ind w:left="1440"/>
        <w:rPr>
          <w:rFonts w:cs="Times New Roman"/>
          <w:color w:val="000000" w:themeColor="text1"/>
        </w:rPr>
      </w:pPr>
      <w:r w:rsidRPr="00CC45A1">
        <w:rPr>
          <w:rFonts w:cs="Times New Roman"/>
          <w:color w:val="000000" w:themeColor="text1"/>
        </w:rPr>
        <w:t>(</w:t>
      </w:r>
      <w:r w:rsidR="00822F49">
        <w:rPr>
          <w:rFonts w:cs="Times New Roman"/>
          <w:color w:val="000000" w:themeColor="text1"/>
        </w:rPr>
        <w:t>4</w:t>
      </w:r>
      <w:r w:rsidRPr="00CC45A1">
        <w:rPr>
          <w:rFonts w:cs="Times New Roman"/>
          <w:color w:val="000000" w:themeColor="text1"/>
        </w:rPr>
        <w:t xml:space="preserve">) </w:t>
      </w:r>
      <w:r w:rsidR="005568A9">
        <w:rPr>
          <w:rFonts w:cs="Times New Roman"/>
          <w:color w:val="000000" w:themeColor="text1"/>
        </w:rPr>
        <w:t>Seventy</w:t>
      </w:r>
      <w:r w:rsidR="00822F49" w:rsidRPr="002976E1">
        <w:rPr>
          <w:rFonts w:cs="Times New Roman"/>
          <w:color w:val="000000" w:themeColor="text1"/>
        </w:rPr>
        <w:t xml:space="preserve"> percent lifecycle </w:t>
      </w:r>
      <w:r w:rsidR="00822F49">
        <w:rPr>
          <w:rFonts w:cs="Times New Roman"/>
          <w:color w:val="000000" w:themeColor="text1"/>
        </w:rPr>
        <w:t>reduction.</w:t>
      </w:r>
      <w:r w:rsidR="00822F49" w:rsidRPr="00754E01">
        <w:rPr>
          <w:rFonts w:eastAsia="Times New Roman" w:cs="Times New Roman"/>
          <w:color w:val="000000"/>
        </w:rPr>
        <w:t>—</w:t>
      </w:r>
      <w:r w:rsidR="00822F49">
        <w:rPr>
          <w:rFonts w:eastAsia="Times New Roman" w:cs="Times New Roman"/>
          <w:color w:val="000000"/>
        </w:rPr>
        <w:t xml:space="preserve"> </w:t>
      </w:r>
      <w:r w:rsidR="008E280B">
        <w:rPr>
          <w:rFonts w:cs="Times New Roman"/>
        </w:rPr>
        <w:t>Not later than</w:t>
      </w:r>
      <w:r w:rsidR="008E280B" w:rsidRPr="00CC45A1">
        <w:rPr>
          <w:rFonts w:cs="Times New Roman"/>
          <w:color w:val="000000" w:themeColor="text1"/>
        </w:rPr>
        <w:t xml:space="preserve"> </w:t>
      </w:r>
      <w:r w:rsidR="00FF1175">
        <w:t xml:space="preserve">January 1, </w:t>
      </w:r>
      <w:r w:rsidR="00962FAA">
        <w:rPr>
          <w:rFonts w:cs="Times New Roman"/>
          <w:color w:val="000000" w:themeColor="text1"/>
        </w:rPr>
        <w:t>2035</w:t>
      </w:r>
      <w:r w:rsidR="008E280B">
        <w:rPr>
          <w:rFonts w:cs="Times New Roman"/>
          <w:color w:val="000000" w:themeColor="text1"/>
        </w:rPr>
        <w:t xml:space="preserve">, </w:t>
      </w:r>
      <w:r w:rsidR="00822F49" w:rsidRPr="003165F9">
        <w:rPr>
          <w:rFonts w:cs="Times New Roman"/>
        </w:rPr>
        <w:t xml:space="preserve">the use and carriage as fuel by </w:t>
      </w:r>
      <w:r w:rsidR="00822F49">
        <w:rPr>
          <w:rFonts w:cs="Times New Roman"/>
        </w:rPr>
        <w:t xml:space="preserve">a </w:t>
      </w:r>
      <w:r w:rsidR="00822F49" w:rsidRPr="003165F9">
        <w:rPr>
          <w:rFonts w:cs="Times New Roman"/>
        </w:rPr>
        <w:t>ship</w:t>
      </w:r>
      <w:r w:rsidR="00822F49">
        <w:rPr>
          <w:rFonts w:cs="Times New Roman"/>
        </w:rPr>
        <w:t xml:space="preserve"> of</w:t>
      </w:r>
      <w:r w:rsidR="00822F49">
        <w:rPr>
          <w:rFonts w:eastAsia="Times New Roman" w:cs="Times New Roman"/>
          <w:color w:val="000000"/>
        </w:rPr>
        <w:t xml:space="preserve"> </w:t>
      </w:r>
      <w:r w:rsidR="00822F49" w:rsidRPr="002976E1">
        <w:rPr>
          <w:rFonts w:cs="Times New Roman"/>
          <w:color w:val="000000" w:themeColor="text1"/>
        </w:rPr>
        <w:t xml:space="preserve">fuel that has lifecycle </w:t>
      </w:r>
      <w:r w:rsidR="00822F49">
        <w:rPr>
          <w:rFonts w:cs="Times New Roman"/>
          <w:color w:val="000000" w:themeColor="text1"/>
        </w:rPr>
        <w:t>climate</w:t>
      </w:r>
      <w:r w:rsidR="00822F49" w:rsidRPr="002976E1">
        <w:rPr>
          <w:rFonts w:cs="Times New Roman"/>
          <w:color w:val="000000" w:themeColor="text1"/>
        </w:rPr>
        <w:t xml:space="preserve"> emissions, as determined by the Administrator, after notice and opportunity for comment, that </w:t>
      </w:r>
      <w:r w:rsidR="00822F49">
        <w:rPr>
          <w:rFonts w:cs="Times New Roman"/>
          <w:color w:val="000000" w:themeColor="text1"/>
        </w:rPr>
        <w:t>is</w:t>
      </w:r>
      <w:r w:rsidR="00822F49" w:rsidRPr="002976E1">
        <w:rPr>
          <w:rFonts w:cs="Times New Roman"/>
          <w:color w:val="000000" w:themeColor="text1"/>
        </w:rPr>
        <w:t xml:space="preserve"> </w:t>
      </w:r>
      <w:r w:rsidR="00F840A7">
        <w:rPr>
          <w:rFonts w:cs="Times New Roman"/>
          <w:color w:val="000000" w:themeColor="text1"/>
        </w:rPr>
        <w:t>more</w:t>
      </w:r>
      <w:r w:rsidR="00822F49">
        <w:rPr>
          <w:rFonts w:cs="Times New Roman"/>
          <w:color w:val="000000" w:themeColor="text1"/>
        </w:rPr>
        <w:t xml:space="preserve"> than</w:t>
      </w:r>
      <w:r w:rsidR="00822F49" w:rsidRPr="002976E1">
        <w:rPr>
          <w:rFonts w:cs="Times New Roman"/>
          <w:color w:val="000000" w:themeColor="text1"/>
        </w:rPr>
        <w:t xml:space="preserve"> </w:t>
      </w:r>
      <w:r w:rsidR="005568A9">
        <w:rPr>
          <w:rFonts w:cs="Times New Roman"/>
          <w:color w:val="000000" w:themeColor="text1"/>
        </w:rPr>
        <w:t>3</w:t>
      </w:r>
      <w:r w:rsidR="00822F49" w:rsidRPr="002976E1">
        <w:rPr>
          <w:rFonts w:cs="Times New Roman"/>
          <w:color w:val="000000" w:themeColor="text1"/>
        </w:rPr>
        <w:t xml:space="preserve">0 percent </w:t>
      </w:r>
      <w:r w:rsidR="00822F49">
        <w:rPr>
          <w:rFonts w:cs="Times New Roman"/>
          <w:color w:val="000000" w:themeColor="text1"/>
        </w:rPr>
        <w:t>of</w:t>
      </w:r>
      <w:r w:rsidR="00822F49" w:rsidRPr="002976E1">
        <w:rPr>
          <w:rFonts w:cs="Times New Roman"/>
          <w:color w:val="000000" w:themeColor="text1"/>
        </w:rPr>
        <w:t xml:space="preserve"> baseline lifecycle </w:t>
      </w:r>
      <w:r w:rsidR="00822F49">
        <w:rPr>
          <w:rFonts w:cs="Times New Roman"/>
          <w:color w:val="000000" w:themeColor="text1"/>
        </w:rPr>
        <w:t>climate</w:t>
      </w:r>
      <w:r w:rsidR="00822F49" w:rsidRPr="002976E1">
        <w:rPr>
          <w:rFonts w:cs="Times New Roman"/>
          <w:color w:val="000000" w:themeColor="text1"/>
        </w:rPr>
        <w:t xml:space="preserve"> emissions</w:t>
      </w:r>
      <w:r w:rsidR="00822F49">
        <w:rPr>
          <w:rFonts w:cs="Times New Roman"/>
          <w:color w:val="000000" w:themeColor="text1"/>
        </w:rPr>
        <w:t xml:space="preserve"> </w:t>
      </w:r>
      <w:r w:rsidR="00822F49">
        <w:rPr>
          <w:color w:val="000000" w:themeColor="text1"/>
        </w:rPr>
        <w:t>shall be prohibited in the Arctic</w:t>
      </w:r>
      <w:r w:rsidRPr="006F68C6">
        <w:rPr>
          <w:rFonts w:cs="Times New Roman"/>
          <w:color w:val="000000" w:themeColor="text1"/>
        </w:rPr>
        <w:t>.</w:t>
      </w:r>
      <w:r w:rsidRPr="006D1C18">
        <w:rPr>
          <w:rStyle w:val="FootnoteReference"/>
          <w:rFonts w:cs="Times New Roman"/>
          <w:color w:val="000000" w:themeColor="text1"/>
        </w:rPr>
        <w:footnoteReference w:id="27"/>
      </w:r>
    </w:p>
    <w:p w14:paraId="04367101" w14:textId="376C4847" w:rsidR="00233DD5" w:rsidRDefault="00233DD5" w:rsidP="00F840A7">
      <w:pPr>
        <w:rPr>
          <w:rFonts w:cs="Times New Roman"/>
          <w:color w:val="000000" w:themeColor="text1"/>
        </w:rPr>
      </w:pPr>
    </w:p>
    <w:p w14:paraId="38682146" w14:textId="177A5F9A" w:rsidR="00962FAA" w:rsidRDefault="00962FAA" w:rsidP="00962FAA">
      <w:pPr>
        <w:ind w:left="1440"/>
        <w:rPr>
          <w:rFonts w:cs="Times New Roman"/>
          <w:color w:val="000000" w:themeColor="text1"/>
        </w:rPr>
      </w:pPr>
      <w:r w:rsidRPr="00CC45A1">
        <w:rPr>
          <w:rFonts w:cs="Times New Roman"/>
          <w:color w:val="000000" w:themeColor="text1"/>
        </w:rPr>
        <w:t>(</w:t>
      </w:r>
      <w:r>
        <w:rPr>
          <w:rFonts w:cs="Times New Roman"/>
          <w:color w:val="000000" w:themeColor="text1"/>
        </w:rPr>
        <w:t>5</w:t>
      </w:r>
      <w:r w:rsidRPr="00CC45A1">
        <w:rPr>
          <w:rFonts w:cs="Times New Roman"/>
          <w:color w:val="000000" w:themeColor="text1"/>
        </w:rPr>
        <w:t xml:space="preserve">) </w:t>
      </w:r>
      <w:r>
        <w:rPr>
          <w:rFonts w:cs="Times New Roman"/>
          <w:color w:val="000000" w:themeColor="text1"/>
        </w:rPr>
        <w:t>One hundred</w:t>
      </w:r>
      <w:r w:rsidRPr="002976E1">
        <w:rPr>
          <w:rFonts w:cs="Times New Roman"/>
          <w:color w:val="000000" w:themeColor="text1"/>
        </w:rPr>
        <w:t xml:space="preserve"> percent </w:t>
      </w:r>
      <w:r w:rsidRPr="00FF1175">
        <w:rPr>
          <w:rFonts w:cs="Times New Roman"/>
          <w:color w:val="000000" w:themeColor="text1"/>
        </w:rPr>
        <w:t>lifecycle reduction.</w:t>
      </w:r>
      <w:r w:rsidRPr="00FF1175">
        <w:rPr>
          <w:rFonts w:eastAsia="Times New Roman" w:cs="Times New Roman"/>
          <w:color w:val="000000"/>
        </w:rPr>
        <w:t xml:space="preserve">— </w:t>
      </w:r>
      <w:r w:rsidRPr="00FF1175">
        <w:rPr>
          <w:rFonts w:cs="Times New Roman"/>
        </w:rPr>
        <w:t>Not later than</w:t>
      </w:r>
      <w:r w:rsidRPr="00FF1175">
        <w:rPr>
          <w:rFonts w:cs="Times New Roman"/>
          <w:color w:val="000000" w:themeColor="text1"/>
        </w:rPr>
        <w:t xml:space="preserve"> </w:t>
      </w:r>
      <w:r w:rsidR="00FF1175" w:rsidRPr="00FF1175">
        <w:t>January 1</w:t>
      </w:r>
      <w:r w:rsidRPr="00FF1175">
        <w:rPr>
          <w:rFonts w:cs="Times New Roman"/>
          <w:color w:val="000000" w:themeColor="text1"/>
        </w:rPr>
        <w:t xml:space="preserve">, 2050, </w:t>
      </w:r>
      <w:r w:rsidRPr="00FF1175">
        <w:rPr>
          <w:rFonts w:cs="Times New Roman"/>
        </w:rPr>
        <w:t>the use and carriage as fuel by a</w:t>
      </w:r>
      <w:r>
        <w:rPr>
          <w:rFonts w:cs="Times New Roman"/>
        </w:rPr>
        <w:t xml:space="preserve"> </w:t>
      </w:r>
      <w:r w:rsidRPr="003165F9">
        <w:rPr>
          <w:rFonts w:cs="Times New Roman"/>
        </w:rPr>
        <w:t>ship</w:t>
      </w:r>
      <w:r>
        <w:rPr>
          <w:rFonts w:cs="Times New Roman"/>
        </w:rPr>
        <w:t xml:space="preserve"> of</w:t>
      </w:r>
      <w:r>
        <w:rPr>
          <w:rFonts w:eastAsia="Times New Roman" w:cs="Times New Roman"/>
          <w:color w:val="000000"/>
        </w:rPr>
        <w:t xml:space="preserve"> </w:t>
      </w:r>
      <w:r w:rsidRPr="002976E1">
        <w:rPr>
          <w:rFonts w:cs="Times New Roman"/>
          <w:color w:val="000000" w:themeColor="text1"/>
        </w:rPr>
        <w:t xml:space="preserve">fuel that has lifecycle </w:t>
      </w:r>
      <w:r>
        <w:rPr>
          <w:rFonts w:cs="Times New Roman"/>
          <w:color w:val="000000" w:themeColor="text1"/>
        </w:rPr>
        <w:t>climate</w:t>
      </w:r>
      <w:r w:rsidRPr="002976E1">
        <w:rPr>
          <w:rFonts w:cs="Times New Roman"/>
          <w:color w:val="000000" w:themeColor="text1"/>
        </w:rPr>
        <w:t xml:space="preserve"> emissions, as determined by the Administrator, after notice and opportunity for comment, </w:t>
      </w:r>
      <w:r>
        <w:rPr>
          <w:color w:val="000000" w:themeColor="text1"/>
        </w:rPr>
        <w:t>shall be prohibited in the Arctic</w:t>
      </w:r>
      <w:r w:rsidRPr="006F68C6">
        <w:rPr>
          <w:rFonts w:cs="Times New Roman"/>
          <w:color w:val="000000" w:themeColor="text1"/>
        </w:rPr>
        <w:t>.</w:t>
      </w:r>
      <w:r w:rsidRPr="006D1C18">
        <w:rPr>
          <w:rStyle w:val="FootnoteReference"/>
          <w:rFonts w:cs="Times New Roman"/>
          <w:color w:val="000000" w:themeColor="text1"/>
        </w:rPr>
        <w:footnoteReference w:id="28"/>
      </w:r>
    </w:p>
    <w:p w14:paraId="384F9483" w14:textId="77777777" w:rsidR="00962FAA" w:rsidRPr="006D1C18" w:rsidRDefault="00962FAA" w:rsidP="00F840A7">
      <w:pPr>
        <w:rPr>
          <w:rFonts w:cs="Times New Roman"/>
          <w:color w:val="000000" w:themeColor="text1"/>
        </w:rPr>
      </w:pPr>
    </w:p>
    <w:p w14:paraId="6492B881" w14:textId="45536AEF" w:rsidR="008E2E89" w:rsidRDefault="00870D6D" w:rsidP="00B815EF">
      <w:pPr>
        <w:ind w:firstLine="720"/>
        <w:rPr>
          <w:rFonts w:cs="Times New Roman"/>
          <w:color w:val="000000" w:themeColor="text1"/>
        </w:rPr>
      </w:pPr>
      <w:r w:rsidRPr="00F05587">
        <w:rPr>
          <w:rFonts w:cs="Times New Roman"/>
          <w:color w:val="000000" w:themeColor="text1"/>
        </w:rPr>
        <w:t>(</w:t>
      </w:r>
      <w:r w:rsidR="000D30EE">
        <w:rPr>
          <w:rFonts w:cs="Times New Roman"/>
          <w:color w:val="000000" w:themeColor="text1"/>
        </w:rPr>
        <w:t>b</w:t>
      </w:r>
      <w:r w:rsidRPr="00F05587">
        <w:rPr>
          <w:rFonts w:cs="Times New Roman"/>
          <w:color w:val="000000" w:themeColor="text1"/>
        </w:rPr>
        <w:t>) Inclusions</w:t>
      </w:r>
      <w:r>
        <w:rPr>
          <w:rFonts w:cs="Times New Roman"/>
          <w:color w:val="000000" w:themeColor="text1"/>
        </w:rPr>
        <w:t>.</w:t>
      </w:r>
      <w:r w:rsidRPr="006D1C18">
        <w:rPr>
          <w:rStyle w:val="FootnoteReference"/>
          <w:rFonts w:cs="Times New Roman"/>
          <w:color w:val="000000" w:themeColor="text1"/>
        </w:rPr>
        <w:footnoteReference w:id="29"/>
      </w:r>
      <w:r>
        <w:rPr>
          <w:rFonts w:cs="Times New Roman"/>
          <w:color w:val="000000" w:themeColor="text1"/>
        </w:rPr>
        <w:t xml:space="preserve"> </w:t>
      </w:r>
    </w:p>
    <w:p w14:paraId="177F3E43" w14:textId="77777777" w:rsidR="00E80E4D" w:rsidRDefault="00E80E4D" w:rsidP="00B815EF">
      <w:pPr>
        <w:ind w:firstLine="720"/>
        <w:rPr>
          <w:rFonts w:cs="Times New Roman"/>
          <w:color w:val="000000" w:themeColor="text1"/>
        </w:rPr>
      </w:pPr>
    </w:p>
    <w:p w14:paraId="681EFB5B" w14:textId="783810C0" w:rsidR="00870D6D" w:rsidRPr="00F05587" w:rsidRDefault="001975B4" w:rsidP="001975B4">
      <w:pPr>
        <w:ind w:left="1440"/>
        <w:rPr>
          <w:rFonts w:cs="Times New Roman"/>
          <w:color w:val="000000" w:themeColor="text1"/>
        </w:rPr>
      </w:pPr>
      <w:r>
        <w:rPr>
          <w:rFonts w:cs="Times New Roman"/>
          <w:color w:val="000000" w:themeColor="text1"/>
        </w:rPr>
        <w:t>(1)</w:t>
      </w:r>
      <w:r w:rsidR="00F07E84">
        <w:rPr>
          <w:rFonts w:cs="Times New Roman"/>
          <w:color w:val="000000" w:themeColor="text1"/>
        </w:rPr>
        <w:t xml:space="preserve"> </w:t>
      </w:r>
      <w:r w:rsidR="00870D6D" w:rsidRPr="00F05587">
        <w:rPr>
          <w:rFonts w:cs="Times New Roman"/>
          <w:color w:val="000000" w:themeColor="text1"/>
        </w:rPr>
        <w:t>The types of fuels eligible for consideration as Arctic-</w:t>
      </w:r>
      <w:r w:rsidR="002F0343">
        <w:rPr>
          <w:rFonts w:cs="Times New Roman"/>
          <w:color w:val="000000" w:themeColor="text1"/>
        </w:rPr>
        <w:t>eligible</w:t>
      </w:r>
      <w:r w:rsidR="00870D6D" w:rsidRPr="00F05587">
        <w:rPr>
          <w:rFonts w:cs="Times New Roman"/>
          <w:color w:val="000000" w:themeColor="text1"/>
        </w:rPr>
        <w:t xml:space="preserve"> </w:t>
      </w:r>
      <w:r w:rsidR="008E280B">
        <w:rPr>
          <w:rFonts w:cs="Times New Roman"/>
          <w:color w:val="000000" w:themeColor="text1"/>
        </w:rPr>
        <w:t>f</w:t>
      </w:r>
      <w:r w:rsidR="00870D6D" w:rsidRPr="00F05587">
        <w:rPr>
          <w:rFonts w:cs="Times New Roman"/>
          <w:color w:val="000000" w:themeColor="text1"/>
        </w:rPr>
        <w:t>uel may include any of the following</w:t>
      </w:r>
      <w:r w:rsidR="006E6F8F">
        <w:rPr>
          <w:rFonts w:cs="Times New Roman"/>
          <w:color w:val="000000" w:themeColor="text1"/>
        </w:rPr>
        <w:t xml:space="preserve">, as determined by the </w:t>
      </w:r>
      <w:r w:rsidR="006E6F8F" w:rsidRPr="002976E1">
        <w:rPr>
          <w:rFonts w:cs="Times New Roman"/>
          <w:color w:val="000000" w:themeColor="text1"/>
        </w:rPr>
        <w:t>Administrator</w:t>
      </w:r>
      <w:r w:rsidR="00870D6D" w:rsidRPr="00F05587">
        <w:rPr>
          <w:rFonts w:cs="Times New Roman"/>
          <w:color w:val="000000" w:themeColor="text1"/>
        </w:rPr>
        <w:t>:</w:t>
      </w:r>
      <w:r w:rsidR="00870D6D">
        <w:rPr>
          <w:rStyle w:val="FootnoteReference"/>
          <w:rFonts w:cs="Times New Roman"/>
          <w:color w:val="000000" w:themeColor="text1"/>
        </w:rPr>
        <w:footnoteReference w:id="30"/>
      </w:r>
    </w:p>
    <w:p w14:paraId="079DBBC9" w14:textId="041CA3D5" w:rsidR="00870D6D" w:rsidRDefault="00870D6D" w:rsidP="001975B4">
      <w:pPr>
        <w:ind w:left="2400" w:hanging="480"/>
        <w:rPr>
          <w:rFonts w:cs="Times New Roman"/>
          <w:color w:val="000000" w:themeColor="text1"/>
        </w:rPr>
      </w:pPr>
      <w:r w:rsidRPr="00F05587">
        <w:rPr>
          <w:rFonts w:cs="Times New Roman"/>
          <w:color w:val="000000" w:themeColor="text1"/>
        </w:rPr>
        <w:t>(</w:t>
      </w:r>
      <w:r w:rsidR="001975B4">
        <w:rPr>
          <w:rFonts w:cs="Times New Roman"/>
          <w:color w:val="000000" w:themeColor="text1"/>
        </w:rPr>
        <w:t>A</w:t>
      </w:r>
      <w:r w:rsidRPr="00F05587">
        <w:rPr>
          <w:rFonts w:cs="Times New Roman"/>
          <w:color w:val="000000" w:themeColor="text1"/>
        </w:rPr>
        <w:t xml:space="preserve">) </w:t>
      </w:r>
      <w:r>
        <w:rPr>
          <w:rFonts w:cs="Times New Roman"/>
          <w:color w:val="000000" w:themeColor="text1"/>
        </w:rPr>
        <w:t>Hydrogen;</w:t>
      </w:r>
    </w:p>
    <w:p w14:paraId="4939CCCF" w14:textId="3F31218B" w:rsidR="00870D6D" w:rsidRDefault="00870D6D" w:rsidP="001975B4">
      <w:pPr>
        <w:ind w:left="2400" w:hanging="480"/>
        <w:rPr>
          <w:rFonts w:cs="Times New Roman"/>
          <w:color w:val="000000" w:themeColor="text1"/>
        </w:rPr>
      </w:pPr>
      <w:r>
        <w:rPr>
          <w:rFonts w:cs="Times New Roman"/>
          <w:color w:val="000000" w:themeColor="text1"/>
        </w:rPr>
        <w:t>(</w:t>
      </w:r>
      <w:r w:rsidR="001975B4">
        <w:rPr>
          <w:rFonts w:cs="Times New Roman"/>
          <w:color w:val="000000" w:themeColor="text1"/>
        </w:rPr>
        <w:t>B</w:t>
      </w:r>
      <w:r>
        <w:rPr>
          <w:rFonts w:cs="Times New Roman"/>
          <w:color w:val="000000" w:themeColor="text1"/>
        </w:rPr>
        <w:t>) Methanol;</w:t>
      </w:r>
    </w:p>
    <w:p w14:paraId="49730348" w14:textId="792807C1" w:rsidR="00870D6D" w:rsidRDefault="00870D6D" w:rsidP="001975B4">
      <w:pPr>
        <w:ind w:left="2400" w:hanging="480"/>
        <w:rPr>
          <w:rFonts w:cs="Times New Roman"/>
          <w:color w:val="000000" w:themeColor="text1"/>
        </w:rPr>
      </w:pPr>
      <w:r>
        <w:rPr>
          <w:rFonts w:cs="Times New Roman"/>
          <w:color w:val="000000" w:themeColor="text1"/>
        </w:rPr>
        <w:t>(</w:t>
      </w:r>
      <w:r w:rsidR="001975B4">
        <w:rPr>
          <w:rFonts w:cs="Times New Roman"/>
          <w:color w:val="000000" w:themeColor="text1"/>
        </w:rPr>
        <w:t>C</w:t>
      </w:r>
      <w:r>
        <w:rPr>
          <w:rFonts w:cs="Times New Roman"/>
          <w:color w:val="000000" w:themeColor="text1"/>
        </w:rPr>
        <w:t>) Ammonia;</w:t>
      </w:r>
    </w:p>
    <w:p w14:paraId="5C51B214" w14:textId="1853376B" w:rsidR="00870D6D" w:rsidRDefault="00870D6D" w:rsidP="001975B4">
      <w:pPr>
        <w:ind w:left="2400" w:hanging="480"/>
        <w:rPr>
          <w:rFonts w:cs="Times New Roman"/>
          <w:color w:val="000000" w:themeColor="text1"/>
        </w:rPr>
      </w:pPr>
      <w:r>
        <w:rPr>
          <w:rFonts w:cs="Times New Roman"/>
          <w:color w:val="000000" w:themeColor="text1"/>
        </w:rPr>
        <w:t>(</w:t>
      </w:r>
      <w:r w:rsidR="001975B4">
        <w:rPr>
          <w:rFonts w:cs="Times New Roman"/>
          <w:color w:val="000000" w:themeColor="text1"/>
        </w:rPr>
        <w:t>D</w:t>
      </w:r>
      <w:r>
        <w:rPr>
          <w:rFonts w:cs="Times New Roman"/>
          <w:color w:val="000000" w:themeColor="text1"/>
        </w:rPr>
        <w:t>) Bio</w:t>
      </w:r>
      <w:r w:rsidR="008C2DFE">
        <w:rPr>
          <w:rFonts w:cs="Times New Roman"/>
          <w:color w:val="000000" w:themeColor="text1"/>
        </w:rPr>
        <w:t>fuels</w:t>
      </w:r>
      <w:r>
        <w:rPr>
          <w:rFonts w:cs="Times New Roman"/>
          <w:color w:val="000000" w:themeColor="text1"/>
        </w:rPr>
        <w:t>;</w:t>
      </w:r>
    </w:p>
    <w:p w14:paraId="5A5A7077" w14:textId="30A55E8B" w:rsidR="008C2DFE" w:rsidRDefault="00870D6D" w:rsidP="001975B4">
      <w:pPr>
        <w:ind w:left="1200" w:firstLine="720"/>
        <w:rPr>
          <w:rFonts w:cs="Times New Roman"/>
          <w:color w:val="000000" w:themeColor="text1"/>
        </w:rPr>
      </w:pPr>
      <w:r>
        <w:rPr>
          <w:rFonts w:cs="Times New Roman"/>
          <w:color w:val="000000" w:themeColor="text1"/>
        </w:rPr>
        <w:t>(</w:t>
      </w:r>
      <w:r w:rsidR="001975B4">
        <w:rPr>
          <w:rFonts w:cs="Times New Roman"/>
          <w:color w:val="000000" w:themeColor="text1"/>
        </w:rPr>
        <w:t>E</w:t>
      </w:r>
      <w:r>
        <w:rPr>
          <w:rFonts w:cs="Times New Roman"/>
          <w:color w:val="000000" w:themeColor="text1"/>
        </w:rPr>
        <w:t xml:space="preserve">) </w:t>
      </w:r>
      <w:r w:rsidR="002F0343" w:rsidRPr="00F05587">
        <w:rPr>
          <w:rFonts w:cs="Times New Roman"/>
          <w:color w:val="000000" w:themeColor="text1"/>
        </w:rPr>
        <w:t>Arctic-</w:t>
      </w:r>
      <w:r w:rsidR="002F0343">
        <w:rPr>
          <w:rFonts w:cs="Times New Roman"/>
          <w:color w:val="000000" w:themeColor="text1"/>
        </w:rPr>
        <w:t>eligible</w:t>
      </w:r>
      <w:r w:rsidR="008E280B" w:rsidRPr="00F05587">
        <w:rPr>
          <w:rFonts w:cs="Times New Roman"/>
          <w:color w:val="000000" w:themeColor="text1"/>
        </w:rPr>
        <w:t xml:space="preserve"> fuel</w:t>
      </w:r>
      <w:r w:rsidR="008E280B">
        <w:rPr>
          <w:rFonts w:cs="Times New Roman"/>
          <w:color w:val="000000" w:themeColor="text1"/>
        </w:rPr>
        <w:t xml:space="preserve"> blends, including </w:t>
      </w:r>
      <w:r w:rsidR="008E280B" w:rsidRPr="00CC45A1">
        <w:rPr>
          <w:rFonts w:cs="Times New Roman"/>
          <w:color w:val="000000" w:themeColor="text1"/>
        </w:rPr>
        <w:t>arctic baseline fuel</w:t>
      </w:r>
      <w:r w:rsidR="008E280B">
        <w:rPr>
          <w:rFonts w:cs="Times New Roman"/>
          <w:color w:val="000000" w:themeColor="text1"/>
        </w:rPr>
        <w:t xml:space="preserve"> blends</w:t>
      </w:r>
      <w:r>
        <w:rPr>
          <w:rFonts w:cs="Times New Roman"/>
          <w:color w:val="000000" w:themeColor="text1"/>
        </w:rPr>
        <w:t xml:space="preserve">; </w:t>
      </w:r>
    </w:p>
    <w:p w14:paraId="2D60507C" w14:textId="372B8951" w:rsidR="004D75B3" w:rsidRDefault="00870D6D" w:rsidP="001975B4">
      <w:pPr>
        <w:ind w:left="2400" w:hanging="480"/>
        <w:rPr>
          <w:rFonts w:cs="Times New Roman"/>
          <w:color w:val="000000" w:themeColor="text1"/>
        </w:rPr>
      </w:pPr>
      <w:r>
        <w:rPr>
          <w:rFonts w:cs="Times New Roman"/>
          <w:color w:val="000000" w:themeColor="text1"/>
        </w:rPr>
        <w:t>(</w:t>
      </w:r>
      <w:r w:rsidR="001975B4">
        <w:rPr>
          <w:rFonts w:cs="Times New Roman"/>
          <w:color w:val="000000" w:themeColor="text1"/>
        </w:rPr>
        <w:t>F</w:t>
      </w:r>
      <w:r>
        <w:rPr>
          <w:rFonts w:cs="Times New Roman"/>
          <w:color w:val="000000" w:themeColor="text1"/>
        </w:rPr>
        <w:t xml:space="preserve">) Other fuel </w:t>
      </w:r>
      <w:r w:rsidRPr="002976E1">
        <w:rPr>
          <w:rFonts w:cs="Times New Roman"/>
          <w:color w:val="000000" w:themeColor="text1"/>
        </w:rPr>
        <w:t>as determined by the Administrator</w:t>
      </w:r>
      <w:r w:rsidR="007A7CC9">
        <w:rPr>
          <w:rFonts w:cs="Times New Roman"/>
          <w:color w:val="000000" w:themeColor="text1"/>
        </w:rPr>
        <w:t xml:space="preserve"> to be at least as protective of human health and welfare</w:t>
      </w:r>
      <w:r w:rsidRPr="002976E1">
        <w:rPr>
          <w:rFonts w:cs="Times New Roman"/>
          <w:color w:val="000000" w:themeColor="text1"/>
        </w:rPr>
        <w:t>,</w:t>
      </w:r>
      <w:r w:rsidR="00F74A70">
        <w:rPr>
          <w:rFonts w:cs="Times New Roman"/>
          <w:color w:val="000000" w:themeColor="text1"/>
        </w:rPr>
        <w:t xml:space="preserve"> </w:t>
      </w:r>
      <w:r w:rsidRPr="002976E1">
        <w:rPr>
          <w:rFonts w:cs="Times New Roman"/>
          <w:color w:val="000000" w:themeColor="text1"/>
        </w:rPr>
        <w:t>after notice and opportunity for comment</w:t>
      </w:r>
      <w:r w:rsidR="006F6B65">
        <w:rPr>
          <w:rFonts w:cs="Times New Roman"/>
          <w:color w:val="000000" w:themeColor="text1"/>
        </w:rPr>
        <w:t>.</w:t>
      </w:r>
      <w:r w:rsidR="00602DF2">
        <w:rPr>
          <w:rStyle w:val="FootnoteReference"/>
          <w:rFonts w:cs="Times New Roman"/>
          <w:color w:val="000000" w:themeColor="text1"/>
        </w:rPr>
        <w:footnoteReference w:id="31"/>
      </w:r>
    </w:p>
    <w:p w14:paraId="7B2718E4" w14:textId="77777777" w:rsidR="00CB3834" w:rsidRDefault="00CB3834" w:rsidP="001975B4">
      <w:pPr>
        <w:ind w:left="720" w:firstLine="720"/>
        <w:rPr>
          <w:rFonts w:cs="Times New Roman"/>
          <w:color w:val="000000" w:themeColor="text1"/>
        </w:rPr>
      </w:pPr>
    </w:p>
    <w:p w14:paraId="1C88E283" w14:textId="40FB137A" w:rsidR="001975B4" w:rsidRDefault="001975B4" w:rsidP="001975B4">
      <w:pPr>
        <w:ind w:left="720" w:firstLine="720"/>
        <w:rPr>
          <w:rFonts w:cs="Times New Roman"/>
          <w:color w:val="000000" w:themeColor="text1"/>
        </w:rPr>
      </w:pPr>
      <w:r>
        <w:rPr>
          <w:rFonts w:cs="Times New Roman"/>
          <w:color w:val="000000" w:themeColor="text1"/>
        </w:rPr>
        <w:t xml:space="preserve">(2) Battery operation </w:t>
      </w:r>
      <w:r w:rsidRPr="00F05587">
        <w:rPr>
          <w:rFonts w:cs="Times New Roman"/>
          <w:color w:val="000000" w:themeColor="text1"/>
        </w:rPr>
        <w:t xml:space="preserve">may </w:t>
      </w:r>
      <w:r>
        <w:rPr>
          <w:rFonts w:cs="Times New Roman"/>
          <w:color w:val="000000" w:themeColor="text1"/>
        </w:rPr>
        <w:t xml:space="preserve">also be eligible </w:t>
      </w:r>
      <w:r w:rsidRPr="00F05587">
        <w:rPr>
          <w:rFonts w:cs="Times New Roman"/>
          <w:color w:val="000000" w:themeColor="text1"/>
        </w:rPr>
        <w:t>for consideration</w:t>
      </w:r>
      <w:r>
        <w:rPr>
          <w:rFonts w:cs="Times New Roman"/>
          <w:color w:val="000000" w:themeColor="text1"/>
        </w:rPr>
        <w:t>.</w:t>
      </w:r>
    </w:p>
    <w:p w14:paraId="589A2D0A" w14:textId="77777777" w:rsidR="00B815EF" w:rsidRDefault="00B815EF" w:rsidP="001975B4">
      <w:pPr>
        <w:ind w:left="720" w:firstLine="720"/>
        <w:rPr>
          <w:rFonts w:cs="Times New Roman"/>
          <w:color w:val="000000" w:themeColor="text1"/>
        </w:rPr>
      </w:pPr>
    </w:p>
    <w:p w14:paraId="30739E9E" w14:textId="48471FBA" w:rsidR="00816E2A" w:rsidRDefault="00870D6D" w:rsidP="00CB3834">
      <w:pPr>
        <w:ind w:left="1440"/>
        <w:rPr>
          <w:rFonts w:cs="Times New Roman"/>
          <w:color w:val="000000" w:themeColor="text1"/>
        </w:rPr>
      </w:pPr>
      <w:r>
        <w:rPr>
          <w:rFonts w:cs="Times New Roman"/>
          <w:color w:val="000000" w:themeColor="text1"/>
        </w:rPr>
        <w:lastRenderedPageBreak/>
        <w:t>(</w:t>
      </w:r>
      <w:r w:rsidR="00CB3834">
        <w:rPr>
          <w:rFonts w:cs="Times New Roman"/>
          <w:color w:val="000000" w:themeColor="text1"/>
        </w:rPr>
        <w:t>3</w:t>
      </w:r>
      <w:r>
        <w:rPr>
          <w:rFonts w:cs="Times New Roman"/>
          <w:color w:val="000000" w:themeColor="text1"/>
        </w:rPr>
        <w:t xml:space="preserve">) </w:t>
      </w:r>
      <w:r w:rsidR="002F0343" w:rsidRPr="00F05587">
        <w:rPr>
          <w:rFonts w:cs="Times New Roman"/>
          <w:color w:val="000000" w:themeColor="text1"/>
        </w:rPr>
        <w:t>Arctic-</w:t>
      </w:r>
      <w:r w:rsidR="002F0343">
        <w:rPr>
          <w:rFonts w:cs="Times New Roman"/>
          <w:color w:val="000000" w:themeColor="text1"/>
        </w:rPr>
        <w:t>eligible</w:t>
      </w:r>
      <w:r w:rsidR="002F0343" w:rsidRPr="00F05587">
        <w:rPr>
          <w:rFonts w:cs="Times New Roman"/>
          <w:color w:val="000000" w:themeColor="text1"/>
        </w:rPr>
        <w:t xml:space="preserve"> </w:t>
      </w:r>
      <w:r w:rsidR="008E280B">
        <w:rPr>
          <w:rFonts w:cs="Times New Roman"/>
          <w:color w:val="000000" w:themeColor="text1"/>
        </w:rPr>
        <w:t>f</w:t>
      </w:r>
      <w:r w:rsidRPr="00F05587">
        <w:rPr>
          <w:rFonts w:cs="Times New Roman"/>
          <w:color w:val="000000" w:themeColor="text1"/>
        </w:rPr>
        <w:t>uel</w:t>
      </w:r>
      <w:r>
        <w:rPr>
          <w:rFonts w:cs="Times New Roman"/>
          <w:color w:val="000000" w:themeColor="text1"/>
        </w:rPr>
        <w:t xml:space="preserve"> </w:t>
      </w:r>
      <w:r w:rsidR="008E280B">
        <w:rPr>
          <w:rFonts w:cs="Times New Roman"/>
          <w:color w:val="000000" w:themeColor="text1"/>
        </w:rPr>
        <w:t>shall not</w:t>
      </w:r>
      <w:r>
        <w:rPr>
          <w:rFonts w:cs="Times New Roman"/>
          <w:color w:val="000000" w:themeColor="text1"/>
        </w:rPr>
        <w:t xml:space="preserve"> include </w:t>
      </w:r>
      <w:r w:rsidRPr="00CC45A1">
        <w:rPr>
          <w:rFonts w:cs="Times New Roman"/>
          <w:color w:val="000000" w:themeColor="text1"/>
        </w:rPr>
        <w:t xml:space="preserve">fuel prohibited in </w:t>
      </w:r>
      <w:r w:rsidR="004D75B3">
        <w:rPr>
          <w:rFonts w:cs="Times New Roman"/>
          <w:color w:val="000000" w:themeColor="text1"/>
        </w:rPr>
        <w:t>section 4</w:t>
      </w:r>
      <w:r w:rsidRPr="00CC45A1">
        <w:rPr>
          <w:rFonts w:cs="Times New Roman"/>
          <w:color w:val="000000" w:themeColor="text1"/>
        </w:rPr>
        <w:t xml:space="preserve"> or otherwise prohibited by law</w:t>
      </w:r>
      <w:r>
        <w:rPr>
          <w:rFonts w:cs="Times New Roman"/>
          <w:color w:val="000000" w:themeColor="text1"/>
        </w:rPr>
        <w:t>.</w:t>
      </w:r>
      <w:r w:rsidRPr="006D1C18">
        <w:rPr>
          <w:rStyle w:val="FootnoteReference"/>
          <w:rFonts w:cs="Times New Roman"/>
          <w:color w:val="000000" w:themeColor="text1"/>
        </w:rPr>
        <w:t xml:space="preserve"> </w:t>
      </w:r>
    </w:p>
    <w:p w14:paraId="1A22ED2E" w14:textId="3AE1BE2A" w:rsidR="0020475B" w:rsidRDefault="0020475B">
      <w:pPr>
        <w:rPr>
          <w:rFonts w:cs="Times New Roman"/>
        </w:rPr>
      </w:pPr>
    </w:p>
    <w:p w14:paraId="1CE7C826" w14:textId="77777777" w:rsidR="00B057E5" w:rsidRDefault="00B057E5">
      <w:pPr>
        <w:rPr>
          <w:rFonts w:cs="Times New Roman"/>
        </w:rPr>
      </w:pPr>
      <w:r>
        <w:rPr>
          <w:rFonts w:cs="Times New Roman"/>
        </w:rPr>
        <w:br w:type="page"/>
      </w:r>
    </w:p>
    <w:p w14:paraId="20D23084" w14:textId="46253825" w:rsidR="008C7E27" w:rsidRPr="00E03964" w:rsidRDefault="00084592" w:rsidP="00084592">
      <w:pPr>
        <w:ind w:firstLine="720"/>
        <w:rPr>
          <w:rFonts w:cs="Times New Roman"/>
          <w:b/>
          <w:bCs/>
        </w:rPr>
      </w:pPr>
      <w:r>
        <w:rPr>
          <w:rFonts w:cs="Times New Roman"/>
        </w:rPr>
        <w:lastRenderedPageBreak/>
        <w:t xml:space="preserve">(c) </w:t>
      </w:r>
      <w:r w:rsidRPr="00084592">
        <w:rPr>
          <w:rFonts w:cs="Times New Roman"/>
          <w:color w:val="000000" w:themeColor="text1"/>
        </w:rPr>
        <w:t>Credit Program</w:t>
      </w:r>
      <w:r w:rsidR="008C7E27" w:rsidRPr="00084592">
        <w:rPr>
          <w:rFonts w:cs="Times New Roman"/>
          <w:color w:val="000000" w:themeColor="text1"/>
        </w:rPr>
        <w:t>.</w:t>
      </w:r>
      <w:r w:rsidR="00A92E11">
        <w:rPr>
          <w:rStyle w:val="FootnoteReference"/>
          <w:rFonts w:cs="Times New Roman"/>
          <w:color w:val="000000" w:themeColor="text1"/>
        </w:rPr>
        <w:footnoteReference w:id="32"/>
      </w:r>
    </w:p>
    <w:p w14:paraId="0720803D" w14:textId="7CB9BE00" w:rsidR="00B815EF" w:rsidRDefault="00B815EF" w:rsidP="0020475B">
      <w:pPr>
        <w:rPr>
          <w:rFonts w:eastAsia="Times New Roman" w:cs="Times New Roman"/>
          <w:color w:val="000000"/>
        </w:rPr>
      </w:pPr>
    </w:p>
    <w:p w14:paraId="722F6C4C" w14:textId="7601CC0F" w:rsidR="00A25193" w:rsidRPr="00A25193" w:rsidRDefault="00A25193" w:rsidP="00CB3834">
      <w:pPr>
        <w:ind w:left="1440"/>
        <w:rPr>
          <w:rFonts w:cs="Times New Roman"/>
          <w:color w:val="000000" w:themeColor="text1"/>
        </w:rPr>
      </w:pPr>
      <w:r>
        <w:rPr>
          <w:rFonts w:eastAsia="Times New Roman" w:cs="Times New Roman"/>
          <w:color w:val="000000"/>
        </w:rPr>
        <w:t>(</w:t>
      </w:r>
      <w:r w:rsidR="00CB3834">
        <w:rPr>
          <w:rFonts w:eastAsia="Times New Roman" w:cs="Times New Roman"/>
          <w:color w:val="000000"/>
        </w:rPr>
        <w:t>1</w:t>
      </w:r>
      <w:r>
        <w:rPr>
          <w:rFonts w:eastAsia="Times New Roman" w:cs="Times New Roman"/>
          <w:color w:val="000000"/>
        </w:rPr>
        <w:t xml:space="preserve">) Generation of credits. </w:t>
      </w:r>
      <w:r w:rsidR="00832C98" w:rsidRPr="00A25193">
        <w:rPr>
          <w:rFonts w:eastAsia="Times New Roman" w:cs="Times New Roman"/>
          <w:color w:val="000000"/>
        </w:rPr>
        <w:t>A</w:t>
      </w:r>
      <w:r w:rsidR="004E58D5" w:rsidRPr="00A25193">
        <w:rPr>
          <w:rFonts w:eastAsia="Times New Roman" w:cs="Times New Roman"/>
          <w:color w:val="000000"/>
        </w:rPr>
        <w:t xml:space="preserve"> ship that uses as fuel a</w:t>
      </w:r>
      <w:r w:rsidR="00832C98" w:rsidRPr="00A25193">
        <w:rPr>
          <w:rFonts w:eastAsia="Times New Roman" w:cs="Times New Roman"/>
          <w:color w:val="000000"/>
        </w:rPr>
        <w:t>n</w:t>
      </w:r>
      <w:r w:rsidR="004E58D5" w:rsidRPr="00A25193">
        <w:rPr>
          <w:rFonts w:eastAsia="Times New Roman" w:cs="Times New Roman"/>
          <w:color w:val="000000"/>
        </w:rPr>
        <w:t xml:space="preserve"> </w:t>
      </w:r>
      <w:r w:rsidR="002F0343" w:rsidRPr="00A25193">
        <w:rPr>
          <w:rFonts w:cs="Times New Roman"/>
          <w:color w:val="000000" w:themeColor="text1"/>
        </w:rPr>
        <w:t xml:space="preserve">Arctic-eligible </w:t>
      </w:r>
      <w:r w:rsidR="002F0343" w:rsidRPr="00A25193">
        <w:rPr>
          <w:rFonts w:eastAsia="Times New Roman" w:cs="Times New Roman"/>
          <w:color w:val="000000"/>
        </w:rPr>
        <w:t>f</w:t>
      </w:r>
      <w:r w:rsidR="004E58D5" w:rsidRPr="00A25193">
        <w:rPr>
          <w:rFonts w:eastAsia="Times New Roman" w:cs="Times New Roman"/>
          <w:color w:val="000000"/>
        </w:rPr>
        <w:t>uel</w:t>
      </w:r>
      <w:r w:rsidR="00832C98" w:rsidRPr="00A25193">
        <w:rPr>
          <w:rFonts w:eastAsia="Times New Roman" w:cs="Times New Roman"/>
          <w:color w:val="000000"/>
        </w:rPr>
        <w:t xml:space="preserve"> </w:t>
      </w:r>
      <w:r w:rsidR="004E58D5" w:rsidRPr="00A25193">
        <w:rPr>
          <w:rFonts w:eastAsia="Times New Roman" w:cs="Times New Roman"/>
          <w:color w:val="000000"/>
        </w:rPr>
        <w:t xml:space="preserve">that </w:t>
      </w:r>
      <w:r w:rsidR="00B815EF" w:rsidRPr="00A25193">
        <w:rPr>
          <w:rFonts w:eastAsia="Times New Roman" w:cs="Times New Roman"/>
          <w:color w:val="000000"/>
        </w:rPr>
        <w:t xml:space="preserve">exceeds the required </w:t>
      </w:r>
      <w:r w:rsidRPr="002976E1">
        <w:rPr>
          <w:rFonts w:cs="Times New Roman"/>
          <w:color w:val="000000" w:themeColor="text1"/>
        </w:rPr>
        <w:t>lifecycle</w:t>
      </w:r>
      <w:r w:rsidRPr="00A25193">
        <w:rPr>
          <w:rFonts w:eastAsia="Times New Roman" w:cs="Times New Roman"/>
          <w:color w:val="000000"/>
        </w:rPr>
        <w:t xml:space="preserve"> </w:t>
      </w:r>
      <w:r w:rsidR="00B815EF" w:rsidRPr="00D46121">
        <w:rPr>
          <w:rFonts w:eastAsia="Times New Roman" w:cs="Times New Roman"/>
          <w:color w:val="000000"/>
        </w:rPr>
        <w:t xml:space="preserve">reduction </w:t>
      </w:r>
      <w:r w:rsidR="00B815EF" w:rsidRPr="00740C77">
        <w:rPr>
          <w:rFonts w:eastAsia="Times New Roman" w:cs="Times New Roman"/>
          <w:color w:val="000000"/>
        </w:rPr>
        <w:t>by</w:t>
      </w:r>
      <w:r w:rsidR="004E58D5" w:rsidRPr="00740C77">
        <w:rPr>
          <w:rFonts w:eastAsia="Times New Roman" w:cs="Times New Roman"/>
          <w:color w:val="000000"/>
        </w:rPr>
        <w:t xml:space="preserve"> </w:t>
      </w:r>
      <w:r w:rsidR="00832C98" w:rsidRPr="00740C77">
        <w:rPr>
          <w:rFonts w:eastAsia="Times New Roman" w:cs="Times New Roman"/>
          <w:color w:val="000000"/>
        </w:rPr>
        <w:t xml:space="preserve">at least </w:t>
      </w:r>
      <w:r w:rsidRPr="00740C77">
        <w:rPr>
          <w:rFonts w:eastAsia="Times New Roman" w:cs="Times New Roman"/>
          <w:color w:val="000000"/>
        </w:rPr>
        <w:t>5</w:t>
      </w:r>
      <w:r w:rsidR="004C0305" w:rsidRPr="00740C77">
        <w:rPr>
          <w:rFonts w:eastAsia="Times New Roman" w:cs="Times New Roman"/>
          <w:color w:val="000000"/>
        </w:rPr>
        <w:t>0</w:t>
      </w:r>
      <w:r w:rsidR="00832C98" w:rsidRPr="00740C77">
        <w:rPr>
          <w:rFonts w:eastAsia="Times New Roman" w:cs="Times New Roman"/>
          <w:color w:val="000000"/>
        </w:rPr>
        <w:t xml:space="preserve"> </w:t>
      </w:r>
      <w:r w:rsidR="00832C98" w:rsidRPr="00740C77">
        <w:rPr>
          <w:rFonts w:cs="Times New Roman"/>
          <w:color w:val="000000" w:themeColor="text1"/>
        </w:rPr>
        <w:t>percent</w:t>
      </w:r>
      <w:r w:rsidR="00832C98" w:rsidRPr="00D46121">
        <w:rPr>
          <w:rFonts w:cs="Times New Roman"/>
          <w:color w:val="000000" w:themeColor="text1"/>
        </w:rPr>
        <w:t xml:space="preserve"> </w:t>
      </w:r>
      <w:r w:rsidRPr="00D46121">
        <w:rPr>
          <w:rFonts w:cs="Times New Roman"/>
          <w:color w:val="000000" w:themeColor="text1"/>
        </w:rPr>
        <w:t>shall</w:t>
      </w:r>
      <w:r>
        <w:rPr>
          <w:rFonts w:cs="Times New Roman"/>
          <w:color w:val="000000" w:themeColor="text1"/>
        </w:rPr>
        <w:t xml:space="preserve"> generate </w:t>
      </w:r>
      <w:r w:rsidRPr="00E979D9">
        <w:rPr>
          <w:rFonts w:eastAsia="Times New Roman" w:cs="Times New Roman"/>
          <w:color w:val="000000"/>
        </w:rPr>
        <w:t xml:space="preserve">an appropriate amount of </w:t>
      </w:r>
      <w:r>
        <w:rPr>
          <w:rFonts w:eastAsia="Times New Roman" w:cs="Times New Roman"/>
          <w:color w:val="000000"/>
        </w:rPr>
        <w:t xml:space="preserve">commensurate </w:t>
      </w:r>
      <w:r w:rsidRPr="00E979D9">
        <w:rPr>
          <w:rFonts w:eastAsia="Times New Roman" w:cs="Times New Roman"/>
          <w:color w:val="000000"/>
        </w:rPr>
        <w:t>credits</w:t>
      </w:r>
      <w:r>
        <w:rPr>
          <w:rFonts w:eastAsia="Times New Roman" w:cs="Times New Roman"/>
          <w:color w:val="000000"/>
        </w:rPr>
        <w:t>.</w:t>
      </w:r>
      <w:r w:rsidR="00037789">
        <w:rPr>
          <w:rStyle w:val="FootnoteReference"/>
          <w:rFonts w:cs="Times New Roman"/>
          <w:color w:val="000000" w:themeColor="text1"/>
        </w:rPr>
        <w:footnoteReference w:id="33"/>
      </w:r>
    </w:p>
    <w:p w14:paraId="41BE253C" w14:textId="77777777" w:rsidR="00A25193" w:rsidRPr="00A25193" w:rsidRDefault="00A25193" w:rsidP="000D4671">
      <w:pPr>
        <w:rPr>
          <w:rFonts w:eastAsia="Times New Roman" w:cs="Times New Roman"/>
          <w:color w:val="000000"/>
        </w:rPr>
      </w:pPr>
    </w:p>
    <w:p w14:paraId="78C2B988" w14:textId="6172F3CF" w:rsidR="00A25193" w:rsidRPr="00E979D9" w:rsidRDefault="00A25193" w:rsidP="00CB3834">
      <w:pPr>
        <w:ind w:left="1440"/>
        <w:rPr>
          <w:rFonts w:eastAsia="Times New Roman" w:cs="Times New Roman"/>
          <w:color w:val="000000"/>
        </w:rPr>
      </w:pPr>
      <w:r>
        <w:rPr>
          <w:rFonts w:eastAsia="Times New Roman" w:cs="Times New Roman"/>
          <w:color w:val="000000"/>
        </w:rPr>
        <w:t>(</w:t>
      </w:r>
      <w:r w:rsidR="00CB3834">
        <w:rPr>
          <w:rFonts w:eastAsia="Times New Roman" w:cs="Times New Roman"/>
          <w:color w:val="000000"/>
        </w:rPr>
        <w:t>2</w:t>
      </w:r>
      <w:r>
        <w:rPr>
          <w:rFonts w:eastAsia="Times New Roman" w:cs="Times New Roman"/>
          <w:color w:val="000000"/>
        </w:rPr>
        <w:t xml:space="preserve">) </w:t>
      </w:r>
      <w:r w:rsidRPr="00E979D9">
        <w:rPr>
          <w:rFonts w:eastAsia="Times New Roman" w:cs="Times New Roman"/>
          <w:color w:val="000000"/>
        </w:rPr>
        <w:t>Use of credits</w:t>
      </w:r>
      <w:r>
        <w:rPr>
          <w:rFonts w:eastAsia="Times New Roman" w:cs="Times New Roman"/>
          <w:color w:val="000000"/>
        </w:rPr>
        <w:t xml:space="preserve">. </w:t>
      </w:r>
      <w:r w:rsidRPr="00E979D9">
        <w:rPr>
          <w:rFonts w:eastAsia="Times New Roman" w:cs="Times New Roman"/>
          <w:color w:val="000000"/>
        </w:rPr>
        <w:t xml:space="preserve">A </w:t>
      </w:r>
      <w:r>
        <w:rPr>
          <w:rFonts w:eastAsia="Times New Roman" w:cs="Times New Roman"/>
          <w:color w:val="000000"/>
        </w:rPr>
        <w:t xml:space="preserve">ship </w:t>
      </w:r>
      <w:r w:rsidRPr="00E979D9">
        <w:rPr>
          <w:rFonts w:eastAsia="Times New Roman" w:cs="Times New Roman"/>
          <w:color w:val="000000"/>
        </w:rPr>
        <w:t xml:space="preserve">that generates credits under paragraph </w:t>
      </w:r>
      <w:r>
        <w:rPr>
          <w:rFonts w:eastAsia="Times New Roman" w:cs="Times New Roman"/>
          <w:color w:val="000000"/>
        </w:rPr>
        <w:t>(1)</w:t>
      </w:r>
      <w:r w:rsidRPr="00E979D9">
        <w:rPr>
          <w:rFonts w:eastAsia="Times New Roman" w:cs="Times New Roman"/>
          <w:color w:val="000000"/>
        </w:rPr>
        <w:t xml:space="preserve"> may use the credits, or transfer all or a portion of the credits to another </w:t>
      </w:r>
      <w:r>
        <w:rPr>
          <w:rFonts w:eastAsia="Times New Roman" w:cs="Times New Roman"/>
          <w:color w:val="000000"/>
        </w:rPr>
        <w:t>ship</w:t>
      </w:r>
      <w:r w:rsidRPr="00E979D9">
        <w:rPr>
          <w:rFonts w:eastAsia="Times New Roman" w:cs="Times New Roman"/>
          <w:color w:val="000000"/>
        </w:rPr>
        <w:t xml:space="preserve">, for the purpose of complying with </w:t>
      </w:r>
      <w:r>
        <w:rPr>
          <w:rFonts w:eastAsia="Times New Roman" w:cs="Times New Roman"/>
          <w:color w:val="000000"/>
        </w:rPr>
        <w:t xml:space="preserve">the applicable </w:t>
      </w:r>
      <w:r w:rsidRPr="00A25193">
        <w:rPr>
          <w:rFonts w:eastAsia="Times New Roman" w:cs="Times New Roman"/>
          <w:color w:val="000000"/>
        </w:rPr>
        <w:t xml:space="preserve">required </w:t>
      </w:r>
      <w:r w:rsidRPr="002976E1">
        <w:rPr>
          <w:rFonts w:cs="Times New Roman"/>
          <w:color w:val="000000" w:themeColor="text1"/>
        </w:rPr>
        <w:t xml:space="preserve">lifecycle </w:t>
      </w:r>
      <w:r>
        <w:rPr>
          <w:rFonts w:cs="Times New Roman"/>
          <w:color w:val="000000" w:themeColor="text1"/>
        </w:rPr>
        <w:t>reduction</w:t>
      </w:r>
      <w:r w:rsidRPr="00E979D9">
        <w:rPr>
          <w:rFonts w:eastAsia="Times New Roman" w:cs="Times New Roman"/>
          <w:color w:val="000000"/>
        </w:rPr>
        <w:t>.</w:t>
      </w:r>
      <w:r w:rsidR="00FF6731">
        <w:rPr>
          <w:rStyle w:val="FootnoteReference"/>
          <w:rFonts w:cs="Times New Roman"/>
          <w:color w:val="000000" w:themeColor="text1"/>
        </w:rPr>
        <w:footnoteReference w:id="34"/>
      </w:r>
    </w:p>
    <w:p w14:paraId="49193837" w14:textId="61548500" w:rsidR="00A25193" w:rsidRPr="00A25193" w:rsidRDefault="00A25193" w:rsidP="000D4671">
      <w:pPr>
        <w:rPr>
          <w:rFonts w:eastAsia="Times New Roman" w:cs="Times New Roman"/>
          <w:color w:val="000000"/>
        </w:rPr>
      </w:pPr>
    </w:p>
    <w:p w14:paraId="61983338" w14:textId="2BF3B178" w:rsidR="004E58D5" w:rsidRDefault="00FF6731" w:rsidP="00CB3834">
      <w:pPr>
        <w:ind w:left="1440"/>
        <w:rPr>
          <w:rFonts w:eastAsia="Times New Roman" w:cs="Times New Roman"/>
          <w:color w:val="000000"/>
        </w:rPr>
      </w:pPr>
      <w:r w:rsidRPr="00E979D9">
        <w:rPr>
          <w:rFonts w:eastAsia="Times New Roman" w:cs="Times New Roman"/>
          <w:color w:val="000000"/>
        </w:rPr>
        <w:t>(</w:t>
      </w:r>
      <w:r w:rsidR="00CB3834">
        <w:rPr>
          <w:rFonts w:eastAsia="Times New Roman" w:cs="Times New Roman"/>
          <w:color w:val="000000"/>
        </w:rPr>
        <w:t>3</w:t>
      </w:r>
      <w:r w:rsidRPr="00E979D9">
        <w:rPr>
          <w:rFonts w:eastAsia="Times New Roman" w:cs="Times New Roman"/>
          <w:color w:val="000000"/>
        </w:rPr>
        <w:t>) Duration of credits</w:t>
      </w:r>
      <w:r w:rsidR="00E80E4D">
        <w:rPr>
          <w:rFonts w:eastAsia="Times New Roman" w:cs="Times New Roman"/>
          <w:color w:val="000000"/>
        </w:rPr>
        <w:t xml:space="preserve">. </w:t>
      </w:r>
      <w:r w:rsidRPr="00E979D9">
        <w:rPr>
          <w:rFonts w:eastAsia="Times New Roman" w:cs="Times New Roman"/>
          <w:color w:val="000000"/>
        </w:rPr>
        <w:t xml:space="preserve">A credit generated under paragraph </w:t>
      </w:r>
      <w:r>
        <w:rPr>
          <w:rFonts w:eastAsia="Times New Roman" w:cs="Times New Roman"/>
          <w:color w:val="000000"/>
        </w:rPr>
        <w:t xml:space="preserve">(1) </w:t>
      </w:r>
      <w:r w:rsidRPr="00E979D9">
        <w:rPr>
          <w:rFonts w:eastAsia="Times New Roman" w:cs="Times New Roman"/>
          <w:color w:val="000000"/>
        </w:rPr>
        <w:t>shall be valid to show compliance for the 12 months as of the date of generation.</w:t>
      </w:r>
      <w:r>
        <w:rPr>
          <w:rStyle w:val="FootnoteReference"/>
          <w:rFonts w:cs="Times New Roman"/>
          <w:color w:val="000000" w:themeColor="text1"/>
        </w:rPr>
        <w:footnoteReference w:id="35"/>
      </w:r>
    </w:p>
    <w:p w14:paraId="29960892" w14:textId="77777777" w:rsidR="00297D19" w:rsidRDefault="00297D19" w:rsidP="004C2240">
      <w:pPr>
        <w:rPr>
          <w:rFonts w:cs="Times New Roman"/>
        </w:rPr>
      </w:pPr>
    </w:p>
    <w:p w14:paraId="2933E406" w14:textId="1678AB1F" w:rsidR="007B00DE" w:rsidRPr="008626AC" w:rsidRDefault="006A7DF5" w:rsidP="008626AC">
      <w:pPr>
        <w:pStyle w:val="Heading3"/>
        <w:spacing w:before="0" w:beforeAutospacing="0" w:after="0" w:afterAutospacing="0"/>
        <w:rPr>
          <w:color w:val="000000" w:themeColor="text1"/>
          <w:sz w:val="24"/>
          <w:szCs w:val="24"/>
        </w:rPr>
      </w:pPr>
      <w:r w:rsidRPr="008626AC">
        <w:rPr>
          <w:sz w:val="24"/>
          <w:szCs w:val="24"/>
        </w:rPr>
        <w:t xml:space="preserve">SEC. </w:t>
      </w:r>
      <w:r w:rsidR="005F2C5A">
        <w:rPr>
          <w:sz w:val="24"/>
          <w:szCs w:val="24"/>
        </w:rPr>
        <w:t>5</w:t>
      </w:r>
      <w:r w:rsidR="007B00DE" w:rsidRPr="008626AC">
        <w:rPr>
          <w:color w:val="000000" w:themeColor="text1"/>
          <w:sz w:val="24"/>
          <w:szCs w:val="24"/>
        </w:rPr>
        <w:t xml:space="preserve">. </w:t>
      </w:r>
      <w:r w:rsidR="008865AA">
        <w:rPr>
          <w:color w:val="000000" w:themeColor="text1"/>
          <w:sz w:val="24"/>
          <w:szCs w:val="24"/>
        </w:rPr>
        <w:t>ADMINISTRATION</w:t>
      </w:r>
      <w:r w:rsidRPr="008626AC">
        <w:rPr>
          <w:color w:val="000000" w:themeColor="text1"/>
          <w:sz w:val="24"/>
          <w:szCs w:val="24"/>
        </w:rPr>
        <w:t>.</w:t>
      </w:r>
      <w:r w:rsidR="008626AC" w:rsidRPr="008626AC">
        <w:rPr>
          <w:rStyle w:val="FootnoteReference"/>
          <w:b w:val="0"/>
          <w:bCs w:val="0"/>
          <w:color w:val="000000" w:themeColor="text1"/>
          <w:sz w:val="24"/>
          <w:szCs w:val="24"/>
        </w:rPr>
        <w:footnoteReference w:id="36"/>
      </w:r>
    </w:p>
    <w:p w14:paraId="1185A432" w14:textId="77777777" w:rsidR="008626AC" w:rsidRPr="008626AC" w:rsidRDefault="008626AC" w:rsidP="008626AC">
      <w:pPr>
        <w:pStyle w:val="Heading3"/>
        <w:spacing w:before="0" w:beforeAutospacing="0" w:after="0" w:afterAutospacing="0"/>
        <w:rPr>
          <w:color w:val="000000" w:themeColor="text1"/>
          <w:sz w:val="24"/>
          <w:szCs w:val="24"/>
        </w:rPr>
      </w:pPr>
    </w:p>
    <w:p w14:paraId="59439BFC" w14:textId="77777777" w:rsidR="0072053D" w:rsidRDefault="008C3A7F" w:rsidP="008C3A7F">
      <w:pPr>
        <w:pStyle w:val="Heading4"/>
        <w:spacing w:before="0"/>
        <w:ind w:left="720"/>
        <w:rPr>
          <w:rFonts w:ascii="Times New Roman" w:hAnsi="Times New Roman" w:cs="Times New Roman"/>
          <w:i w:val="0"/>
          <w:iCs w:val="0"/>
          <w:color w:val="000000"/>
        </w:rPr>
      </w:pPr>
      <w:r w:rsidRPr="008C7E27">
        <w:rPr>
          <w:rFonts w:ascii="Times New Roman" w:hAnsi="Times New Roman" w:cs="Times New Roman"/>
          <w:i w:val="0"/>
          <w:iCs w:val="0"/>
          <w:color w:val="000000"/>
        </w:rPr>
        <w:t>(</w:t>
      </w:r>
      <w:r>
        <w:rPr>
          <w:rFonts w:ascii="Times New Roman" w:hAnsi="Times New Roman" w:cs="Times New Roman"/>
          <w:i w:val="0"/>
          <w:iCs w:val="0"/>
          <w:color w:val="000000"/>
        </w:rPr>
        <w:t>a</w:t>
      </w:r>
      <w:r w:rsidRPr="008C7E27">
        <w:rPr>
          <w:rFonts w:ascii="Times New Roman" w:hAnsi="Times New Roman" w:cs="Times New Roman"/>
          <w:i w:val="0"/>
          <w:iCs w:val="0"/>
          <w:color w:val="000000"/>
        </w:rPr>
        <w:t>) Duty of Secretary.</w:t>
      </w:r>
      <w:r w:rsidR="0072053D" w:rsidRPr="008626AC">
        <w:rPr>
          <w:rFonts w:ascii="Times New Roman" w:eastAsia="Times New Roman" w:hAnsi="Times New Roman" w:cs="Times New Roman"/>
          <w:color w:val="000000"/>
        </w:rPr>
        <w:t>—</w:t>
      </w:r>
      <w:r w:rsidRPr="007E022D">
        <w:rPr>
          <w:rStyle w:val="FootnoteReference"/>
          <w:rFonts w:ascii="Times New Roman" w:hAnsi="Times New Roman" w:cs="Times New Roman"/>
          <w:i w:val="0"/>
          <w:iCs w:val="0"/>
          <w:color w:val="000000" w:themeColor="text1"/>
        </w:rPr>
        <w:footnoteReference w:id="37"/>
      </w:r>
      <w:r w:rsidRPr="008C7E27">
        <w:rPr>
          <w:rFonts w:ascii="Times New Roman" w:hAnsi="Times New Roman" w:cs="Times New Roman"/>
          <w:i w:val="0"/>
          <w:iCs w:val="0"/>
          <w:color w:val="000000"/>
        </w:rPr>
        <w:t xml:space="preserve"> </w:t>
      </w:r>
    </w:p>
    <w:p w14:paraId="4B7E081A" w14:textId="77777777" w:rsidR="003C71ED" w:rsidRDefault="003C71ED" w:rsidP="003C71ED">
      <w:pPr>
        <w:pStyle w:val="Heading4"/>
        <w:spacing w:before="0"/>
        <w:rPr>
          <w:rFonts w:ascii="Times New Roman" w:hAnsi="Times New Roman" w:cs="Times New Roman"/>
          <w:i w:val="0"/>
          <w:iCs w:val="0"/>
          <w:color w:val="000000"/>
        </w:rPr>
      </w:pPr>
    </w:p>
    <w:p w14:paraId="2A06C8AF" w14:textId="3F4B8630" w:rsidR="007E458C" w:rsidRDefault="0072053D" w:rsidP="0072053D">
      <w:pPr>
        <w:pStyle w:val="Heading4"/>
        <w:spacing w:before="0"/>
        <w:ind w:left="1440"/>
        <w:rPr>
          <w:rFonts w:ascii="Times New Roman" w:hAnsi="Times New Roman" w:cs="Times New Roman"/>
          <w:i w:val="0"/>
          <w:iCs w:val="0"/>
          <w:color w:val="000000"/>
        </w:rPr>
      </w:pPr>
      <w:r>
        <w:rPr>
          <w:rFonts w:ascii="Times New Roman" w:hAnsi="Times New Roman" w:cs="Times New Roman"/>
          <w:i w:val="0"/>
          <w:iCs w:val="0"/>
          <w:color w:val="000000"/>
        </w:rPr>
        <w:t>(</w:t>
      </w:r>
      <w:r w:rsidR="003C71ED">
        <w:rPr>
          <w:rFonts w:ascii="Times New Roman" w:hAnsi="Times New Roman" w:cs="Times New Roman"/>
          <w:i w:val="0"/>
          <w:iCs w:val="0"/>
          <w:color w:val="000000"/>
        </w:rPr>
        <w:t>1</w:t>
      </w:r>
      <w:r>
        <w:rPr>
          <w:rFonts w:ascii="Times New Roman" w:hAnsi="Times New Roman" w:cs="Times New Roman"/>
          <w:i w:val="0"/>
          <w:iCs w:val="0"/>
          <w:color w:val="000000"/>
        </w:rPr>
        <w:t xml:space="preserve">) </w:t>
      </w:r>
      <w:r w:rsidR="008C3A7F" w:rsidRPr="008C3A7F">
        <w:rPr>
          <w:rFonts w:ascii="Times New Roman" w:hAnsi="Times New Roman" w:cs="Times New Roman"/>
          <w:i w:val="0"/>
          <w:iCs w:val="0"/>
          <w:color w:val="000000"/>
        </w:rPr>
        <w:t xml:space="preserve">Unless otherwise specified in this </w:t>
      </w:r>
      <w:r w:rsidR="00DB4364">
        <w:rPr>
          <w:rFonts w:ascii="Times New Roman" w:hAnsi="Times New Roman" w:cs="Times New Roman"/>
          <w:i w:val="0"/>
          <w:iCs w:val="0"/>
          <w:color w:val="000000"/>
        </w:rPr>
        <w:t>Act</w:t>
      </w:r>
      <w:r w:rsidR="007E458C">
        <w:rPr>
          <w:rFonts w:ascii="Times New Roman" w:hAnsi="Times New Roman" w:cs="Times New Roman"/>
          <w:i w:val="0"/>
          <w:iCs w:val="0"/>
          <w:color w:val="000000"/>
        </w:rPr>
        <w:t>,</w:t>
      </w:r>
      <w:r w:rsidR="007E458C" w:rsidRPr="008626AC">
        <w:rPr>
          <w:rFonts w:ascii="Times New Roman" w:eastAsia="Times New Roman" w:hAnsi="Times New Roman" w:cs="Times New Roman"/>
          <w:color w:val="000000"/>
        </w:rPr>
        <w:t>—</w:t>
      </w:r>
      <w:r w:rsidR="008C3A7F" w:rsidRPr="008C3A7F">
        <w:rPr>
          <w:rFonts w:ascii="Times New Roman" w:hAnsi="Times New Roman" w:cs="Times New Roman"/>
          <w:i w:val="0"/>
          <w:iCs w:val="0"/>
          <w:color w:val="000000"/>
        </w:rPr>
        <w:t xml:space="preserve"> </w:t>
      </w:r>
    </w:p>
    <w:p w14:paraId="17496281" w14:textId="77777777" w:rsidR="007E458C" w:rsidRDefault="007E458C" w:rsidP="0072053D">
      <w:pPr>
        <w:pStyle w:val="Heading4"/>
        <w:spacing w:before="0"/>
        <w:ind w:left="1440"/>
        <w:rPr>
          <w:rFonts w:ascii="Times New Roman" w:hAnsi="Times New Roman" w:cs="Times New Roman"/>
          <w:i w:val="0"/>
          <w:iCs w:val="0"/>
          <w:color w:val="000000"/>
        </w:rPr>
      </w:pPr>
    </w:p>
    <w:p w14:paraId="0F5C8C64" w14:textId="597AE79E" w:rsidR="0072053D" w:rsidRDefault="007E458C" w:rsidP="007E458C">
      <w:pPr>
        <w:pStyle w:val="Heading4"/>
        <w:spacing w:before="0"/>
        <w:ind w:left="1440" w:firstLine="720"/>
        <w:rPr>
          <w:rFonts w:ascii="Times New Roman" w:hAnsi="Times New Roman" w:cs="Times New Roman"/>
          <w:i w:val="0"/>
          <w:iCs w:val="0"/>
          <w:color w:val="000000"/>
        </w:rPr>
      </w:pPr>
      <w:r>
        <w:rPr>
          <w:rFonts w:ascii="Times New Roman" w:hAnsi="Times New Roman" w:cs="Times New Roman"/>
          <w:i w:val="0"/>
          <w:iCs w:val="0"/>
          <w:color w:val="000000"/>
        </w:rPr>
        <w:t>(A) T</w:t>
      </w:r>
      <w:r w:rsidR="008C3A7F" w:rsidRPr="008C3A7F">
        <w:rPr>
          <w:rFonts w:ascii="Times New Roman" w:hAnsi="Times New Roman" w:cs="Times New Roman"/>
          <w:i w:val="0"/>
          <w:iCs w:val="0"/>
          <w:color w:val="000000"/>
        </w:rPr>
        <w:t>he Secretary shall administer and enforce th</w:t>
      </w:r>
      <w:r w:rsidR="007E022D">
        <w:rPr>
          <w:rFonts w:ascii="Times New Roman" w:hAnsi="Times New Roman" w:cs="Times New Roman"/>
          <w:i w:val="0"/>
          <w:iCs w:val="0"/>
          <w:color w:val="000000"/>
        </w:rPr>
        <w:t>is</w:t>
      </w:r>
      <w:r w:rsidR="008C3A7F" w:rsidRPr="008C3A7F">
        <w:rPr>
          <w:rFonts w:ascii="Times New Roman" w:hAnsi="Times New Roman" w:cs="Times New Roman"/>
          <w:i w:val="0"/>
          <w:iCs w:val="0"/>
          <w:color w:val="000000"/>
        </w:rPr>
        <w:t xml:space="preserve"> </w:t>
      </w:r>
      <w:r w:rsidR="00DB4364">
        <w:rPr>
          <w:rFonts w:ascii="Times New Roman" w:hAnsi="Times New Roman" w:cs="Times New Roman"/>
          <w:i w:val="0"/>
          <w:iCs w:val="0"/>
          <w:color w:val="000000"/>
        </w:rPr>
        <w:t>Act</w:t>
      </w:r>
      <w:r w:rsidR="008C3A7F">
        <w:rPr>
          <w:rFonts w:ascii="Times New Roman" w:hAnsi="Times New Roman" w:cs="Times New Roman"/>
          <w:i w:val="0"/>
          <w:iCs w:val="0"/>
          <w:color w:val="000000"/>
        </w:rPr>
        <w:t>.</w:t>
      </w:r>
      <w:r w:rsidR="008C3A7F" w:rsidRPr="008C7E27">
        <w:rPr>
          <w:rStyle w:val="FootnoteReference"/>
          <w:rFonts w:ascii="Times New Roman" w:hAnsi="Times New Roman" w:cs="Times New Roman"/>
          <w:i w:val="0"/>
          <w:iCs w:val="0"/>
          <w:color w:val="000000" w:themeColor="text1"/>
        </w:rPr>
        <w:footnoteReference w:id="38"/>
      </w:r>
      <w:r w:rsidR="008C3A7F">
        <w:rPr>
          <w:rFonts w:ascii="Times New Roman" w:hAnsi="Times New Roman" w:cs="Times New Roman"/>
          <w:i w:val="0"/>
          <w:iCs w:val="0"/>
          <w:color w:val="000000"/>
        </w:rPr>
        <w:t xml:space="preserve"> </w:t>
      </w:r>
    </w:p>
    <w:p w14:paraId="66A1D65C" w14:textId="77777777" w:rsidR="0072053D" w:rsidRDefault="0072053D" w:rsidP="008C3A7F">
      <w:pPr>
        <w:pStyle w:val="Heading4"/>
        <w:spacing w:before="0"/>
        <w:ind w:left="720"/>
        <w:rPr>
          <w:rFonts w:ascii="Times New Roman" w:hAnsi="Times New Roman" w:cs="Times New Roman"/>
          <w:i w:val="0"/>
          <w:iCs w:val="0"/>
          <w:color w:val="000000"/>
        </w:rPr>
      </w:pPr>
    </w:p>
    <w:p w14:paraId="1C8E8F9E" w14:textId="57CB710A" w:rsidR="008C3A7F" w:rsidRDefault="0072053D" w:rsidP="007E458C">
      <w:pPr>
        <w:pStyle w:val="Heading4"/>
        <w:spacing w:before="0"/>
        <w:ind w:left="2160"/>
        <w:rPr>
          <w:rFonts w:ascii="Times New Roman" w:hAnsi="Times New Roman" w:cs="Times New Roman"/>
          <w:i w:val="0"/>
          <w:iCs w:val="0"/>
          <w:color w:val="000000"/>
        </w:rPr>
      </w:pPr>
      <w:r>
        <w:rPr>
          <w:rFonts w:ascii="Times New Roman" w:hAnsi="Times New Roman" w:cs="Times New Roman"/>
          <w:i w:val="0"/>
          <w:iCs w:val="0"/>
          <w:color w:val="000000"/>
        </w:rPr>
        <w:t>(</w:t>
      </w:r>
      <w:r w:rsidR="007E458C">
        <w:rPr>
          <w:rFonts w:ascii="Times New Roman" w:hAnsi="Times New Roman" w:cs="Times New Roman"/>
          <w:i w:val="0"/>
          <w:iCs w:val="0"/>
          <w:color w:val="000000"/>
        </w:rPr>
        <w:t>B</w:t>
      </w:r>
      <w:r>
        <w:rPr>
          <w:rFonts w:ascii="Times New Roman" w:hAnsi="Times New Roman" w:cs="Times New Roman"/>
          <w:i w:val="0"/>
          <w:iCs w:val="0"/>
          <w:color w:val="000000"/>
        </w:rPr>
        <w:t xml:space="preserve">) </w:t>
      </w:r>
      <w:r w:rsidR="007E458C">
        <w:rPr>
          <w:rFonts w:ascii="Times New Roman" w:hAnsi="Times New Roman" w:cs="Times New Roman"/>
          <w:i w:val="0"/>
          <w:iCs w:val="0"/>
          <w:color w:val="000000"/>
        </w:rPr>
        <w:t>T</w:t>
      </w:r>
      <w:r w:rsidR="008C3A7F" w:rsidRPr="008C7E27">
        <w:rPr>
          <w:rFonts w:ascii="Times New Roman" w:hAnsi="Times New Roman" w:cs="Times New Roman"/>
          <w:i w:val="0"/>
          <w:iCs w:val="0"/>
          <w:color w:val="000000"/>
        </w:rPr>
        <w:t xml:space="preserve">he Secretary shall prescribe any necessary or desired regulations to carry out the provisions of this </w:t>
      </w:r>
      <w:r w:rsidR="00DB4364">
        <w:rPr>
          <w:rFonts w:ascii="Times New Roman" w:hAnsi="Times New Roman" w:cs="Times New Roman"/>
          <w:i w:val="0"/>
          <w:iCs w:val="0"/>
          <w:color w:val="000000"/>
        </w:rPr>
        <w:t>Act</w:t>
      </w:r>
      <w:r w:rsidR="008C3A7F" w:rsidRPr="008C7E27">
        <w:rPr>
          <w:rFonts w:ascii="Times New Roman" w:hAnsi="Times New Roman" w:cs="Times New Roman"/>
          <w:i w:val="0"/>
          <w:iCs w:val="0"/>
          <w:color w:val="000000"/>
        </w:rPr>
        <w:t>.</w:t>
      </w:r>
      <w:r w:rsidR="008C3A7F" w:rsidRPr="008C7E27">
        <w:rPr>
          <w:rStyle w:val="FootnoteReference"/>
          <w:rFonts w:ascii="Times New Roman" w:hAnsi="Times New Roman" w:cs="Times New Roman"/>
          <w:i w:val="0"/>
          <w:iCs w:val="0"/>
          <w:color w:val="000000" w:themeColor="text1"/>
        </w:rPr>
        <w:footnoteReference w:id="39"/>
      </w:r>
    </w:p>
    <w:p w14:paraId="32BC7F6D" w14:textId="526FF6EE" w:rsidR="00A33F59" w:rsidRDefault="00A33F59" w:rsidP="00A33F59"/>
    <w:p w14:paraId="2C60F45C" w14:textId="0DBBDB0A" w:rsidR="00A33F59" w:rsidRPr="00055601" w:rsidRDefault="00A33F59" w:rsidP="00055601">
      <w:pPr>
        <w:ind w:left="2160"/>
      </w:pPr>
      <w:r>
        <w:t>(C) T</w:t>
      </w:r>
      <w:r w:rsidRPr="004C5E0C">
        <w:t xml:space="preserve">he administration and enforcement of </w:t>
      </w:r>
      <w:r>
        <w:t xml:space="preserve">this Act shall </w:t>
      </w:r>
      <w:r w:rsidRPr="004C5E0C">
        <w:t>apply only to seagoing ships</w:t>
      </w:r>
      <w:r>
        <w:t xml:space="preserve"> unless otherwise specified</w:t>
      </w:r>
      <w:r w:rsidRPr="004C5E0C">
        <w:t>.</w:t>
      </w:r>
      <w:r w:rsidR="00526693">
        <w:rPr>
          <w:rStyle w:val="FootnoteReference"/>
          <w:rFonts w:cs="Times New Roman"/>
        </w:rPr>
        <w:footnoteReference w:id="40"/>
      </w:r>
    </w:p>
    <w:p w14:paraId="18214BC1" w14:textId="5063DD8A" w:rsidR="004E07D1" w:rsidRDefault="004E07D1" w:rsidP="004E07D1"/>
    <w:p w14:paraId="10FCA18F" w14:textId="373423E4" w:rsidR="00FC29F0" w:rsidRPr="004E07D1" w:rsidRDefault="00FC29F0" w:rsidP="00FC29F0">
      <w:pPr>
        <w:ind w:left="1440"/>
      </w:pPr>
      <w:r w:rsidRPr="00BB2C9E">
        <w:t xml:space="preserve">(2) Not later than </w:t>
      </w:r>
      <w:r w:rsidR="00D1262D">
        <w:rPr>
          <w:rFonts w:cs="Times New Roman"/>
        </w:rPr>
        <w:t>January</w:t>
      </w:r>
      <w:r w:rsidRPr="00BB2C9E">
        <w:rPr>
          <w:rFonts w:cs="Times New Roman"/>
        </w:rPr>
        <w:t xml:space="preserve"> 1</w:t>
      </w:r>
      <w:r w:rsidRPr="00BB2C9E">
        <w:t>, 2022, the Secretary shall initiate a rulemaking to prescribe regulations to carry out the provisions of subsection 6(a), and shall promulgate a final rule</w:t>
      </w:r>
      <w:r w:rsidRPr="000649EF">
        <w:t xml:space="preserve"> within 1</w:t>
      </w:r>
      <w:r>
        <w:t>2</w:t>
      </w:r>
      <w:r w:rsidRPr="000649EF">
        <w:t xml:space="preserve"> months </w:t>
      </w:r>
      <w:r>
        <w:t>of the required date of initiation</w:t>
      </w:r>
      <w:r w:rsidRPr="000649EF">
        <w:t>.</w:t>
      </w:r>
      <w:r>
        <w:rPr>
          <w:rStyle w:val="FootnoteReference"/>
        </w:rPr>
        <w:footnoteReference w:id="41"/>
      </w:r>
    </w:p>
    <w:p w14:paraId="7F0C6F65" w14:textId="1B1A7599" w:rsidR="003C71ED" w:rsidRDefault="003C71ED" w:rsidP="003C71ED"/>
    <w:p w14:paraId="5C6966FB" w14:textId="24EB56EA" w:rsidR="003C71ED" w:rsidRDefault="003C71ED" w:rsidP="003C71ED">
      <w:pPr>
        <w:ind w:left="1440"/>
      </w:pPr>
      <w:r w:rsidRPr="000649EF">
        <w:t>(</w:t>
      </w:r>
      <w:r>
        <w:t>3</w:t>
      </w:r>
      <w:r w:rsidRPr="000649EF">
        <w:t xml:space="preserve">) Whenever the </w:t>
      </w:r>
      <w:r w:rsidRPr="003C71ED">
        <w:t>Secretary</w:t>
      </w:r>
      <w:r w:rsidRPr="000649EF">
        <w:t xml:space="preserve"> is </w:t>
      </w:r>
      <w:r w:rsidR="00FC29F0">
        <w:t xml:space="preserve">otherwise </w:t>
      </w:r>
      <w:r w:rsidRPr="000649EF">
        <w:t xml:space="preserve">required to initiate a rulemaking under </w:t>
      </w:r>
      <w:r>
        <w:t>this subsection</w:t>
      </w:r>
      <w:r w:rsidRPr="000649EF">
        <w:t xml:space="preserve">, the </w:t>
      </w:r>
      <w:r w:rsidRPr="003C71ED">
        <w:t>Secretary</w:t>
      </w:r>
      <w:r w:rsidRPr="000649EF">
        <w:t xml:space="preserve"> shall promulgate a final rule within 18 months </w:t>
      </w:r>
      <w:r>
        <w:t>of the required date of initiation</w:t>
      </w:r>
      <w:r w:rsidRPr="000649EF">
        <w:t>.</w:t>
      </w:r>
      <w:r>
        <w:rPr>
          <w:rStyle w:val="FootnoteReference"/>
        </w:rPr>
        <w:footnoteReference w:id="42"/>
      </w:r>
    </w:p>
    <w:p w14:paraId="153B3C8C" w14:textId="77777777" w:rsidR="008C3A7F" w:rsidRDefault="008C3A7F" w:rsidP="008C3A7F">
      <w:pPr>
        <w:pStyle w:val="Heading4"/>
        <w:spacing w:before="0"/>
        <w:rPr>
          <w:rFonts w:ascii="Times New Roman" w:hAnsi="Times New Roman" w:cs="Times New Roman"/>
          <w:i w:val="0"/>
          <w:iCs w:val="0"/>
          <w:color w:val="000000"/>
        </w:rPr>
      </w:pPr>
    </w:p>
    <w:p w14:paraId="1E27B720" w14:textId="332BD1BE" w:rsidR="00811D98" w:rsidRDefault="00811D98" w:rsidP="008626AC">
      <w:pPr>
        <w:pStyle w:val="Heading4"/>
        <w:spacing w:before="0"/>
        <w:ind w:left="720"/>
        <w:rPr>
          <w:rFonts w:ascii="Times New Roman" w:hAnsi="Times New Roman" w:cs="Times New Roman"/>
          <w:i w:val="0"/>
          <w:iCs w:val="0"/>
          <w:color w:val="000000"/>
        </w:rPr>
      </w:pPr>
      <w:r w:rsidRPr="008626AC">
        <w:rPr>
          <w:rFonts w:ascii="Times New Roman" w:hAnsi="Times New Roman" w:cs="Times New Roman"/>
          <w:i w:val="0"/>
          <w:iCs w:val="0"/>
          <w:color w:val="000000"/>
        </w:rPr>
        <w:t>(</w:t>
      </w:r>
      <w:r w:rsidR="008C3A7F">
        <w:rPr>
          <w:rFonts w:ascii="Times New Roman" w:hAnsi="Times New Roman" w:cs="Times New Roman"/>
          <w:i w:val="0"/>
          <w:iCs w:val="0"/>
          <w:color w:val="000000"/>
        </w:rPr>
        <w:t>b</w:t>
      </w:r>
      <w:r w:rsidRPr="008626AC">
        <w:rPr>
          <w:rFonts w:ascii="Times New Roman" w:hAnsi="Times New Roman" w:cs="Times New Roman"/>
          <w:i w:val="0"/>
          <w:iCs w:val="0"/>
          <w:color w:val="000000"/>
        </w:rPr>
        <w:t xml:space="preserve">) </w:t>
      </w:r>
      <w:r w:rsidR="00367EA7" w:rsidRPr="008626AC">
        <w:rPr>
          <w:rFonts w:ascii="Times New Roman" w:hAnsi="Times New Roman" w:cs="Times New Roman"/>
          <w:i w:val="0"/>
          <w:iCs w:val="0"/>
          <w:color w:val="000000"/>
        </w:rPr>
        <w:t>Duty of the Administrator</w:t>
      </w:r>
      <w:r w:rsidR="0072053D">
        <w:rPr>
          <w:rFonts w:ascii="Times New Roman" w:hAnsi="Times New Roman" w:cs="Times New Roman"/>
          <w:i w:val="0"/>
          <w:iCs w:val="0"/>
          <w:color w:val="000000"/>
        </w:rPr>
        <w:t>.</w:t>
      </w:r>
      <w:r w:rsidR="008626AC" w:rsidRPr="008626AC">
        <w:rPr>
          <w:rFonts w:ascii="Times New Roman" w:eastAsia="Times New Roman" w:hAnsi="Times New Roman" w:cs="Times New Roman"/>
          <w:color w:val="000000"/>
        </w:rPr>
        <w:t>—</w:t>
      </w:r>
      <w:r w:rsidR="00367EA7" w:rsidRPr="008626AC">
        <w:rPr>
          <w:rStyle w:val="FootnoteReference"/>
          <w:rFonts w:ascii="Times New Roman" w:hAnsi="Times New Roman" w:cs="Times New Roman"/>
          <w:i w:val="0"/>
          <w:iCs w:val="0"/>
          <w:color w:val="000000"/>
        </w:rPr>
        <w:footnoteReference w:id="43"/>
      </w:r>
      <w:r w:rsidR="002A348C" w:rsidRPr="008626AC">
        <w:rPr>
          <w:rFonts w:ascii="Times New Roman" w:hAnsi="Times New Roman" w:cs="Times New Roman"/>
          <w:i w:val="0"/>
          <w:iCs w:val="0"/>
          <w:color w:val="000000"/>
        </w:rPr>
        <w:t xml:space="preserve"> </w:t>
      </w:r>
    </w:p>
    <w:p w14:paraId="6DBEE56F" w14:textId="77777777" w:rsidR="00E80E4D" w:rsidRPr="00E80E4D" w:rsidRDefault="00E80E4D" w:rsidP="00E80E4D"/>
    <w:p w14:paraId="6F6FBA93" w14:textId="2FE679B4" w:rsidR="00872011" w:rsidRDefault="00872011" w:rsidP="008626AC">
      <w:pPr>
        <w:ind w:left="1440"/>
        <w:rPr>
          <w:rFonts w:cs="Times New Roman"/>
          <w:color w:val="000000" w:themeColor="text1"/>
        </w:rPr>
      </w:pPr>
      <w:r w:rsidRPr="008626AC">
        <w:rPr>
          <w:rFonts w:cs="Times New Roman"/>
        </w:rPr>
        <w:t xml:space="preserve">(1) </w:t>
      </w:r>
      <w:r w:rsidR="00B51825" w:rsidRPr="008626AC">
        <w:rPr>
          <w:rFonts w:cs="Times New Roman"/>
          <w:color w:val="000000" w:themeColor="text1"/>
        </w:rPr>
        <w:t>Arctic baseline fuel determination</w:t>
      </w:r>
      <w:r w:rsidRPr="008626AC">
        <w:rPr>
          <w:rFonts w:cs="Times New Roman"/>
          <w:color w:val="000000" w:themeColor="text1"/>
        </w:rPr>
        <w:t>.</w:t>
      </w:r>
      <w:r w:rsidR="00B9551A" w:rsidRPr="008626AC">
        <w:rPr>
          <w:rFonts w:cs="Times New Roman"/>
          <w:color w:val="000000" w:themeColor="text1"/>
        </w:rPr>
        <w:t xml:space="preserve"> </w:t>
      </w:r>
      <w:r w:rsidRPr="008626AC">
        <w:rPr>
          <w:rFonts w:cs="Times New Roman"/>
        </w:rPr>
        <w:t xml:space="preserve">Not later than </w:t>
      </w:r>
      <w:r w:rsidR="00D1262D">
        <w:rPr>
          <w:rFonts w:cs="Times New Roman"/>
          <w:color w:val="000000" w:themeColor="text1"/>
        </w:rPr>
        <w:t>January 1, 2023</w:t>
      </w:r>
      <w:r w:rsidRPr="008626AC">
        <w:rPr>
          <w:rFonts w:cs="Times New Roman"/>
          <w:color w:val="000000" w:themeColor="text1"/>
        </w:rPr>
        <w:t>,</w:t>
      </w:r>
      <w:r w:rsidR="005457D7">
        <w:rPr>
          <w:rStyle w:val="FootnoteReference"/>
        </w:rPr>
        <w:footnoteReference w:id="44"/>
      </w:r>
      <w:r w:rsidR="005457D7">
        <w:t xml:space="preserve"> </w:t>
      </w:r>
      <w:r w:rsidRPr="008626AC">
        <w:rPr>
          <w:rFonts w:cs="Times New Roman"/>
          <w:color w:val="000000" w:themeColor="text1"/>
        </w:rPr>
        <w:t>the Administrator</w:t>
      </w:r>
      <w:r w:rsidRPr="008626AC">
        <w:rPr>
          <w:rFonts w:cs="Times New Roman"/>
        </w:rPr>
        <w:t xml:space="preserve"> shall determine </w:t>
      </w:r>
      <w:r w:rsidR="00B9551A" w:rsidRPr="008626AC">
        <w:rPr>
          <w:rFonts w:cs="Times New Roman"/>
        </w:rPr>
        <w:t xml:space="preserve">baseline </w:t>
      </w:r>
      <w:r w:rsidRPr="008626AC">
        <w:rPr>
          <w:rFonts w:cs="Times New Roman"/>
          <w:color w:val="000000" w:themeColor="text1"/>
        </w:rPr>
        <w:t>lifecycle climate emissions, after notice and opportunity for comment</w:t>
      </w:r>
      <w:r w:rsidR="00B9551A" w:rsidRPr="008626AC">
        <w:rPr>
          <w:rFonts w:cs="Times New Roman"/>
          <w:color w:val="000000" w:themeColor="text1"/>
        </w:rPr>
        <w:t>, for Arctic Baseline Fuel.</w:t>
      </w:r>
      <w:r w:rsidR="00987E52" w:rsidRPr="006D1C18">
        <w:rPr>
          <w:rStyle w:val="FootnoteReference"/>
          <w:rFonts w:cs="Times New Roman"/>
          <w:color w:val="000000" w:themeColor="text1"/>
        </w:rPr>
        <w:footnoteReference w:id="45"/>
      </w:r>
      <w:r w:rsidRPr="008626AC">
        <w:rPr>
          <w:rFonts w:cs="Times New Roman"/>
          <w:color w:val="000000" w:themeColor="text1"/>
        </w:rPr>
        <w:t xml:space="preserve"> </w:t>
      </w:r>
    </w:p>
    <w:p w14:paraId="7F3C0EA5" w14:textId="77777777" w:rsidR="000D4671" w:rsidRPr="008626AC" w:rsidRDefault="000D4671" w:rsidP="008626AC">
      <w:pPr>
        <w:ind w:left="1440"/>
        <w:rPr>
          <w:rFonts w:cs="Times New Roman"/>
          <w:color w:val="000000" w:themeColor="text1"/>
        </w:rPr>
      </w:pPr>
    </w:p>
    <w:p w14:paraId="3E890D6C" w14:textId="3072B709" w:rsidR="002A348C" w:rsidRDefault="008737A6" w:rsidP="008626AC">
      <w:pPr>
        <w:ind w:left="1440"/>
      </w:pPr>
      <w:r w:rsidRPr="008626AC">
        <w:rPr>
          <w:rFonts w:cs="Times New Roman"/>
        </w:rPr>
        <w:t>(</w:t>
      </w:r>
      <w:r w:rsidR="00B9551A" w:rsidRPr="008626AC">
        <w:rPr>
          <w:rFonts w:cs="Times New Roman"/>
        </w:rPr>
        <w:t>2</w:t>
      </w:r>
      <w:r w:rsidRPr="008626AC">
        <w:rPr>
          <w:rFonts w:cs="Times New Roman"/>
        </w:rPr>
        <w:t xml:space="preserve">) </w:t>
      </w:r>
      <w:r w:rsidR="00950968" w:rsidRPr="008626AC">
        <w:rPr>
          <w:rFonts w:cs="Times New Roman"/>
        </w:rPr>
        <w:t xml:space="preserve">Inclusions. </w:t>
      </w:r>
      <w:r w:rsidRPr="008626AC">
        <w:rPr>
          <w:rFonts w:cs="Times New Roman"/>
        </w:rPr>
        <w:t xml:space="preserve">Unless the American Society for Testing and Materials has adopted a standard for </w:t>
      </w:r>
      <w:r w:rsidR="00E61D90" w:rsidRPr="008626AC">
        <w:rPr>
          <w:rFonts w:cs="Times New Roman"/>
        </w:rPr>
        <w:t xml:space="preserve">a </w:t>
      </w:r>
      <w:r w:rsidR="00381A87" w:rsidRPr="008626AC">
        <w:rPr>
          <w:rFonts w:cs="Times New Roman"/>
          <w:color w:val="000000" w:themeColor="text1"/>
        </w:rPr>
        <w:t>type</w:t>
      </w:r>
      <w:r w:rsidR="00381A87" w:rsidRPr="00F05587">
        <w:rPr>
          <w:rFonts w:cs="Times New Roman"/>
          <w:color w:val="000000" w:themeColor="text1"/>
        </w:rPr>
        <w:t xml:space="preserve"> of fuel eligible for consideration as </w:t>
      </w:r>
      <w:r w:rsidR="00B815EF" w:rsidRPr="00F05587">
        <w:rPr>
          <w:rFonts w:cs="Times New Roman"/>
          <w:color w:val="000000" w:themeColor="text1"/>
        </w:rPr>
        <w:t>Arctic-</w:t>
      </w:r>
      <w:r w:rsidR="00B815EF">
        <w:rPr>
          <w:rFonts w:cs="Times New Roman"/>
          <w:color w:val="000000" w:themeColor="text1"/>
        </w:rPr>
        <w:t>eligible</w:t>
      </w:r>
      <w:r w:rsidR="00B815EF" w:rsidRPr="00F05587">
        <w:rPr>
          <w:rFonts w:cs="Times New Roman"/>
          <w:color w:val="000000" w:themeColor="text1"/>
        </w:rPr>
        <w:t xml:space="preserve"> </w:t>
      </w:r>
      <w:r w:rsidR="00381A87">
        <w:rPr>
          <w:rFonts w:cs="Times New Roman"/>
          <w:color w:val="000000" w:themeColor="text1"/>
        </w:rPr>
        <w:t>f</w:t>
      </w:r>
      <w:r w:rsidR="00381A87" w:rsidRPr="00F05587">
        <w:rPr>
          <w:rFonts w:cs="Times New Roman"/>
          <w:color w:val="000000" w:themeColor="text1"/>
        </w:rPr>
        <w:t>uel</w:t>
      </w:r>
      <w:r w:rsidR="00B51825">
        <w:rPr>
          <w:rFonts w:cs="Times New Roman"/>
          <w:color w:val="000000" w:themeColor="text1"/>
        </w:rPr>
        <w:t>,</w:t>
      </w:r>
      <w:r w:rsidR="00381A87" w:rsidRPr="00F05587">
        <w:rPr>
          <w:rFonts w:cs="Times New Roman"/>
          <w:color w:val="000000" w:themeColor="text1"/>
        </w:rPr>
        <w:t xml:space="preserve"> </w:t>
      </w:r>
      <w:r w:rsidR="00B51825">
        <w:rPr>
          <w:rFonts w:cs="Times New Roman"/>
        </w:rPr>
        <w:t>not later than</w:t>
      </w:r>
      <w:r w:rsidR="00B51825" w:rsidRPr="00476815">
        <w:rPr>
          <w:rFonts w:cs="Times New Roman"/>
        </w:rPr>
        <w:t xml:space="preserve"> </w:t>
      </w:r>
      <w:r w:rsidR="00D1262D">
        <w:t>January 1, 2023</w:t>
      </w:r>
      <w:r w:rsidR="004C2240">
        <w:t>,</w:t>
      </w:r>
      <w:r w:rsidR="00381A87">
        <w:rPr>
          <w:rStyle w:val="FootnoteReference"/>
        </w:rPr>
        <w:footnoteReference w:id="46"/>
      </w:r>
      <w:r>
        <w:t xml:space="preserve"> the Administrator shall initiate a rulemaking to establish a uniform per </w:t>
      </w:r>
      <w:r w:rsidR="00FF4423">
        <w:t>unit</w:t>
      </w:r>
      <w:r>
        <w:t xml:space="preserve"> fuel standard for </w:t>
      </w:r>
      <w:r w:rsidR="00B51825">
        <w:t xml:space="preserve">a </w:t>
      </w:r>
      <w:r w:rsidR="00B51825" w:rsidRPr="00F05587">
        <w:rPr>
          <w:rFonts w:cs="Times New Roman"/>
          <w:color w:val="000000" w:themeColor="text1"/>
        </w:rPr>
        <w:t xml:space="preserve">type of fuel eligible for consideration as </w:t>
      </w:r>
      <w:r w:rsidR="00B815EF" w:rsidRPr="00F05587">
        <w:rPr>
          <w:rFonts w:cs="Times New Roman"/>
          <w:color w:val="000000" w:themeColor="text1"/>
        </w:rPr>
        <w:t>Arctic-</w:t>
      </w:r>
      <w:r w:rsidR="00B815EF">
        <w:rPr>
          <w:rFonts w:cs="Times New Roman"/>
          <w:color w:val="000000" w:themeColor="text1"/>
        </w:rPr>
        <w:t>eligible</w:t>
      </w:r>
      <w:r w:rsidR="00B815EF" w:rsidRPr="00F05587">
        <w:rPr>
          <w:rFonts w:cs="Times New Roman"/>
          <w:color w:val="000000" w:themeColor="text1"/>
        </w:rPr>
        <w:t xml:space="preserve"> </w:t>
      </w:r>
      <w:r w:rsidR="00B51825">
        <w:rPr>
          <w:rFonts w:cs="Times New Roman"/>
          <w:color w:val="000000" w:themeColor="text1"/>
        </w:rPr>
        <w:t>f</w:t>
      </w:r>
      <w:r w:rsidR="00B51825" w:rsidRPr="00F05587">
        <w:rPr>
          <w:rFonts w:cs="Times New Roman"/>
          <w:color w:val="000000" w:themeColor="text1"/>
        </w:rPr>
        <w:t>uel</w:t>
      </w:r>
      <w:r w:rsidR="00B51825">
        <w:t xml:space="preserve"> </w:t>
      </w:r>
      <w:r>
        <w:t>and designate an identification number.</w:t>
      </w:r>
      <w:r w:rsidR="00D0104B">
        <w:rPr>
          <w:rStyle w:val="FootnoteReference"/>
        </w:rPr>
        <w:footnoteReference w:id="47"/>
      </w:r>
      <w:r w:rsidR="002A348C">
        <w:t xml:space="preserve"> </w:t>
      </w:r>
    </w:p>
    <w:p w14:paraId="0FBDFBD5" w14:textId="0672E430" w:rsidR="000D4671" w:rsidRDefault="000D4671" w:rsidP="008626AC">
      <w:pPr>
        <w:ind w:left="1440"/>
      </w:pPr>
    </w:p>
    <w:p w14:paraId="780AEDFC" w14:textId="630C6D1D" w:rsidR="000D4671" w:rsidRDefault="000D4671" w:rsidP="001C5C42">
      <w:pPr>
        <w:ind w:left="1440"/>
      </w:pPr>
      <w:r>
        <w:t xml:space="preserve">(3) Credits. </w:t>
      </w:r>
      <w:r>
        <w:rPr>
          <w:rFonts w:cs="Times New Roman"/>
        </w:rPr>
        <w:t>Not later than</w:t>
      </w:r>
      <w:r w:rsidRPr="00476815">
        <w:rPr>
          <w:rFonts w:cs="Times New Roman"/>
        </w:rPr>
        <w:t xml:space="preserve"> </w:t>
      </w:r>
      <w:r w:rsidR="00D1262D">
        <w:t>January 1, 2023</w:t>
      </w:r>
      <w:r>
        <w:t>,</w:t>
      </w:r>
      <w:r>
        <w:rPr>
          <w:rStyle w:val="FootnoteReference"/>
        </w:rPr>
        <w:footnoteReference w:id="48"/>
      </w:r>
      <w:r>
        <w:t xml:space="preserve"> the Administrator shall initiate a rulemaking to provide</w:t>
      </w:r>
      <w:r w:rsidR="00182384">
        <w:t xml:space="preserve"> for the generation, use, and duration of credits.</w:t>
      </w:r>
    </w:p>
    <w:p w14:paraId="2DFA8F70" w14:textId="77777777" w:rsidR="001C5C42" w:rsidRDefault="001C5C42" w:rsidP="00B51825">
      <w:pPr>
        <w:ind w:left="1440"/>
      </w:pPr>
    </w:p>
    <w:p w14:paraId="02CE233C" w14:textId="2505B7C2" w:rsidR="00DD120E" w:rsidRDefault="00DD120E" w:rsidP="00B51825">
      <w:pPr>
        <w:ind w:left="1440"/>
      </w:pPr>
      <w:r>
        <w:t>(</w:t>
      </w:r>
      <w:r w:rsidR="001C5C42">
        <w:t>4</w:t>
      </w:r>
      <w:r w:rsidR="00B51825">
        <w:t xml:space="preserve">) Certification. </w:t>
      </w:r>
      <w:r w:rsidR="00B51825">
        <w:rPr>
          <w:rFonts w:cs="Times New Roman"/>
        </w:rPr>
        <w:t>Not later than</w:t>
      </w:r>
      <w:r w:rsidR="00B51825" w:rsidRPr="00476815">
        <w:rPr>
          <w:rFonts w:cs="Times New Roman"/>
        </w:rPr>
        <w:t xml:space="preserve"> </w:t>
      </w:r>
      <w:r w:rsidR="00D1262D">
        <w:t>January 1, 2023</w:t>
      </w:r>
      <w:r w:rsidR="00B51825">
        <w:t>,</w:t>
      </w:r>
      <w:r w:rsidR="00B51825">
        <w:rPr>
          <w:rStyle w:val="FootnoteReference"/>
        </w:rPr>
        <w:footnoteReference w:id="49"/>
      </w:r>
      <w:r w:rsidR="00B51825">
        <w:t xml:space="preserve"> the Administrator shall initiate a rulemaking to establish </w:t>
      </w:r>
      <w:r>
        <w:t xml:space="preserve">procedures under which the Administrator shall certify </w:t>
      </w:r>
      <w:r w:rsidR="00B815EF" w:rsidRPr="00F05587">
        <w:rPr>
          <w:rFonts w:cs="Times New Roman"/>
          <w:color w:val="000000" w:themeColor="text1"/>
        </w:rPr>
        <w:t>Arctic-</w:t>
      </w:r>
      <w:r w:rsidR="00B815EF">
        <w:rPr>
          <w:rFonts w:cs="Times New Roman"/>
          <w:color w:val="000000" w:themeColor="text1"/>
        </w:rPr>
        <w:t>eligible</w:t>
      </w:r>
      <w:r w:rsidR="00B815EF" w:rsidRPr="00F05587">
        <w:rPr>
          <w:rFonts w:cs="Times New Roman"/>
          <w:color w:val="000000" w:themeColor="text1"/>
        </w:rPr>
        <w:t xml:space="preserve"> </w:t>
      </w:r>
      <w:r w:rsidR="00B51825" w:rsidRPr="000D30EE">
        <w:rPr>
          <w:rFonts w:eastAsia="Times New Roman" w:cs="Times New Roman"/>
          <w:color w:val="000000"/>
        </w:rPr>
        <w:t>fuel</w:t>
      </w:r>
      <w:r w:rsidR="00B51825">
        <w:t xml:space="preserve"> </w:t>
      </w:r>
      <w:r>
        <w:t xml:space="preserve">as complying with the requirements established pursuant to this </w:t>
      </w:r>
      <w:r w:rsidR="00DB4364">
        <w:t>Act</w:t>
      </w:r>
      <w:r>
        <w:t>. Under such regulations, the Administrator shall establish procedures for any person to petition the Administrator to certify a fuel or fuels.</w:t>
      </w:r>
      <w:r>
        <w:rPr>
          <w:rStyle w:val="FootnoteReference"/>
        </w:rPr>
        <w:footnoteReference w:id="50"/>
      </w:r>
    </w:p>
    <w:p w14:paraId="2D701915" w14:textId="77777777" w:rsidR="000D4671" w:rsidRDefault="000D4671" w:rsidP="00B51825">
      <w:pPr>
        <w:ind w:left="1440"/>
      </w:pPr>
    </w:p>
    <w:p w14:paraId="392A6B92" w14:textId="707721EC" w:rsidR="00DD120E" w:rsidRDefault="000649EF" w:rsidP="00DD120E">
      <w:pPr>
        <w:ind w:left="1440"/>
      </w:pPr>
      <w:r w:rsidRPr="000649EF">
        <w:t>(</w:t>
      </w:r>
      <w:r w:rsidR="00084592">
        <w:t>5</w:t>
      </w:r>
      <w:r w:rsidRPr="000649EF">
        <w:t xml:space="preserve">) Whenever the Administrator is required to initiate a rulemaking under </w:t>
      </w:r>
      <w:r w:rsidR="008C3A7F">
        <w:t xml:space="preserve">this </w:t>
      </w:r>
      <w:r>
        <w:t>sub</w:t>
      </w:r>
      <w:r w:rsidR="008C3A7F">
        <w:t>section</w:t>
      </w:r>
      <w:r w:rsidRPr="000649EF">
        <w:t xml:space="preserve">, the Administrator shall promulgate a final rule within 18 months </w:t>
      </w:r>
      <w:r w:rsidR="00084592">
        <w:t>of the required date of initiation</w:t>
      </w:r>
      <w:r w:rsidRPr="000649EF">
        <w:t>.</w:t>
      </w:r>
      <w:r>
        <w:rPr>
          <w:rStyle w:val="FootnoteReference"/>
        </w:rPr>
        <w:footnoteReference w:id="51"/>
      </w:r>
    </w:p>
    <w:p w14:paraId="41CCC88C" w14:textId="77777777" w:rsidR="00084592" w:rsidRDefault="00084592" w:rsidP="008C7E27">
      <w:pPr>
        <w:pStyle w:val="Heading4"/>
        <w:spacing w:before="0"/>
        <w:ind w:left="720"/>
        <w:rPr>
          <w:rFonts w:ascii="Times New Roman" w:hAnsi="Times New Roman" w:cs="Times New Roman"/>
          <w:i w:val="0"/>
          <w:iCs w:val="0"/>
          <w:color w:val="000000"/>
        </w:rPr>
      </w:pPr>
      <w:bookmarkStart w:id="0" w:name="substructure-location_c_1"/>
      <w:bookmarkEnd w:id="0"/>
    </w:p>
    <w:p w14:paraId="7FAFC308" w14:textId="5578258A" w:rsidR="00812542" w:rsidRPr="008D0389" w:rsidRDefault="008C7E27" w:rsidP="00812542">
      <w:pPr>
        <w:pStyle w:val="statutory-body"/>
        <w:spacing w:before="0" w:beforeAutospacing="0" w:after="0" w:afterAutospacing="0"/>
        <w:ind w:left="720"/>
        <w:rPr>
          <w:color w:val="000000"/>
        </w:rPr>
      </w:pPr>
      <w:r w:rsidRPr="008C7E27">
        <w:rPr>
          <w:color w:val="000000"/>
        </w:rPr>
        <w:t>(c) Consultation.</w:t>
      </w:r>
      <w:bookmarkStart w:id="1" w:name="substructure-location_c_2"/>
      <w:bookmarkStart w:id="2" w:name="substructure-location_c_3"/>
      <w:bookmarkEnd w:id="1"/>
      <w:bookmarkEnd w:id="2"/>
      <w:r w:rsidRPr="008C7E27">
        <w:rPr>
          <w:color w:val="000000"/>
        </w:rPr>
        <w:t xml:space="preserve"> </w:t>
      </w:r>
      <w:r w:rsidR="00811D98" w:rsidRPr="008C7E27">
        <w:rPr>
          <w:color w:val="000000"/>
        </w:rPr>
        <w:t xml:space="preserve">In prescribing any regulations under this </w:t>
      </w:r>
      <w:r w:rsidR="00DB4364">
        <w:rPr>
          <w:color w:val="000000"/>
        </w:rPr>
        <w:t>Act</w:t>
      </w:r>
      <w:r w:rsidR="00811D98" w:rsidRPr="008C7E27">
        <w:rPr>
          <w:color w:val="000000"/>
        </w:rPr>
        <w:t>, the Secretary and the Administrator shall consult with each other</w:t>
      </w:r>
      <w:r w:rsidR="00811D98" w:rsidRPr="008D0389">
        <w:rPr>
          <w:color w:val="000000"/>
        </w:rPr>
        <w:t>.</w:t>
      </w:r>
      <w:r w:rsidR="00811D98" w:rsidRPr="008D0389">
        <w:rPr>
          <w:rStyle w:val="FootnoteReference"/>
          <w:rFonts w:eastAsiaTheme="majorEastAsia"/>
          <w:color w:val="000000"/>
        </w:rPr>
        <w:footnoteReference w:id="52"/>
      </w:r>
    </w:p>
    <w:p w14:paraId="0EC13729" w14:textId="77777777" w:rsidR="00BF2202" w:rsidRDefault="00BF2202" w:rsidP="00BF2202">
      <w:pPr>
        <w:pStyle w:val="Heading3"/>
        <w:spacing w:before="0" w:beforeAutospacing="0" w:after="0" w:afterAutospacing="0"/>
        <w:rPr>
          <w:sz w:val="24"/>
          <w:szCs w:val="24"/>
        </w:rPr>
      </w:pPr>
      <w:bookmarkStart w:id="3" w:name="substructure-location_c_4"/>
      <w:bookmarkEnd w:id="3"/>
    </w:p>
    <w:p w14:paraId="2D9F0E00" w14:textId="77777777" w:rsidR="0020475B" w:rsidRDefault="0020475B">
      <w:pPr>
        <w:rPr>
          <w:rFonts w:eastAsia="Times New Roman" w:cs="Times New Roman"/>
          <w:b/>
          <w:bCs/>
          <w:color w:val="000000"/>
        </w:rPr>
      </w:pPr>
      <w:r>
        <w:rPr>
          <w:b/>
          <w:bCs/>
          <w:color w:val="000000"/>
        </w:rPr>
        <w:br w:type="page"/>
      </w:r>
    </w:p>
    <w:p w14:paraId="230A9C26" w14:textId="7CBB0440" w:rsidR="005B6397" w:rsidRPr="005B6397" w:rsidRDefault="005B6397" w:rsidP="005B6397">
      <w:pPr>
        <w:pStyle w:val="statutory-body-1em"/>
        <w:spacing w:before="0" w:beforeAutospacing="0" w:after="0" w:afterAutospacing="0"/>
        <w:rPr>
          <w:b/>
          <w:bCs/>
          <w:color w:val="000000"/>
        </w:rPr>
      </w:pPr>
      <w:r w:rsidRPr="005B6397">
        <w:rPr>
          <w:b/>
          <w:bCs/>
          <w:color w:val="000000"/>
        </w:rPr>
        <w:lastRenderedPageBreak/>
        <w:t>SEC. 6. DOCUMENTATION BY SHIPS</w:t>
      </w:r>
      <w:r w:rsidR="00110E0E">
        <w:rPr>
          <w:b/>
          <w:bCs/>
          <w:color w:val="000000"/>
        </w:rPr>
        <w:t>; INSPECTION</w:t>
      </w:r>
      <w:r w:rsidRPr="005B6397">
        <w:rPr>
          <w:b/>
          <w:bCs/>
          <w:color w:val="000000"/>
        </w:rPr>
        <w:t>.</w:t>
      </w:r>
    </w:p>
    <w:p w14:paraId="69151DDE" w14:textId="77777777" w:rsidR="005B6397" w:rsidRDefault="005B6397" w:rsidP="005B6397">
      <w:pPr>
        <w:pStyle w:val="statutory-body-1em"/>
        <w:spacing w:before="0" w:beforeAutospacing="0" w:after="0" w:afterAutospacing="0"/>
        <w:ind w:left="720"/>
        <w:rPr>
          <w:color w:val="000000"/>
        </w:rPr>
      </w:pPr>
    </w:p>
    <w:p w14:paraId="5DAC0A08" w14:textId="77777777" w:rsidR="004E7626" w:rsidRDefault="004E7626" w:rsidP="004E7626">
      <w:pPr>
        <w:pStyle w:val="statutory-body-1em"/>
        <w:spacing w:before="0" w:beforeAutospacing="0" w:after="0" w:afterAutospacing="0"/>
        <w:ind w:left="720"/>
        <w:rPr>
          <w:color w:val="000000"/>
        </w:rPr>
      </w:pPr>
      <w:r>
        <w:rPr>
          <w:color w:val="000000"/>
        </w:rPr>
        <w:t>(a) Documentation.</w:t>
      </w:r>
      <w:r w:rsidRPr="008626AC">
        <w:rPr>
          <w:color w:val="000000"/>
        </w:rPr>
        <w:t>—</w:t>
      </w:r>
      <w:r>
        <w:rPr>
          <w:color w:val="000000"/>
        </w:rPr>
        <w:t xml:space="preserve"> </w:t>
      </w:r>
    </w:p>
    <w:p w14:paraId="2C09C839" w14:textId="77777777" w:rsidR="004E7626" w:rsidRDefault="004E7626" w:rsidP="004E7626">
      <w:pPr>
        <w:pStyle w:val="statutory-body-1em"/>
        <w:spacing w:before="0" w:beforeAutospacing="0" w:after="0" w:afterAutospacing="0"/>
        <w:ind w:left="720"/>
        <w:rPr>
          <w:color w:val="000000"/>
        </w:rPr>
      </w:pPr>
    </w:p>
    <w:p w14:paraId="0E52FB17" w14:textId="3DFE4194" w:rsidR="004E7626" w:rsidRDefault="004E7626" w:rsidP="004E7626">
      <w:pPr>
        <w:pStyle w:val="statutory-body-1em"/>
        <w:spacing w:before="0" w:beforeAutospacing="0" w:after="0" w:afterAutospacing="0"/>
        <w:ind w:left="1440"/>
        <w:rPr>
          <w:color w:val="000000"/>
        </w:rPr>
      </w:pPr>
      <w:r>
        <w:rPr>
          <w:color w:val="000000"/>
        </w:rPr>
        <w:t xml:space="preserve">(1) A ship shall keep its bunker delivery note </w:t>
      </w:r>
      <w:r w:rsidR="00B82795">
        <w:rPr>
          <w:color w:val="000000"/>
        </w:rPr>
        <w:t>and certifications</w:t>
      </w:r>
      <w:r w:rsidR="00B82795" w:rsidRPr="00334CB3">
        <w:t xml:space="preserve"> </w:t>
      </w:r>
      <w:r>
        <w:rPr>
          <w:color w:val="000000"/>
        </w:rPr>
        <w:t>on board the ship in such a place as to be readily available for inspection at all reasonable times. A bunker delivery note shall be retained for three years after the fuel has been delivered on board.</w:t>
      </w:r>
      <w:r>
        <w:rPr>
          <w:rStyle w:val="FootnoteReference"/>
          <w:color w:val="000000"/>
        </w:rPr>
        <w:footnoteReference w:id="53"/>
      </w:r>
    </w:p>
    <w:p w14:paraId="207766AB" w14:textId="77777777" w:rsidR="004E7626" w:rsidRDefault="004E7626" w:rsidP="004E7626">
      <w:pPr>
        <w:pStyle w:val="statutory-body-1em"/>
        <w:spacing w:before="0" w:beforeAutospacing="0" w:after="0" w:afterAutospacing="0"/>
        <w:ind w:left="720"/>
        <w:rPr>
          <w:color w:val="000000"/>
        </w:rPr>
      </w:pPr>
    </w:p>
    <w:p w14:paraId="1FAA6246" w14:textId="77777777" w:rsidR="004E7626" w:rsidRDefault="004E7626" w:rsidP="004E7626">
      <w:pPr>
        <w:pStyle w:val="statutory-body-1em"/>
        <w:spacing w:before="0" w:beforeAutospacing="0" w:after="0" w:afterAutospacing="0"/>
        <w:ind w:left="1440"/>
        <w:rPr>
          <w:color w:val="000000"/>
        </w:rPr>
      </w:pPr>
      <w:r>
        <w:rPr>
          <w:color w:val="000000"/>
        </w:rPr>
        <w:t>(2) The master or person in charge of the ship shall certify that such copy is a true copy of such bunker delivery note.</w:t>
      </w:r>
      <w:r>
        <w:rPr>
          <w:rStyle w:val="FootnoteReference"/>
          <w:color w:val="000000"/>
        </w:rPr>
        <w:footnoteReference w:id="54"/>
      </w:r>
    </w:p>
    <w:p w14:paraId="6688DB17" w14:textId="77777777" w:rsidR="004E7626" w:rsidRDefault="004E7626" w:rsidP="004E7626">
      <w:pPr>
        <w:pStyle w:val="statutory-body-1em"/>
        <w:spacing w:before="0" w:beforeAutospacing="0" w:after="0" w:afterAutospacing="0"/>
        <w:ind w:left="720"/>
        <w:rPr>
          <w:color w:val="000000"/>
        </w:rPr>
      </w:pPr>
    </w:p>
    <w:p w14:paraId="2B49DC05" w14:textId="77777777" w:rsidR="004E7626" w:rsidRDefault="004E7626" w:rsidP="004E7626">
      <w:pPr>
        <w:pStyle w:val="statutory-body-1em"/>
        <w:spacing w:before="0" w:beforeAutospacing="0" w:after="0" w:afterAutospacing="0"/>
        <w:ind w:left="1440"/>
        <w:rPr>
          <w:color w:val="000000"/>
        </w:rPr>
      </w:pPr>
      <w:r>
        <w:rPr>
          <w:color w:val="000000"/>
        </w:rPr>
        <w:t>(3) A ship that uses separate fuels for its operation in the Arctic and outside the Arctic shall carry a written procedure showing how the changeover is to be done. Documentation in a logbook shall include:</w:t>
      </w:r>
    </w:p>
    <w:p w14:paraId="4B8A7D6A" w14:textId="77777777" w:rsidR="004E7626" w:rsidRDefault="004E7626" w:rsidP="004E7626">
      <w:pPr>
        <w:pStyle w:val="statutory-body-1em"/>
        <w:spacing w:before="0" w:beforeAutospacing="0" w:after="0" w:afterAutospacing="0"/>
        <w:ind w:left="2160"/>
        <w:rPr>
          <w:color w:val="000000"/>
        </w:rPr>
      </w:pPr>
      <w:r>
        <w:rPr>
          <w:color w:val="000000"/>
        </w:rPr>
        <w:t>(A) Documentation of procedure and showing of sufficient time for flushing prior to entering the Arctic.</w:t>
      </w:r>
    </w:p>
    <w:p w14:paraId="1AFA1DEE" w14:textId="46CFAEB8" w:rsidR="004E7626" w:rsidRDefault="004E7626" w:rsidP="004E7626">
      <w:pPr>
        <w:pStyle w:val="statutory-body-1em"/>
        <w:spacing w:before="0" w:beforeAutospacing="0" w:after="0" w:afterAutospacing="0"/>
        <w:ind w:left="2160"/>
        <w:rPr>
          <w:color w:val="000000"/>
        </w:rPr>
      </w:pPr>
      <w:r>
        <w:rPr>
          <w:color w:val="000000"/>
        </w:rPr>
        <w:t>(B) Documentation of the volume of fuels in each tank, and the date, time, and position of ship when fuel changeover occurs.</w:t>
      </w:r>
      <w:r>
        <w:rPr>
          <w:rStyle w:val="FootnoteReference"/>
          <w:color w:val="000000"/>
        </w:rPr>
        <w:footnoteReference w:id="55"/>
      </w:r>
    </w:p>
    <w:p w14:paraId="286EB531" w14:textId="77777777" w:rsidR="004E7626" w:rsidRDefault="004E7626" w:rsidP="004E7626">
      <w:pPr>
        <w:pStyle w:val="statutory-body-1em"/>
        <w:spacing w:before="0" w:beforeAutospacing="0" w:after="0" w:afterAutospacing="0"/>
        <w:ind w:left="2160"/>
        <w:rPr>
          <w:color w:val="000000"/>
        </w:rPr>
      </w:pPr>
    </w:p>
    <w:p w14:paraId="21A17626" w14:textId="66FFF7BF" w:rsidR="005B6397" w:rsidRDefault="00A80345" w:rsidP="00E22392">
      <w:pPr>
        <w:pStyle w:val="statutory-body-1em"/>
        <w:spacing w:before="0" w:beforeAutospacing="0" w:after="0" w:afterAutospacing="0"/>
        <w:ind w:firstLine="720"/>
        <w:rPr>
          <w:color w:val="000000"/>
        </w:rPr>
      </w:pPr>
      <w:r>
        <w:t>(b) Inspection</w:t>
      </w:r>
      <w:r w:rsidR="00E22392">
        <w:t>.</w:t>
      </w:r>
      <w:r w:rsidR="00E22392" w:rsidRPr="008626AC">
        <w:rPr>
          <w:color w:val="000000"/>
        </w:rPr>
        <w:t>—</w:t>
      </w:r>
    </w:p>
    <w:p w14:paraId="04D05772" w14:textId="47B769F5" w:rsidR="00E22392" w:rsidRDefault="00E22392" w:rsidP="00E22392">
      <w:pPr>
        <w:pStyle w:val="statutory-body-1em"/>
        <w:spacing w:before="0" w:beforeAutospacing="0" w:after="0" w:afterAutospacing="0"/>
        <w:ind w:firstLine="720"/>
        <w:rPr>
          <w:color w:val="000000"/>
        </w:rPr>
      </w:pPr>
    </w:p>
    <w:p w14:paraId="5387FD3B" w14:textId="1F2F9157" w:rsidR="005B6397" w:rsidRDefault="00D63B85" w:rsidP="00D63B85">
      <w:pPr>
        <w:pStyle w:val="statutory-body-1em"/>
        <w:spacing w:before="0" w:beforeAutospacing="0" w:after="0" w:afterAutospacing="0"/>
        <w:ind w:left="1440"/>
        <w:rPr>
          <w:color w:val="000000"/>
        </w:rPr>
      </w:pPr>
      <w:r>
        <w:t xml:space="preserve">(1) The Secretary may inspect the bunker delivery notes </w:t>
      </w:r>
      <w:r w:rsidR="003937A1">
        <w:t xml:space="preserve">and certifications </w:t>
      </w:r>
      <w:r>
        <w:t xml:space="preserve">on board a ship while the ship is in a </w:t>
      </w:r>
      <w:r w:rsidRPr="00754E01">
        <w:rPr>
          <w:color w:val="000000"/>
        </w:rPr>
        <w:t>port or place under the jurisdiction of the United States</w:t>
      </w:r>
      <w:r>
        <w:rPr>
          <w:color w:val="000000"/>
        </w:rPr>
        <w:t>.</w:t>
      </w:r>
      <w:r>
        <w:rPr>
          <w:rStyle w:val="FootnoteReference"/>
          <w:color w:val="000000"/>
        </w:rPr>
        <w:footnoteReference w:id="56"/>
      </w:r>
    </w:p>
    <w:p w14:paraId="0F6145A3" w14:textId="3BE5C615" w:rsidR="00E90C50" w:rsidRDefault="00E90C50" w:rsidP="00D63B85">
      <w:pPr>
        <w:pStyle w:val="statutory-body-1em"/>
        <w:spacing w:before="0" w:beforeAutospacing="0" w:after="0" w:afterAutospacing="0"/>
        <w:ind w:left="1440"/>
        <w:rPr>
          <w:color w:val="000000"/>
        </w:rPr>
      </w:pPr>
    </w:p>
    <w:p w14:paraId="781540E2" w14:textId="47CA8DFB" w:rsidR="00E27B4F" w:rsidRDefault="00E90C50" w:rsidP="00B62206">
      <w:pPr>
        <w:pStyle w:val="statutory-body-1em"/>
        <w:spacing w:before="0" w:beforeAutospacing="0" w:after="0" w:afterAutospacing="0"/>
        <w:ind w:left="1440"/>
      </w:pPr>
      <w:r>
        <w:rPr>
          <w:color w:val="000000"/>
        </w:rPr>
        <w:t xml:space="preserve">(2) </w:t>
      </w:r>
      <w:r w:rsidR="00B36DD0">
        <w:rPr>
          <w:color w:val="000000"/>
        </w:rPr>
        <w:t xml:space="preserve">For purposes of this </w:t>
      </w:r>
      <w:r w:rsidR="00DB4364">
        <w:rPr>
          <w:color w:val="000000"/>
        </w:rPr>
        <w:t>Act</w:t>
      </w:r>
      <w:r w:rsidR="00B36DD0">
        <w:rPr>
          <w:color w:val="000000"/>
        </w:rPr>
        <w:t>, t</w:t>
      </w:r>
      <w:r w:rsidR="00E27B4F">
        <w:rPr>
          <w:color w:val="000000"/>
        </w:rPr>
        <w:t xml:space="preserve">he </w:t>
      </w:r>
      <w:r w:rsidR="00E27B4F">
        <w:t>Secretary</w:t>
      </w:r>
      <w:r w:rsidR="00B62206">
        <w:t xml:space="preserve">’s inspection authorities shall </w:t>
      </w:r>
      <w:r w:rsidR="00B36DD0">
        <w:t>correspond</w:t>
      </w:r>
      <w:r w:rsidR="00B62206">
        <w:t xml:space="preserve"> to those authorities set forth in </w:t>
      </w:r>
      <w:r w:rsidR="00C462A1">
        <w:t>r</w:t>
      </w:r>
      <w:r w:rsidR="00B36DD0">
        <w:t xml:space="preserve">egulations 18.7.1 – 18.8.1 of Annex VI of the </w:t>
      </w:r>
      <w:r w:rsidR="00B62206">
        <w:t>MARPOL Protocol</w:t>
      </w:r>
      <w:r w:rsidR="00130212">
        <w:t>, including authorities related to bunker delivery notes and representative samples</w:t>
      </w:r>
      <w:r w:rsidR="00B36DD0">
        <w:t>.</w:t>
      </w:r>
      <w:r w:rsidR="00B36DD0">
        <w:rPr>
          <w:rStyle w:val="FootnoteReference"/>
        </w:rPr>
        <w:footnoteReference w:id="57"/>
      </w:r>
      <w:r w:rsidR="00B62206">
        <w:t xml:space="preserve"> </w:t>
      </w:r>
    </w:p>
    <w:p w14:paraId="5F321E81" w14:textId="20C91980" w:rsidR="00F36DF1" w:rsidRDefault="00F36DF1" w:rsidP="00B62206">
      <w:pPr>
        <w:pStyle w:val="statutory-body-1em"/>
        <w:spacing w:before="0" w:beforeAutospacing="0" w:after="0" w:afterAutospacing="0"/>
        <w:ind w:left="1440"/>
      </w:pPr>
    </w:p>
    <w:p w14:paraId="5DE406C9" w14:textId="1C9C7DDC" w:rsidR="00F36DF1" w:rsidRDefault="00F36DF1" w:rsidP="00B62206">
      <w:pPr>
        <w:pStyle w:val="statutory-body-1em"/>
        <w:spacing w:before="0" w:beforeAutospacing="0" w:after="0" w:afterAutospacing="0"/>
        <w:ind w:left="1440"/>
        <w:rPr>
          <w:color w:val="000000"/>
        </w:rPr>
      </w:pPr>
      <w:r>
        <w:t xml:space="preserve">(3) </w:t>
      </w:r>
      <w:r w:rsidRPr="00F36DF1">
        <w:t>This section shall not limit the authority of any official or employee of the United States under any other treaty, law, or regulation to board and inspect a ship or its equipment.</w:t>
      </w:r>
      <w:r>
        <w:rPr>
          <w:rStyle w:val="FootnoteReference"/>
        </w:rPr>
        <w:footnoteReference w:id="58"/>
      </w:r>
    </w:p>
    <w:p w14:paraId="78ECDFE7" w14:textId="6267286B" w:rsidR="00E90C50" w:rsidRDefault="00E90C50" w:rsidP="00D63B85">
      <w:pPr>
        <w:pStyle w:val="statutory-body-1em"/>
        <w:spacing w:before="0" w:beforeAutospacing="0" w:after="0" w:afterAutospacing="0"/>
        <w:ind w:left="1440"/>
        <w:rPr>
          <w:color w:val="000000"/>
        </w:rPr>
      </w:pPr>
    </w:p>
    <w:p w14:paraId="096ED169" w14:textId="77777777" w:rsidR="00D63B85" w:rsidRDefault="00D63B85" w:rsidP="00D63B85">
      <w:pPr>
        <w:pStyle w:val="statutory-body-1em"/>
        <w:spacing w:before="0" w:beforeAutospacing="0" w:after="0" w:afterAutospacing="0"/>
        <w:ind w:left="1440"/>
        <w:rPr>
          <w:b/>
          <w:bCs/>
        </w:rPr>
      </w:pPr>
    </w:p>
    <w:p w14:paraId="53C40060" w14:textId="77777777" w:rsidR="00816E2A" w:rsidRDefault="00816E2A">
      <w:pPr>
        <w:rPr>
          <w:rFonts w:eastAsia="Times New Roman" w:cs="Times New Roman"/>
          <w:b/>
          <w:bCs/>
        </w:rPr>
      </w:pPr>
      <w:r>
        <w:rPr>
          <w:b/>
          <w:bCs/>
        </w:rPr>
        <w:br w:type="page"/>
      </w:r>
    </w:p>
    <w:p w14:paraId="0B2DBE08" w14:textId="67B632B4" w:rsidR="00F77D7C" w:rsidRPr="006729F2" w:rsidRDefault="006729F2" w:rsidP="00195FF6">
      <w:pPr>
        <w:pStyle w:val="statutory-body-1em"/>
        <w:spacing w:before="0" w:beforeAutospacing="0" w:after="0" w:afterAutospacing="0"/>
        <w:rPr>
          <w:b/>
          <w:bCs/>
          <w:color w:val="000000" w:themeColor="text1"/>
        </w:rPr>
      </w:pPr>
      <w:r w:rsidRPr="006729F2">
        <w:rPr>
          <w:b/>
          <w:bCs/>
        </w:rPr>
        <w:lastRenderedPageBreak/>
        <w:t>SEC. 7</w:t>
      </w:r>
      <w:r w:rsidRPr="006729F2">
        <w:rPr>
          <w:b/>
          <w:bCs/>
          <w:color w:val="000000" w:themeColor="text1"/>
        </w:rPr>
        <w:t xml:space="preserve">. </w:t>
      </w:r>
      <w:r w:rsidR="00017036">
        <w:rPr>
          <w:b/>
          <w:bCs/>
          <w:color w:val="000000" w:themeColor="text1"/>
        </w:rPr>
        <w:t xml:space="preserve">SUPPLIERS; </w:t>
      </w:r>
      <w:r w:rsidRPr="006729F2">
        <w:rPr>
          <w:b/>
          <w:bCs/>
          <w:color w:val="000000" w:themeColor="text1"/>
        </w:rPr>
        <w:t>FUEL AVAILABILITY</w:t>
      </w:r>
      <w:r w:rsidR="00193A66">
        <w:rPr>
          <w:b/>
          <w:bCs/>
          <w:color w:val="000000" w:themeColor="text1"/>
        </w:rPr>
        <w:t>.</w:t>
      </w:r>
      <w:r w:rsidR="00193A66" w:rsidRPr="00193A66">
        <w:rPr>
          <w:rStyle w:val="FootnoteReference"/>
          <w:color w:val="000000" w:themeColor="text1"/>
        </w:rPr>
        <w:footnoteReference w:id="59"/>
      </w:r>
    </w:p>
    <w:p w14:paraId="2490E92E" w14:textId="373508C9" w:rsidR="00017036" w:rsidRDefault="00017036" w:rsidP="005B6397">
      <w:pPr>
        <w:pStyle w:val="statutory-body-1em"/>
        <w:spacing w:before="0" w:beforeAutospacing="0" w:after="0" w:afterAutospacing="0"/>
        <w:rPr>
          <w:color w:val="000000"/>
        </w:rPr>
      </w:pPr>
    </w:p>
    <w:p w14:paraId="5D4E853C" w14:textId="4E8CAA24" w:rsidR="00764142" w:rsidRDefault="00017036" w:rsidP="00193A66">
      <w:pPr>
        <w:pStyle w:val="statutory-body-1em"/>
        <w:spacing w:before="0" w:beforeAutospacing="0" w:after="0" w:afterAutospacing="0"/>
        <w:ind w:left="720"/>
        <w:rPr>
          <w:color w:val="000000"/>
        </w:rPr>
      </w:pPr>
      <w:r>
        <w:rPr>
          <w:color w:val="000000"/>
        </w:rPr>
        <w:t xml:space="preserve">(a) </w:t>
      </w:r>
      <w:r w:rsidR="00F472C3">
        <w:rPr>
          <w:color w:val="000000"/>
        </w:rPr>
        <w:t>S</w:t>
      </w:r>
      <w:r>
        <w:rPr>
          <w:color w:val="000000"/>
        </w:rPr>
        <w:t>uppliers</w:t>
      </w:r>
      <w:r w:rsidR="00F472C3">
        <w:rPr>
          <w:color w:val="000000"/>
        </w:rPr>
        <w:t xml:space="preserve"> of compliant fuel</w:t>
      </w:r>
      <w:r>
        <w:rPr>
          <w:color w:val="000000"/>
        </w:rPr>
        <w:t>.</w:t>
      </w:r>
      <w:r w:rsidR="0010317B" w:rsidRPr="008626AC">
        <w:rPr>
          <w:color w:val="000000"/>
        </w:rPr>
        <w:t>—</w:t>
      </w:r>
      <w:r>
        <w:rPr>
          <w:color w:val="000000"/>
        </w:rPr>
        <w:t xml:space="preserve"> </w:t>
      </w:r>
    </w:p>
    <w:p w14:paraId="32B60BB5" w14:textId="36C9CDD5" w:rsidR="00764142" w:rsidRDefault="00764142" w:rsidP="000410E7">
      <w:pPr>
        <w:pStyle w:val="statutory-body-1em"/>
        <w:spacing w:before="0" w:beforeAutospacing="0" w:after="0" w:afterAutospacing="0"/>
        <w:rPr>
          <w:color w:val="000000"/>
        </w:rPr>
      </w:pPr>
    </w:p>
    <w:p w14:paraId="0DE8926D" w14:textId="0567F682" w:rsidR="00633FB5" w:rsidRDefault="00764142" w:rsidP="00764142">
      <w:pPr>
        <w:pStyle w:val="statutory-body-1em"/>
        <w:spacing w:before="0" w:beforeAutospacing="0" w:after="0" w:afterAutospacing="0"/>
        <w:ind w:left="720" w:firstLine="720"/>
        <w:rPr>
          <w:color w:val="000000"/>
        </w:rPr>
      </w:pPr>
      <w:r>
        <w:rPr>
          <w:color w:val="000000"/>
        </w:rPr>
        <w:t>(</w:t>
      </w:r>
      <w:r w:rsidR="000410E7">
        <w:rPr>
          <w:color w:val="000000"/>
        </w:rPr>
        <w:t>1</w:t>
      </w:r>
      <w:r>
        <w:rPr>
          <w:color w:val="000000"/>
        </w:rPr>
        <w:t>)</w:t>
      </w:r>
      <w:r w:rsidR="00E010DC">
        <w:rPr>
          <w:color w:val="000000"/>
        </w:rPr>
        <w:t xml:space="preserve"> </w:t>
      </w:r>
      <w:r w:rsidR="00130212">
        <w:rPr>
          <w:color w:val="000000"/>
        </w:rPr>
        <w:t xml:space="preserve">A supplier shall provide </w:t>
      </w:r>
      <w:r w:rsidR="00633FB5">
        <w:rPr>
          <w:color w:val="000000"/>
        </w:rPr>
        <w:t xml:space="preserve">to a ship: </w:t>
      </w:r>
    </w:p>
    <w:p w14:paraId="21B7BDCD" w14:textId="1BFA8498" w:rsidR="00633FB5" w:rsidRDefault="00633FB5" w:rsidP="00633FB5">
      <w:pPr>
        <w:pStyle w:val="statutory-body-1em"/>
        <w:spacing w:before="0" w:beforeAutospacing="0" w:after="0" w:afterAutospacing="0"/>
        <w:ind w:left="1440" w:firstLine="720"/>
        <w:rPr>
          <w:color w:val="000000"/>
        </w:rPr>
      </w:pPr>
      <w:r>
        <w:rPr>
          <w:color w:val="000000"/>
        </w:rPr>
        <w:t>(A) A</w:t>
      </w:r>
      <w:r w:rsidR="00130212">
        <w:rPr>
          <w:color w:val="000000"/>
        </w:rPr>
        <w:t xml:space="preserve"> bunker delivery note</w:t>
      </w:r>
      <w:r>
        <w:rPr>
          <w:color w:val="000000"/>
        </w:rPr>
        <w:t>;</w:t>
      </w:r>
    </w:p>
    <w:p w14:paraId="76EA3C44" w14:textId="2D5D650C" w:rsidR="00764142" w:rsidRDefault="00633FB5" w:rsidP="00633FB5">
      <w:pPr>
        <w:pStyle w:val="statutory-body-1em"/>
        <w:spacing w:before="0" w:beforeAutospacing="0" w:after="0" w:afterAutospacing="0"/>
        <w:ind w:left="1440" w:firstLine="720"/>
        <w:rPr>
          <w:color w:val="000000"/>
        </w:rPr>
      </w:pPr>
      <w:r>
        <w:rPr>
          <w:color w:val="000000"/>
        </w:rPr>
        <w:t xml:space="preserve">(B) An associated </w:t>
      </w:r>
      <w:r w:rsidR="00130212">
        <w:rPr>
          <w:color w:val="000000"/>
        </w:rPr>
        <w:t>sample as required</w:t>
      </w:r>
      <w:r>
        <w:rPr>
          <w:color w:val="000000"/>
        </w:rPr>
        <w:t>;</w:t>
      </w:r>
      <w:r w:rsidR="004E6DE6">
        <w:rPr>
          <w:color w:val="000000"/>
        </w:rPr>
        <w:t xml:space="preserve"> and</w:t>
      </w:r>
    </w:p>
    <w:p w14:paraId="0128B887" w14:textId="490CEC98" w:rsidR="00633FB5" w:rsidRDefault="00633FB5" w:rsidP="0024394B">
      <w:pPr>
        <w:pStyle w:val="statutory-body-1em"/>
        <w:spacing w:before="0" w:beforeAutospacing="0" w:after="0" w:afterAutospacing="0"/>
        <w:ind w:left="2160"/>
        <w:rPr>
          <w:color w:val="000000"/>
        </w:rPr>
      </w:pPr>
      <w:r>
        <w:rPr>
          <w:color w:val="000000"/>
        </w:rPr>
        <w:t xml:space="preserve">(C) </w:t>
      </w:r>
      <w:r w:rsidR="0024394B">
        <w:rPr>
          <w:color w:val="000000"/>
        </w:rPr>
        <w:t xml:space="preserve">Certification by the </w:t>
      </w:r>
      <w:r w:rsidR="00EF03DA">
        <w:rPr>
          <w:color w:val="000000"/>
        </w:rPr>
        <w:t xml:space="preserve">fuel </w:t>
      </w:r>
      <w:r w:rsidR="0024394B">
        <w:rPr>
          <w:color w:val="000000"/>
        </w:rPr>
        <w:t xml:space="preserve">supplier that the fuel meets the requirements of this </w:t>
      </w:r>
      <w:r w:rsidR="00DB4364">
        <w:rPr>
          <w:color w:val="000000"/>
        </w:rPr>
        <w:t>Act</w:t>
      </w:r>
      <w:r w:rsidR="0024394B">
        <w:rPr>
          <w:color w:val="000000"/>
        </w:rPr>
        <w:t xml:space="preserve"> and regulations thereunder.</w:t>
      </w:r>
      <w:r w:rsidR="00E07ECA" w:rsidRPr="00193A66">
        <w:rPr>
          <w:rStyle w:val="FootnoteReference"/>
          <w:color w:val="000000" w:themeColor="text1"/>
        </w:rPr>
        <w:footnoteReference w:id="60"/>
      </w:r>
    </w:p>
    <w:p w14:paraId="4E880A8D" w14:textId="00687B06" w:rsidR="0024394B" w:rsidRDefault="0024394B" w:rsidP="00E4173E">
      <w:pPr>
        <w:pStyle w:val="statutory-body-1em"/>
        <w:spacing w:before="0" w:beforeAutospacing="0" w:after="0" w:afterAutospacing="0"/>
        <w:ind w:left="1440"/>
        <w:rPr>
          <w:color w:val="000000"/>
        </w:rPr>
      </w:pPr>
      <w:r>
        <w:rPr>
          <w:color w:val="000000"/>
        </w:rPr>
        <w:t>(2) The supplier shall retain a copy of the bunker delivery note for at least three years for inspection and verification by the Secretary.</w:t>
      </w:r>
      <w:r w:rsidR="00E07ECA" w:rsidRPr="00193A66">
        <w:rPr>
          <w:rStyle w:val="FootnoteReference"/>
          <w:color w:val="000000" w:themeColor="text1"/>
        </w:rPr>
        <w:footnoteReference w:id="61"/>
      </w:r>
    </w:p>
    <w:p w14:paraId="584630ED" w14:textId="69F54230" w:rsidR="00017036" w:rsidRDefault="00017036" w:rsidP="00193A66">
      <w:pPr>
        <w:pStyle w:val="statutory-body-1em"/>
        <w:spacing w:before="0" w:beforeAutospacing="0" w:after="0" w:afterAutospacing="0"/>
        <w:ind w:left="720"/>
        <w:rPr>
          <w:color w:val="000000"/>
        </w:rPr>
      </w:pPr>
    </w:p>
    <w:p w14:paraId="007F43AC" w14:textId="1CFEC4D1" w:rsidR="0010317B" w:rsidRDefault="00017036" w:rsidP="00017036">
      <w:pPr>
        <w:pStyle w:val="statutory-body-1em"/>
        <w:spacing w:before="0" w:beforeAutospacing="0" w:after="0" w:afterAutospacing="0"/>
        <w:ind w:left="720"/>
        <w:rPr>
          <w:color w:val="000000"/>
        </w:rPr>
      </w:pPr>
      <w:r>
        <w:rPr>
          <w:color w:val="000000"/>
        </w:rPr>
        <w:t xml:space="preserve">(b) </w:t>
      </w:r>
      <w:r w:rsidRPr="00193A66">
        <w:rPr>
          <w:color w:val="000000"/>
        </w:rPr>
        <w:t>Fuel Availability</w:t>
      </w:r>
      <w:r>
        <w:rPr>
          <w:color w:val="000000"/>
        </w:rPr>
        <w:t>.</w:t>
      </w:r>
      <w:r w:rsidR="0010317B" w:rsidRPr="008626AC">
        <w:rPr>
          <w:color w:val="000000"/>
        </w:rPr>
        <w:t>—</w:t>
      </w:r>
      <w:r w:rsidRPr="00193A66">
        <w:rPr>
          <w:color w:val="000000"/>
        </w:rPr>
        <w:t xml:space="preserve"> </w:t>
      </w:r>
    </w:p>
    <w:p w14:paraId="011A3AD9" w14:textId="77777777" w:rsidR="0010317B" w:rsidRDefault="0010317B" w:rsidP="00017036">
      <w:pPr>
        <w:pStyle w:val="statutory-body-1em"/>
        <w:spacing w:before="0" w:beforeAutospacing="0" w:after="0" w:afterAutospacing="0"/>
        <w:ind w:left="720"/>
        <w:rPr>
          <w:color w:val="000000"/>
        </w:rPr>
      </w:pPr>
    </w:p>
    <w:p w14:paraId="6CCDA0A5" w14:textId="3825B2B2" w:rsidR="00017036" w:rsidRDefault="0010317B" w:rsidP="0010317B">
      <w:pPr>
        <w:pStyle w:val="statutory-body-1em"/>
        <w:spacing w:before="0" w:beforeAutospacing="0" w:after="0" w:afterAutospacing="0"/>
        <w:ind w:left="1440"/>
        <w:rPr>
          <w:color w:val="000000"/>
        </w:rPr>
      </w:pPr>
      <w:r>
        <w:rPr>
          <w:color w:val="000000"/>
        </w:rPr>
        <w:t xml:space="preserve">(1) </w:t>
      </w:r>
      <w:r w:rsidR="00017036">
        <w:rPr>
          <w:color w:val="000000"/>
        </w:rPr>
        <w:t xml:space="preserve">The Secretary and </w:t>
      </w:r>
      <w:r w:rsidR="00017036" w:rsidRPr="00193A66">
        <w:rPr>
          <w:color w:val="000000"/>
        </w:rPr>
        <w:t>Administrator</w:t>
      </w:r>
      <w:r w:rsidR="00017036">
        <w:rPr>
          <w:color w:val="000000"/>
        </w:rPr>
        <w:t xml:space="preserve"> shall coordinate among other Federal agencies, </w:t>
      </w:r>
      <w:r w:rsidR="00017036" w:rsidRPr="00193A66">
        <w:rPr>
          <w:color w:val="000000"/>
        </w:rPr>
        <w:t>in cooperation and coordination with non-governmental organizations, industry, universities, and research institutions, States, Indian tribes, and other nations, as appropriate</w:t>
      </w:r>
      <w:r w:rsidR="00017036">
        <w:rPr>
          <w:color w:val="000000"/>
        </w:rPr>
        <w:t xml:space="preserve">, to promote the availability of fuels that comply with the requirements of this </w:t>
      </w:r>
      <w:r w:rsidR="00DB4364">
        <w:rPr>
          <w:color w:val="000000"/>
        </w:rPr>
        <w:t>Act</w:t>
      </w:r>
      <w:r w:rsidR="00017036">
        <w:rPr>
          <w:color w:val="000000"/>
        </w:rPr>
        <w:t>.</w:t>
      </w:r>
      <w:r w:rsidR="00017036" w:rsidRPr="00193A66">
        <w:rPr>
          <w:rStyle w:val="FootnoteReference"/>
          <w:color w:val="000000" w:themeColor="text1"/>
        </w:rPr>
        <w:footnoteReference w:id="62"/>
      </w:r>
      <w:r w:rsidR="007B088D">
        <w:rPr>
          <w:color w:val="000000"/>
        </w:rPr>
        <w:t xml:space="preserve"> </w:t>
      </w:r>
    </w:p>
    <w:p w14:paraId="6BC5CB6B" w14:textId="1E19A72F" w:rsidR="00E010DC" w:rsidRDefault="00E010DC" w:rsidP="00017036">
      <w:pPr>
        <w:pStyle w:val="statutory-body-1em"/>
        <w:spacing w:before="0" w:beforeAutospacing="0" w:after="0" w:afterAutospacing="0"/>
        <w:ind w:left="720"/>
        <w:rPr>
          <w:color w:val="000000"/>
        </w:rPr>
      </w:pPr>
    </w:p>
    <w:p w14:paraId="0B3614CB" w14:textId="1A74898A" w:rsidR="00E010DC" w:rsidRDefault="00E010DC" w:rsidP="0010317B">
      <w:pPr>
        <w:pStyle w:val="statutory-body-1em"/>
        <w:spacing w:before="0" w:beforeAutospacing="0" w:after="0" w:afterAutospacing="0"/>
        <w:ind w:left="720" w:firstLine="720"/>
        <w:rPr>
          <w:color w:val="000000"/>
        </w:rPr>
      </w:pPr>
      <w:r>
        <w:rPr>
          <w:color w:val="000000"/>
        </w:rPr>
        <w:t>(</w:t>
      </w:r>
      <w:r w:rsidR="0010317B">
        <w:rPr>
          <w:color w:val="000000"/>
        </w:rPr>
        <w:t>2</w:t>
      </w:r>
      <w:r>
        <w:rPr>
          <w:color w:val="000000"/>
        </w:rPr>
        <w:t xml:space="preserve">) The Secretary shall maintain a register of suppliers of </w:t>
      </w:r>
      <w:r w:rsidR="0010317B">
        <w:rPr>
          <w:color w:val="000000"/>
        </w:rPr>
        <w:t xml:space="preserve">each </w:t>
      </w:r>
      <w:r>
        <w:rPr>
          <w:color w:val="000000"/>
        </w:rPr>
        <w:t>compliant fuel.</w:t>
      </w:r>
      <w:r w:rsidRPr="00193A66">
        <w:rPr>
          <w:rStyle w:val="FootnoteReference"/>
          <w:color w:val="000000" w:themeColor="text1"/>
        </w:rPr>
        <w:footnoteReference w:id="63"/>
      </w:r>
    </w:p>
    <w:p w14:paraId="592F6B59" w14:textId="7D631E63" w:rsidR="00E010DC" w:rsidRDefault="00E010DC" w:rsidP="00017036">
      <w:pPr>
        <w:pStyle w:val="statutory-body-1em"/>
        <w:spacing w:before="0" w:beforeAutospacing="0" w:after="0" w:afterAutospacing="0"/>
        <w:ind w:left="720"/>
        <w:rPr>
          <w:color w:val="000000"/>
        </w:rPr>
      </w:pPr>
    </w:p>
    <w:p w14:paraId="188208A5" w14:textId="7A4B927D" w:rsidR="007B088D" w:rsidRPr="00195FF6" w:rsidRDefault="007B088D" w:rsidP="007B088D">
      <w:pPr>
        <w:pStyle w:val="Heading3"/>
        <w:spacing w:before="0" w:beforeAutospacing="0" w:after="0" w:afterAutospacing="0"/>
        <w:rPr>
          <w:sz w:val="24"/>
          <w:szCs w:val="24"/>
        </w:rPr>
      </w:pPr>
      <w:r w:rsidRPr="00195FF6">
        <w:rPr>
          <w:sz w:val="24"/>
          <w:szCs w:val="24"/>
        </w:rPr>
        <w:t xml:space="preserve">SEC. </w:t>
      </w:r>
      <w:r w:rsidR="00174B77">
        <w:rPr>
          <w:sz w:val="24"/>
          <w:szCs w:val="24"/>
        </w:rPr>
        <w:t>8</w:t>
      </w:r>
      <w:r w:rsidRPr="00195FF6">
        <w:rPr>
          <w:color w:val="000000" w:themeColor="text1"/>
          <w:sz w:val="24"/>
          <w:szCs w:val="24"/>
        </w:rPr>
        <w:t xml:space="preserve">. </w:t>
      </w:r>
      <w:r w:rsidR="00421CF2">
        <w:rPr>
          <w:color w:val="000000"/>
          <w:sz w:val="24"/>
          <w:szCs w:val="24"/>
        </w:rPr>
        <w:t>VIOLATIONS</w:t>
      </w:r>
      <w:r w:rsidRPr="00195FF6">
        <w:rPr>
          <w:color w:val="000000" w:themeColor="text1"/>
          <w:sz w:val="24"/>
          <w:szCs w:val="24"/>
        </w:rPr>
        <w:t>.</w:t>
      </w:r>
    </w:p>
    <w:p w14:paraId="5E91C010" w14:textId="4F926BD2" w:rsidR="007B088D" w:rsidRDefault="007B088D" w:rsidP="00017036">
      <w:pPr>
        <w:pStyle w:val="statutory-body-1em"/>
        <w:spacing w:before="0" w:beforeAutospacing="0" w:after="0" w:afterAutospacing="0"/>
        <w:ind w:left="720"/>
        <w:rPr>
          <w:color w:val="000000"/>
        </w:rPr>
      </w:pPr>
    </w:p>
    <w:p w14:paraId="60AAFEA5" w14:textId="1DE3E68F" w:rsidR="004272EE" w:rsidRDefault="004272EE" w:rsidP="00E707E2">
      <w:pPr>
        <w:pStyle w:val="statutory-body-1em"/>
        <w:spacing w:before="0" w:beforeAutospacing="0" w:after="0" w:afterAutospacing="0"/>
        <w:ind w:left="720"/>
        <w:rPr>
          <w:color w:val="000000"/>
        </w:rPr>
      </w:pPr>
      <w:r w:rsidRPr="004272EE">
        <w:rPr>
          <w:color w:val="000000"/>
        </w:rPr>
        <w:t>(a) General prohibition; cooperation and enforcement; detection and monitoring measures; reports; evidence</w:t>
      </w:r>
      <w:r w:rsidR="00E707E2" w:rsidRPr="008626AC">
        <w:rPr>
          <w:color w:val="000000"/>
        </w:rPr>
        <w:t>—</w:t>
      </w:r>
    </w:p>
    <w:p w14:paraId="3FCC62AE" w14:textId="77777777" w:rsidR="00E707E2" w:rsidRPr="004272EE" w:rsidRDefault="00E707E2" w:rsidP="00E707E2">
      <w:pPr>
        <w:pStyle w:val="statutory-body-1em"/>
        <w:spacing w:before="0" w:beforeAutospacing="0" w:after="0" w:afterAutospacing="0"/>
        <w:ind w:left="720"/>
        <w:rPr>
          <w:color w:val="000000"/>
        </w:rPr>
      </w:pPr>
    </w:p>
    <w:p w14:paraId="1AF7D7AF" w14:textId="0AED3E5F" w:rsidR="004272EE" w:rsidRPr="00863134" w:rsidRDefault="004272EE" w:rsidP="00E707E2">
      <w:pPr>
        <w:pStyle w:val="statutory-body-1em"/>
        <w:spacing w:before="0" w:beforeAutospacing="0" w:after="0" w:afterAutospacing="0"/>
        <w:ind w:left="720"/>
        <w:rPr>
          <w:color w:val="000000"/>
        </w:rPr>
      </w:pPr>
      <w:r w:rsidRPr="004272EE">
        <w:rPr>
          <w:color w:val="000000"/>
        </w:rPr>
        <w:t xml:space="preserve">It is unlawful to act in violation of this </w:t>
      </w:r>
      <w:r w:rsidR="00DB4364">
        <w:rPr>
          <w:color w:val="000000"/>
        </w:rPr>
        <w:t>Act</w:t>
      </w:r>
      <w:r w:rsidRPr="004272EE">
        <w:rPr>
          <w:color w:val="000000"/>
        </w:rPr>
        <w:t xml:space="preserve"> or the regulations issued thereunder. </w:t>
      </w:r>
      <w:r w:rsidR="00936A47">
        <w:rPr>
          <w:color w:val="000000"/>
        </w:rPr>
        <w:t>I</w:t>
      </w:r>
      <w:r w:rsidR="00936A47" w:rsidRPr="00667C8C">
        <w:rPr>
          <w:color w:val="000000"/>
        </w:rPr>
        <w:t xml:space="preserve">f </w:t>
      </w:r>
      <w:r w:rsidR="00936A47">
        <w:rPr>
          <w:color w:val="000000"/>
        </w:rPr>
        <w:t>a possible</w:t>
      </w:r>
      <w:r w:rsidR="00936A47" w:rsidRPr="00667C8C">
        <w:rPr>
          <w:color w:val="000000"/>
        </w:rPr>
        <w:t xml:space="preserve"> violation i</w:t>
      </w:r>
      <w:r w:rsidR="00936A47">
        <w:rPr>
          <w:color w:val="000000"/>
        </w:rPr>
        <w:t>nvolves</w:t>
      </w:r>
      <w:r w:rsidR="00936A47" w:rsidRPr="00667C8C">
        <w:rPr>
          <w:color w:val="000000"/>
        </w:rPr>
        <w:t xml:space="preserve"> a </w:t>
      </w:r>
      <w:r w:rsidR="00936A47">
        <w:rPr>
          <w:color w:val="000000"/>
        </w:rPr>
        <w:t xml:space="preserve">foreign </w:t>
      </w:r>
      <w:r w:rsidR="00936A47" w:rsidRPr="00667C8C">
        <w:rPr>
          <w:color w:val="000000"/>
        </w:rPr>
        <w:t>ship</w:t>
      </w:r>
      <w:r w:rsidR="00936A47">
        <w:rPr>
          <w:color w:val="000000"/>
        </w:rPr>
        <w:t>, t</w:t>
      </w:r>
      <w:r w:rsidRPr="004272EE">
        <w:rPr>
          <w:color w:val="000000"/>
        </w:rPr>
        <w:t xml:space="preserve">he Secretary </w:t>
      </w:r>
      <w:r w:rsidR="00936A47">
        <w:rPr>
          <w:color w:val="000000"/>
        </w:rPr>
        <w:t>should</w:t>
      </w:r>
      <w:r w:rsidRPr="004272EE">
        <w:rPr>
          <w:color w:val="000000"/>
        </w:rPr>
        <w:t xml:space="preserve"> cooperate with </w:t>
      </w:r>
      <w:r w:rsidR="00936A47">
        <w:rPr>
          <w:color w:val="000000"/>
        </w:rPr>
        <w:t>the</w:t>
      </w:r>
      <w:r w:rsidRPr="004272EE">
        <w:rPr>
          <w:color w:val="000000"/>
        </w:rPr>
        <w:t xml:space="preserve"> </w:t>
      </w:r>
      <w:r w:rsidR="00E707E2">
        <w:rPr>
          <w:color w:val="000000"/>
        </w:rPr>
        <w:t>government</w:t>
      </w:r>
      <w:r w:rsidRPr="004272EE">
        <w:rPr>
          <w:color w:val="000000"/>
        </w:rPr>
        <w:t xml:space="preserve"> </w:t>
      </w:r>
      <w:r w:rsidR="00936A47">
        <w:rPr>
          <w:color w:val="000000"/>
        </w:rPr>
        <w:t>of the country</w:t>
      </w:r>
      <w:r w:rsidR="009C3261">
        <w:rPr>
          <w:color w:val="000000"/>
        </w:rPr>
        <w:t xml:space="preserve"> </w:t>
      </w:r>
      <w:r w:rsidRPr="004272EE">
        <w:rPr>
          <w:color w:val="000000"/>
        </w:rPr>
        <w:t>in the detection of violations and in enforcement. The Secretary shall use all appropriate and practical measures of detection and environmental monitoring, and shall establish adequate procedures for reporting violations and accumulating evidence.</w:t>
      </w:r>
      <w:r w:rsidR="00863134" w:rsidRPr="00863134">
        <w:rPr>
          <w:rStyle w:val="FootnoteReference"/>
          <w:color w:val="000000" w:themeColor="text1"/>
        </w:rPr>
        <w:footnoteReference w:id="64"/>
      </w:r>
    </w:p>
    <w:p w14:paraId="62EAD03C" w14:textId="77777777" w:rsidR="00E707E2" w:rsidRPr="004272EE" w:rsidRDefault="00E707E2" w:rsidP="00E707E2">
      <w:pPr>
        <w:pStyle w:val="statutory-body-1em"/>
        <w:spacing w:before="0" w:beforeAutospacing="0" w:after="0" w:afterAutospacing="0"/>
        <w:ind w:left="720"/>
        <w:rPr>
          <w:color w:val="000000"/>
        </w:rPr>
      </w:pPr>
    </w:p>
    <w:p w14:paraId="311A22F3" w14:textId="5CF7DDE9" w:rsidR="004272EE" w:rsidRPr="004272EE" w:rsidRDefault="004272EE" w:rsidP="00E707E2">
      <w:pPr>
        <w:pStyle w:val="statutory-body-1em"/>
        <w:spacing w:before="0" w:beforeAutospacing="0" w:after="0" w:afterAutospacing="0"/>
        <w:ind w:left="720"/>
        <w:rPr>
          <w:color w:val="000000"/>
        </w:rPr>
      </w:pPr>
      <w:r w:rsidRPr="004272EE">
        <w:rPr>
          <w:color w:val="000000"/>
        </w:rPr>
        <w:t>(b) Investigations; subp</w:t>
      </w:r>
      <w:r w:rsidR="00E707E2">
        <w:rPr>
          <w:color w:val="000000"/>
        </w:rPr>
        <w:t>o</w:t>
      </w:r>
      <w:r w:rsidRPr="004272EE">
        <w:rPr>
          <w:color w:val="000000"/>
        </w:rPr>
        <w:t>enas: issuance by Secretary, enforcement; action by Secretary; information to party</w:t>
      </w:r>
      <w:r w:rsidR="00E707E2" w:rsidRPr="008626AC">
        <w:rPr>
          <w:color w:val="000000"/>
        </w:rPr>
        <w:t>—</w:t>
      </w:r>
    </w:p>
    <w:p w14:paraId="76E06B78" w14:textId="77777777" w:rsidR="00E707E2" w:rsidRDefault="00E707E2" w:rsidP="00E707E2">
      <w:pPr>
        <w:pStyle w:val="statutory-body-1em"/>
        <w:spacing w:before="0" w:beforeAutospacing="0" w:after="0" w:afterAutospacing="0"/>
        <w:ind w:left="720"/>
        <w:rPr>
          <w:color w:val="000000"/>
        </w:rPr>
      </w:pPr>
    </w:p>
    <w:p w14:paraId="08121F1C" w14:textId="70EE77AA" w:rsidR="0020475B" w:rsidRDefault="004272EE" w:rsidP="00BD201A">
      <w:pPr>
        <w:pStyle w:val="statutory-body-1em"/>
        <w:spacing w:before="0" w:beforeAutospacing="0" w:after="0" w:afterAutospacing="0"/>
        <w:ind w:left="720"/>
      </w:pPr>
      <w:r w:rsidRPr="004272EE">
        <w:rPr>
          <w:color w:val="000000"/>
        </w:rPr>
        <w:t>Upon receipt of evidence that a violation has occurred, the Secretary shall cause the matter to be investigated. In any investigation under this section the Secretary may issue subp</w:t>
      </w:r>
      <w:r w:rsidR="00E707E2">
        <w:rPr>
          <w:color w:val="000000"/>
        </w:rPr>
        <w:t>o</w:t>
      </w:r>
      <w:r w:rsidRPr="004272EE">
        <w:rPr>
          <w:color w:val="000000"/>
        </w:rPr>
        <w:t xml:space="preserve">enas to require the attendance of any witness and the production of documents and </w:t>
      </w:r>
      <w:r w:rsidRPr="004272EE">
        <w:rPr>
          <w:color w:val="000000"/>
        </w:rPr>
        <w:lastRenderedPageBreak/>
        <w:t>other evidence. In case of refusal to obey a subp</w:t>
      </w:r>
      <w:r w:rsidR="00E707E2">
        <w:rPr>
          <w:color w:val="000000"/>
        </w:rPr>
        <w:t>o</w:t>
      </w:r>
      <w:r w:rsidRPr="004272EE">
        <w:rPr>
          <w:color w:val="000000"/>
        </w:rPr>
        <w:t xml:space="preserve">ena issued to any person, the Secretary may request the Attorney General to invoke the aid of the appropriate district court of the United States to compel compliance. Upon completion of the investigation, the Secretary shall take the action required by this </w:t>
      </w:r>
      <w:r w:rsidR="00DB4364">
        <w:rPr>
          <w:color w:val="000000"/>
        </w:rPr>
        <w:t>Act</w:t>
      </w:r>
      <w:r w:rsidRPr="004272EE">
        <w:rPr>
          <w:color w:val="000000"/>
        </w:rPr>
        <w:t xml:space="preserve"> and whatever further action he considers appropriate under the circumstances. If the initial evidence was provided by a </w:t>
      </w:r>
      <w:r w:rsidR="00E707E2">
        <w:rPr>
          <w:color w:val="000000"/>
        </w:rPr>
        <w:t>government</w:t>
      </w:r>
      <w:r w:rsidR="002C5CFA" w:rsidRPr="002C5CFA">
        <w:rPr>
          <w:color w:val="000000"/>
        </w:rPr>
        <w:t xml:space="preserve"> </w:t>
      </w:r>
      <w:r w:rsidR="002C5CFA">
        <w:rPr>
          <w:color w:val="000000"/>
        </w:rPr>
        <w:t>of a foreign country</w:t>
      </w:r>
      <w:r w:rsidRPr="004272EE">
        <w:rPr>
          <w:color w:val="000000"/>
        </w:rPr>
        <w:t xml:space="preserve">, the Secretary, acting through the Secretary of State, shall inform that </w:t>
      </w:r>
      <w:r w:rsidR="002C5CFA">
        <w:rPr>
          <w:color w:val="000000"/>
        </w:rPr>
        <w:t>government</w:t>
      </w:r>
      <w:r w:rsidRPr="004272EE">
        <w:rPr>
          <w:color w:val="000000"/>
        </w:rPr>
        <w:t xml:space="preserve"> of the action taken or proposed.</w:t>
      </w:r>
      <w:r w:rsidR="00863134" w:rsidRPr="00863134">
        <w:rPr>
          <w:rStyle w:val="FootnoteReference"/>
          <w:color w:val="000000" w:themeColor="text1"/>
        </w:rPr>
        <w:footnoteReference w:id="65"/>
      </w:r>
    </w:p>
    <w:p w14:paraId="057A4BC4" w14:textId="77777777" w:rsidR="00BD201A" w:rsidRPr="00BD201A" w:rsidRDefault="00BD201A" w:rsidP="00BD201A">
      <w:pPr>
        <w:pStyle w:val="statutory-body-1em"/>
        <w:spacing w:before="0" w:beforeAutospacing="0" w:after="0" w:afterAutospacing="0"/>
        <w:ind w:left="720"/>
        <w:rPr>
          <w:color w:val="000000"/>
        </w:rPr>
      </w:pPr>
    </w:p>
    <w:p w14:paraId="7FCB4913" w14:textId="49E8EE7D" w:rsidR="00421CF2" w:rsidRPr="00195FF6" w:rsidRDefault="00421CF2" w:rsidP="00421CF2">
      <w:pPr>
        <w:pStyle w:val="Heading3"/>
        <w:spacing w:before="0" w:beforeAutospacing="0" w:after="0" w:afterAutospacing="0"/>
        <w:rPr>
          <w:sz w:val="24"/>
          <w:szCs w:val="24"/>
        </w:rPr>
      </w:pPr>
      <w:r w:rsidRPr="00195FF6">
        <w:rPr>
          <w:sz w:val="24"/>
          <w:szCs w:val="24"/>
        </w:rPr>
        <w:t xml:space="preserve">SEC. </w:t>
      </w:r>
      <w:r>
        <w:rPr>
          <w:sz w:val="24"/>
          <w:szCs w:val="24"/>
        </w:rPr>
        <w:t>9</w:t>
      </w:r>
      <w:r w:rsidRPr="00195FF6">
        <w:rPr>
          <w:color w:val="000000" w:themeColor="text1"/>
          <w:sz w:val="24"/>
          <w:szCs w:val="24"/>
        </w:rPr>
        <w:t xml:space="preserve">. </w:t>
      </w:r>
      <w:r>
        <w:rPr>
          <w:color w:val="000000"/>
          <w:sz w:val="24"/>
          <w:szCs w:val="24"/>
        </w:rPr>
        <w:t>PENALTIES FOR VIOLATIONS</w:t>
      </w:r>
      <w:r w:rsidRPr="00195FF6">
        <w:rPr>
          <w:color w:val="000000" w:themeColor="text1"/>
          <w:sz w:val="24"/>
          <w:szCs w:val="24"/>
        </w:rPr>
        <w:t>.</w:t>
      </w:r>
    </w:p>
    <w:p w14:paraId="51D3A365" w14:textId="77777777" w:rsidR="004272EE" w:rsidRPr="004272EE" w:rsidRDefault="004272EE" w:rsidP="00421CF2">
      <w:pPr>
        <w:pStyle w:val="statutory-body-1em"/>
        <w:spacing w:before="0" w:beforeAutospacing="0" w:after="0" w:afterAutospacing="0"/>
        <w:rPr>
          <w:color w:val="000000"/>
        </w:rPr>
      </w:pPr>
    </w:p>
    <w:p w14:paraId="3777D71B" w14:textId="19181044" w:rsidR="004272EE" w:rsidRDefault="004272EE" w:rsidP="00E707E2">
      <w:pPr>
        <w:pStyle w:val="statutory-body-1em"/>
        <w:spacing w:before="0" w:beforeAutospacing="0" w:after="0" w:afterAutospacing="0"/>
        <w:ind w:left="720"/>
        <w:rPr>
          <w:color w:val="000000"/>
        </w:rPr>
      </w:pPr>
      <w:r w:rsidRPr="004272EE">
        <w:rPr>
          <w:color w:val="000000"/>
        </w:rPr>
        <w:t>(</w:t>
      </w:r>
      <w:r w:rsidR="00421CF2">
        <w:rPr>
          <w:color w:val="000000"/>
        </w:rPr>
        <w:t>a</w:t>
      </w:r>
      <w:r w:rsidRPr="004272EE">
        <w:rPr>
          <w:color w:val="000000"/>
        </w:rPr>
        <w:t>) Criminal penalties; payment for information leading to conviction</w:t>
      </w:r>
      <w:r w:rsidR="00460854" w:rsidRPr="008626AC">
        <w:rPr>
          <w:color w:val="000000"/>
        </w:rPr>
        <w:t>—</w:t>
      </w:r>
    </w:p>
    <w:p w14:paraId="636D38CB" w14:textId="77777777" w:rsidR="00460854" w:rsidRPr="004272EE" w:rsidRDefault="00460854" w:rsidP="00E707E2">
      <w:pPr>
        <w:pStyle w:val="statutory-body-1em"/>
        <w:spacing w:before="0" w:beforeAutospacing="0" w:after="0" w:afterAutospacing="0"/>
        <w:ind w:left="720"/>
        <w:rPr>
          <w:color w:val="000000"/>
        </w:rPr>
      </w:pPr>
    </w:p>
    <w:p w14:paraId="0B83EE25" w14:textId="7D6083FF" w:rsidR="004272EE" w:rsidRDefault="004272EE" w:rsidP="00E707E2">
      <w:pPr>
        <w:pStyle w:val="statutory-body-1em"/>
        <w:spacing w:before="0" w:beforeAutospacing="0" w:after="0" w:afterAutospacing="0"/>
        <w:ind w:left="720"/>
        <w:rPr>
          <w:color w:val="000000"/>
        </w:rPr>
      </w:pPr>
      <w:r w:rsidRPr="004272EE">
        <w:rPr>
          <w:color w:val="000000"/>
        </w:rPr>
        <w:t xml:space="preserve">A person who knowingly violates this </w:t>
      </w:r>
      <w:r w:rsidR="00DB4364">
        <w:rPr>
          <w:color w:val="000000"/>
        </w:rPr>
        <w:t>Act</w:t>
      </w:r>
      <w:r w:rsidRPr="004272EE">
        <w:rPr>
          <w:color w:val="000000"/>
        </w:rPr>
        <w:t xml:space="preserve"> or the regulations issued thereunder commits a class D felony. In the discretion of the Court, an amount equal to not more than ½ of such fine</w:t>
      </w:r>
      <w:r w:rsidR="00413A57">
        <w:rPr>
          <w:color w:val="000000"/>
        </w:rPr>
        <w:t xml:space="preserve"> </w:t>
      </w:r>
      <w:r w:rsidR="007012DE">
        <w:rPr>
          <w:color w:val="000000"/>
        </w:rPr>
        <w:t>shall</w:t>
      </w:r>
      <w:r w:rsidR="00AA2430">
        <w:rPr>
          <w:rStyle w:val="FootnoteReference"/>
          <w:color w:val="000000"/>
        </w:rPr>
        <w:footnoteReference w:id="66"/>
      </w:r>
      <w:r w:rsidRPr="004272EE">
        <w:rPr>
          <w:color w:val="000000"/>
        </w:rPr>
        <w:t xml:space="preserve"> be paid to the person giving information leading to conviction.</w:t>
      </w:r>
      <w:r w:rsidR="00E7135D" w:rsidRPr="00863134">
        <w:rPr>
          <w:rStyle w:val="FootnoteReference"/>
          <w:color w:val="000000" w:themeColor="text1"/>
        </w:rPr>
        <w:footnoteReference w:id="67"/>
      </w:r>
    </w:p>
    <w:p w14:paraId="0BDB768F" w14:textId="77777777" w:rsidR="00421CF2" w:rsidRPr="004272EE" w:rsidRDefault="00421CF2" w:rsidP="00E707E2">
      <w:pPr>
        <w:pStyle w:val="statutory-body-1em"/>
        <w:spacing w:before="0" w:beforeAutospacing="0" w:after="0" w:afterAutospacing="0"/>
        <w:ind w:left="720"/>
        <w:rPr>
          <w:color w:val="000000"/>
        </w:rPr>
      </w:pPr>
    </w:p>
    <w:p w14:paraId="5F53B1EB" w14:textId="416F692F" w:rsidR="004272EE" w:rsidRPr="004272EE" w:rsidRDefault="004272EE" w:rsidP="00E707E2">
      <w:pPr>
        <w:pStyle w:val="statutory-body-1em"/>
        <w:spacing w:before="0" w:beforeAutospacing="0" w:after="0" w:afterAutospacing="0"/>
        <w:ind w:left="720"/>
        <w:rPr>
          <w:color w:val="000000"/>
        </w:rPr>
      </w:pPr>
      <w:r w:rsidRPr="004272EE">
        <w:rPr>
          <w:color w:val="000000"/>
        </w:rPr>
        <w:t>(</w:t>
      </w:r>
      <w:r w:rsidR="00421CF2">
        <w:rPr>
          <w:color w:val="000000"/>
        </w:rPr>
        <w:t>b</w:t>
      </w:r>
      <w:r w:rsidRPr="004272EE">
        <w:rPr>
          <w:color w:val="000000"/>
        </w:rPr>
        <w:t>) Civil penalties; separate violations; assessment notice; considerations affecting amount; payment for information leading to assessment of penalty</w:t>
      </w:r>
      <w:r w:rsidR="00460854" w:rsidRPr="008626AC">
        <w:rPr>
          <w:color w:val="000000"/>
        </w:rPr>
        <w:t>—</w:t>
      </w:r>
    </w:p>
    <w:p w14:paraId="7E93678B" w14:textId="77777777" w:rsidR="00460854" w:rsidRDefault="00460854" w:rsidP="00E707E2">
      <w:pPr>
        <w:pStyle w:val="statutory-body-1em"/>
        <w:spacing w:before="0" w:beforeAutospacing="0" w:after="0" w:afterAutospacing="0"/>
        <w:ind w:left="720"/>
        <w:rPr>
          <w:color w:val="000000"/>
        </w:rPr>
      </w:pPr>
    </w:p>
    <w:p w14:paraId="28DD7238" w14:textId="4F7F5490" w:rsidR="004272EE" w:rsidRDefault="004272EE" w:rsidP="00E707E2">
      <w:pPr>
        <w:pStyle w:val="statutory-body-1em"/>
        <w:spacing w:before="0" w:beforeAutospacing="0" w:after="0" w:afterAutospacing="0"/>
        <w:ind w:left="720"/>
        <w:rPr>
          <w:color w:val="000000"/>
        </w:rPr>
      </w:pPr>
      <w:r w:rsidRPr="004272EE">
        <w:rPr>
          <w:color w:val="000000"/>
        </w:rPr>
        <w:t xml:space="preserve">A person who is found by the Secretary, or the Administrator as provided for in this </w:t>
      </w:r>
      <w:r w:rsidR="00DB4364">
        <w:rPr>
          <w:color w:val="000000"/>
        </w:rPr>
        <w:t>Act</w:t>
      </w:r>
      <w:r w:rsidRPr="004272EE">
        <w:rPr>
          <w:color w:val="000000"/>
        </w:rPr>
        <w:t>, after notice and an opportunity for a hearing, to have—</w:t>
      </w:r>
    </w:p>
    <w:p w14:paraId="0923AE31" w14:textId="77777777" w:rsidR="00460854" w:rsidRPr="004272EE" w:rsidRDefault="00460854" w:rsidP="00E707E2">
      <w:pPr>
        <w:pStyle w:val="statutory-body-1em"/>
        <w:spacing w:before="0" w:beforeAutospacing="0" w:after="0" w:afterAutospacing="0"/>
        <w:ind w:left="720"/>
        <w:rPr>
          <w:color w:val="000000"/>
        </w:rPr>
      </w:pPr>
    </w:p>
    <w:p w14:paraId="52738CC2" w14:textId="2B2D709C" w:rsidR="004272EE" w:rsidRDefault="004272EE" w:rsidP="00460854">
      <w:pPr>
        <w:pStyle w:val="statutory-body-1em"/>
        <w:spacing w:before="0" w:beforeAutospacing="0" w:after="0" w:afterAutospacing="0"/>
        <w:ind w:left="1440"/>
        <w:rPr>
          <w:color w:val="000000"/>
        </w:rPr>
      </w:pPr>
      <w:r w:rsidRPr="004272EE">
        <w:rPr>
          <w:color w:val="000000"/>
        </w:rPr>
        <w:t xml:space="preserve">(1) violated this </w:t>
      </w:r>
      <w:r w:rsidR="00DB4364">
        <w:rPr>
          <w:color w:val="000000"/>
        </w:rPr>
        <w:t>Act</w:t>
      </w:r>
      <w:r w:rsidRPr="004272EE">
        <w:rPr>
          <w:color w:val="000000"/>
        </w:rPr>
        <w:t xml:space="preserve"> or the regulations issued thereunder shall be liable to the United States for a civil penalty, not to exceed $25,000 for each violation; or</w:t>
      </w:r>
    </w:p>
    <w:p w14:paraId="3F47ABD0" w14:textId="77777777" w:rsidR="00460854" w:rsidRPr="004272EE" w:rsidRDefault="00460854" w:rsidP="00460854">
      <w:pPr>
        <w:pStyle w:val="statutory-body-1em"/>
        <w:spacing w:before="0" w:beforeAutospacing="0" w:after="0" w:afterAutospacing="0"/>
        <w:ind w:left="720" w:firstLine="720"/>
        <w:rPr>
          <w:color w:val="000000"/>
        </w:rPr>
      </w:pPr>
    </w:p>
    <w:p w14:paraId="35EBD415" w14:textId="7135FBF9" w:rsidR="004272EE" w:rsidRPr="004272EE" w:rsidRDefault="004272EE" w:rsidP="00460854">
      <w:pPr>
        <w:pStyle w:val="statutory-body-1em"/>
        <w:spacing w:before="0" w:beforeAutospacing="0" w:after="0" w:afterAutospacing="0"/>
        <w:ind w:left="1440"/>
        <w:rPr>
          <w:color w:val="000000"/>
        </w:rPr>
      </w:pPr>
      <w:r w:rsidRPr="004272EE">
        <w:rPr>
          <w:color w:val="000000"/>
        </w:rPr>
        <w:t xml:space="preserve">(2) made a false, fictitious, or fraudulent statement or representation in any matter in which a statement or representation is required to be made to the Secretary, or the Administrator as provided for in this </w:t>
      </w:r>
      <w:r w:rsidR="00DB4364">
        <w:rPr>
          <w:color w:val="000000"/>
        </w:rPr>
        <w:t>Act</w:t>
      </w:r>
      <w:r w:rsidRPr="004272EE">
        <w:rPr>
          <w:color w:val="000000"/>
        </w:rPr>
        <w:t xml:space="preserve">, under this </w:t>
      </w:r>
      <w:r w:rsidR="00DB4364">
        <w:rPr>
          <w:color w:val="000000"/>
        </w:rPr>
        <w:t>Act</w:t>
      </w:r>
      <w:r w:rsidRPr="004272EE">
        <w:rPr>
          <w:color w:val="000000"/>
        </w:rPr>
        <w:t xml:space="preserve"> or the regulations thereunder, shall be liable to the United States for a civil penalty, not to exceed $</w:t>
      </w:r>
      <w:r w:rsidR="00F7237A">
        <w:rPr>
          <w:color w:val="000000"/>
        </w:rPr>
        <w:t>2</w:t>
      </w:r>
      <w:r w:rsidRPr="004272EE">
        <w:rPr>
          <w:color w:val="000000"/>
        </w:rPr>
        <w:t>5,000</w:t>
      </w:r>
      <w:r w:rsidR="0031138E">
        <w:rPr>
          <w:rStyle w:val="FootnoteReference"/>
          <w:color w:val="000000"/>
        </w:rPr>
        <w:footnoteReference w:id="68"/>
      </w:r>
      <w:r w:rsidR="0031138E">
        <w:rPr>
          <w:color w:val="000000"/>
        </w:rPr>
        <w:t xml:space="preserve"> </w:t>
      </w:r>
      <w:r w:rsidRPr="004272EE">
        <w:rPr>
          <w:color w:val="000000"/>
        </w:rPr>
        <w:t>for each statement or representation.</w:t>
      </w:r>
    </w:p>
    <w:p w14:paraId="279A53FB" w14:textId="77777777" w:rsidR="00460854" w:rsidRDefault="00460854" w:rsidP="00E707E2">
      <w:pPr>
        <w:pStyle w:val="statutory-body-1em"/>
        <w:spacing w:before="0" w:beforeAutospacing="0" w:after="0" w:afterAutospacing="0"/>
        <w:ind w:left="720"/>
        <w:rPr>
          <w:color w:val="000000"/>
        </w:rPr>
      </w:pPr>
    </w:p>
    <w:p w14:paraId="3333E8CB" w14:textId="5AEDB5C0" w:rsidR="004272EE" w:rsidRDefault="004272EE" w:rsidP="00E707E2">
      <w:pPr>
        <w:pStyle w:val="statutory-body-1em"/>
        <w:spacing w:before="0" w:beforeAutospacing="0" w:after="0" w:afterAutospacing="0"/>
        <w:ind w:left="720"/>
        <w:rPr>
          <w:color w:val="000000"/>
        </w:rPr>
      </w:pPr>
      <w:r w:rsidRPr="004272EE">
        <w:rPr>
          <w:color w:val="000000"/>
        </w:rPr>
        <w:t xml:space="preserve">Each day of a continuing violation shall constitute a separate violation. The amount of the civil penalty shall be assessed by the Secretary, or the Administrator as provided for in this </w:t>
      </w:r>
      <w:r w:rsidR="00DB4364">
        <w:rPr>
          <w:color w:val="000000"/>
        </w:rPr>
        <w:t>Act</w:t>
      </w:r>
      <w:r w:rsidRPr="004272EE">
        <w:rPr>
          <w:color w:val="000000"/>
        </w:rPr>
        <w:t xml:space="preserve"> or his designee, by written notice. In determining the amount of the penalty, the Secretary, or the Administrator as provided for in this </w:t>
      </w:r>
      <w:r w:rsidR="00DB4364">
        <w:rPr>
          <w:color w:val="000000"/>
        </w:rPr>
        <w:t>Act</w:t>
      </w:r>
      <w:r w:rsidRPr="004272EE">
        <w:rPr>
          <w:color w:val="000000"/>
        </w:rPr>
        <w:t xml:space="preserve">, shall take into account the nature, circumstances, extent, and gravity of the prohibited acts committed and, with respect to the violator, the degree of culpability, any history of prior offenses, ability to pay, and other matters as justice may require. An amount equal to not more than ½ of such penalties </w:t>
      </w:r>
      <w:r w:rsidR="00A271E9">
        <w:rPr>
          <w:color w:val="000000"/>
        </w:rPr>
        <w:t>shall</w:t>
      </w:r>
      <w:r w:rsidR="00413B2E">
        <w:rPr>
          <w:rStyle w:val="FootnoteReference"/>
          <w:color w:val="000000"/>
        </w:rPr>
        <w:footnoteReference w:id="69"/>
      </w:r>
      <w:r w:rsidRPr="004272EE">
        <w:rPr>
          <w:color w:val="000000"/>
        </w:rPr>
        <w:t xml:space="preserve"> be paid by the Secretary, or the Administrator as provided for in this </w:t>
      </w:r>
      <w:r w:rsidR="00DB4364">
        <w:rPr>
          <w:color w:val="000000"/>
        </w:rPr>
        <w:t>Act</w:t>
      </w:r>
      <w:r w:rsidRPr="004272EE">
        <w:rPr>
          <w:color w:val="000000"/>
        </w:rPr>
        <w:t>, to the person giving information leading to the assessment of such penalties.</w:t>
      </w:r>
      <w:r w:rsidR="00421CF2" w:rsidRPr="00863134">
        <w:rPr>
          <w:rStyle w:val="FootnoteReference"/>
          <w:color w:val="000000" w:themeColor="text1"/>
        </w:rPr>
        <w:footnoteReference w:id="70"/>
      </w:r>
    </w:p>
    <w:p w14:paraId="7AB5F5B9" w14:textId="77777777" w:rsidR="00421CF2" w:rsidRPr="004272EE" w:rsidRDefault="00421CF2" w:rsidP="00E707E2">
      <w:pPr>
        <w:pStyle w:val="statutory-body-1em"/>
        <w:spacing w:before="0" w:beforeAutospacing="0" w:after="0" w:afterAutospacing="0"/>
        <w:ind w:left="720"/>
        <w:rPr>
          <w:color w:val="000000"/>
        </w:rPr>
      </w:pPr>
    </w:p>
    <w:p w14:paraId="6976924E" w14:textId="65303D47" w:rsidR="004272EE" w:rsidRPr="004272EE" w:rsidRDefault="004272EE" w:rsidP="00E707E2">
      <w:pPr>
        <w:pStyle w:val="statutory-body-1em"/>
        <w:spacing w:before="0" w:beforeAutospacing="0" w:after="0" w:afterAutospacing="0"/>
        <w:ind w:left="720"/>
        <w:rPr>
          <w:color w:val="000000"/>
        </w:rPr>
      </w:pPr>
      <w:r w:rsidRPr="004272EE">
        <w:rPr>
          <w:color w:val="000000"/>
        </w:rPr>
        <w:t>(</w:t>
      </w:r>
      <w:r w:rsidR="00421CF2">
        <w:rPr>
          <w:color w:val="000000"/>
        </w:rPr>
        <w:t>c</w:t>
      </w:r>
      <w:r w:rsidRPr="004272EE">
        <w:rPr>
          <w:color w:val="000000"/>
        </w:rPr>
        <w:t>) Abatement of civil penalties; collection by Attorney General</w:t>
      </w:r>
      <w:r w:rsidR="00421CF2" w:rsidRPr="008626AC">
        <w:rPr>
          <w:color w:val="000000"/>
        </w:rPr>
        <w:t>—</w:t>
      </w:r>
    </w:p>
    <w:p w14:paraId="060C236F" w14:textId="77777777" w:rsidR="00421CF2" w:rsidRDefault="00421CF2" w:rsidP="00E707E2">
      <w:pPr>
        <w:pStyle w:val="statutory-body-1em"/>
        <w:spacing w:before="0" w:beforeAutospacing="0" w:after="0" w:afterAutospacing="0"/>
        <w:ind w:left="720"/>
        <w:rPr>
          <w:color w:val="000000"/>
        </w:rPr>
      </w:pPr>
    </w:p>
    <w:p w14:paraId="04D79D05" w14:textId="001F875F" w:rsidR="004272EE" w:rsidRPr="004272EE" w:rsidRDefault="004272EE" w:rsidP="00E707E2">
      <w:pPr>
        <w:pStyle w:val="statutory-body-1em"/>
        <w:spacing w:before="0" w:beforeAutospacing="0" w:after="0" w:afterAutospacing="0"/>
        <w:ind w:left="720"/>
        <w:rPr>
          <w:color w:val="000000"/>
        </w:rPr>
      </w:pPr>
      <w:r w:rsidRPr="004272EE">
        <w:rPr>
          <w:color w:val="000000"/>
        </w:rPr>
        <w:t xml:space="preserve">The Secretary, or the Administrator as provided for in this </w:t>
      </w:r>
      <w:r w:rsidR="00DB4364">
        <w:rPr>
          <w:color w:val="000000"/>
        </w:rPr>
        <w:t>Act</w:t>
      </w:r>
      <w:r w:rsidRPr="004272EE">
        <w:rPr>
          <w:color w:val="000000"/>
        </w:rPr>
        <w:t xml:space="preserve">, may compromise, modify, or remit, with or without conditions, any civil penalty which is subject to assessment or which has been assessed under this section. If any person fails to pay an assessment of a civil penalty after it has become final, the Secretary, or the Administrator as provided for in this </w:t>
      </w:r>
      <w:r w:rsidR="00DB4364">
        <w:rPr>
          <w:color w:val="000000"/>
        </w:rPr>
        <w:t>Act</w:t>
      </w:r>
      <w:r w:rsidRPr="004272EE">
        <w:rPr>
          <w:color w:val="000000"/>
        </w:rPr>
        <w:t>, may refer the matter to the Attorney General of the United States for collection in any appropriate district court of the United States.</w:t>
      </w:r>
      <w:r w:rsidR="00421CF2" w:rsidRPr="00863134">
        <w:rPr>
          <w:rStyle w:val="FootnoteReference"/>
          <w:color w:val="000000" w:themeColor="text1"/>
        </w:rPr>
        <w:footnoteReference w:id="71"/>
      </w:r>
    </w:p>
    <w:p w14:paraId="49F13F26" w14:textId="1E80FE3A" w:rsidR="0020475B" w:rsidRDefault="0020475B">
      <w:pPr>
        <w:rPr>
          <w:rFonts w:eastAsia="Times New Roman" w:cs="Times New Roman"/>
          <w:color w:val="000000"/>
        </w:rPr>
      </w:pPr>
    </w:p>
    <w:p w14:paraId="5EAF84C2" w14:textId="3A4025A7" w:rsidR="004272EE" w:rsidRDefault="004272EE" w:rsidP="00E707E2">
      <w:pPr>
        <w:pStyle w:val="statutory-body-1em"/>
        <w:spacing w:before="0" w:beforeAutospacing="0" w:after="0" w:afterAutospacing="0"/>
        <w:ind w:left="720"/>
        <w:rPr>
          <w:color w:val="000000"/>
        </w:rPr>
      </w:pPr>
      <w:r w:rsidRPr="004272EE">
        <w:rPr>
          <w:color w:val="000000"/>
        </w:rPr>
        <w:t>(d) Liability in rem; district court jurisdiction</w:t>
      </w:r>
      <w:r w:rsidR="0038302A" w:rsidRPr="008626AC">
        <w:rPr>
          <w:color w:val="000000"/>
        </w:rPr>
        <w:t>—</w:t>
      </w:r>
    </w:p>
    <w:p w14:paraId="265D709A" w14:textId="77777777" w:rsidR="00421CF2" w:rsidRPr="004272EE" w:rsidRDefault="00421CF2" w:rsidP="00E707E2">
      <w:pPr>
        <w:pStyle w:val="statutory-body-1em"/>
        <w:spacing w:before="0" w:beforeAutospacing="0" w:after="0" w:afterAutospacing="0"/>
        <w:ind w:left="720"/>
        <w:rPr>
          <w:color w:val="000000"/>
        </w:rPr>
      </w:pPr>
    </w:p>
    <w:p w14:paraId="0E84EC4F" w14:textId="0C96A570" w:rsidR="004272EE" w:rsidRDefault="004272EE" w:rsidP="00E707E2">
      <w:pPr>
        <w:pStyle w:val="statutory-body-1em"/>
        <w:spacing w:before="0" w:beforeAutospacing="0" w:after="0" w:afterAutospacing="0"/>
        <w:ind w:left="720"/>
        <w:rPr>
          <w:color w:val="000000"/>
        </w:rPr>
      </w:pPr>
      <w:r w:rsidRPr="004272EE">
        <w:rPr>
          <w:color w:val="000000"/>
        </w:rPr>
        <w:t xml:space="preserve">A ship operated in violation of this </w:t>
      </w:r>
      <w:r w:rsidR="00DB4364">
        <w:rPr>
          <w:color w:val="000000"/>
        </w:rPr>
        <w:t>Act</w:t>
      </w:r>
      <w:r w:rsidRPr="004272EE">
        <w:rPr>
          <w:color w:val="000000"/>
        </w:rPr>
        <w:t xml:space="preserve"> or the regulations thereunder is liable in rem for any fine imposed under subsection (a) or civil penalty assessed pursuant to subsection (b), and may be proceeded against in the United States district court of any district in which the ship may be found.</w:t>
      </w:r>
      <w:r w:rsidR="00421CF2" w:rsidRPr="00863134">
        <w:rPr>
          <w:rStyle w:val="FootnoteReference"/>
          <w:color w:val="000000" w:themeColor="text1"/>
        </w:rPr>
        <w:footnoteReference w:id="72"/>
      </w:r>
    </w:p>
    <w:p w14:paraId="2902887D" w14:textId="77777777" w:rsidR="00421CF2" w:rsidRPr="004272EE" w:rsidRDefault="00421CF2" w:rsidP="00E707E2">
      <w:pPr>
        <w:pStyle w:val="statutory-body-1em"/>
        <w:spacing w:before="0" w:beforeAutospacing="0" w:after="0" w:afterAutospacing="0"/>
        <w:ind w:left="720"/>
        <w:rPr>
          <w:color w:val="000000"/>
        </w:rPr>
      </w:pPr>
    </w:p>
    <w:p w14:paraId="1C6A4068" w14:textId="463CAEF6" w:rsidR="004272EE" w:rsidRDefault="004272EE" w:rsidP="00E707E2">
      <w:pPr>
        <w:pStyle w:val="statutory-body-1em"/>
        <w:spacing w:before="0" w:beforeAutospacing="0" w:after="0" w:afterAutospacing="0"/>
        <w:ind w:left="720"/>
        <w:rPr>
          <w:color w:val="000000"/>
        </w:rPr>
      </w:pPr>
      <w:r w:rsidRPr="004272EE">
        <w:rPr>
          <w:color w:val="000000"/>
        </w:rPr>
        <w:t>(e) Ship clearance or permits; refusal or revocation; bond or other surety</w:t>
      </w:r>
      <w:r w:rsidR="0038302A" w:rsidRPr="008626AC">
        <w:rPr>
          <w:color w:val="000000"/>
        </w:rPr>
        <w:t>—</w:t>
      </w:r>
    </w:p>
    <w:p w14:paraId="6E062904" w14:textId="77777777" w:rsidR="0038302A" w:rsidRPr="004272EE" w:rsidRDefault="0038302A" w:rsidP="00E707E2">
      <w:pPr>
        <w:pStyle w:val="statutory-body-1em"/>
        <w:spacing w:before="0" w:beforeAutospacing="0" w:after="0" w:afterAutospacing="0"/>
        <w:ind w:left="720"/>
        <w:rPr>
          <w:color w:val="000000"/>
        </w:rPr>
      </w:pPr>
    </w:p>
    <w:p w14:paraId="3335A7FB" w14:textId="0DB66E7D" w:rsidR="004272EE" w:rsidRDefault="004272EE" w:rsidP="00E707E2">
      <w:pPr>
        <w:pStyle w:val="statutory-body-1em"/>
        <w:spacing w:before="0" w:beforeAutospacing="0" w:after="0" w:afterAutospacing="0"/>
        <w:ind w:left="720"/>
        <w:rPr>
          <w:color w:val="000000"/>
        </w:rPr>
      </w:pPr>
      <w:r w:rsidRPr="004272EE">
        <w:rPr>
          <w:color w:val="000000"/>
        </w:rPr>
        <w:t xml:space="preserve">If any ship subject to this </w:t>
      </w:r>
      <w:r w:rsidR="00DB4364">
        <w:rPr>
          <w:color w:val="000000"/>
        </w:rPr>
        <w:t>Act</w:t>
      </w:r>
      <w:r w:rsidRPr="004272EE">
        <w:rPr>
          <w:color w:val="000000"/>
        </w:rPr>
        <w:t>, its owner, operator, or person in charge is liable for a fine or civil penalty under this section, or if reasonable cause exists to believe that the ship, its owner, operator, or person in charge may be subject to a fine or civil penalty under this section, the Secretary of the Treasury, upon the request of the Secretary, shall refuse or revoke the clearance required by section 60105 of title 46. Clearance may be granted upon the filing of a bond or other surety satisfactory to the Secretary.</w:t>
      </w:r>
      <w:r w:rsidR="008A1F1F" w:rsidRPr="00863134">
        <w:rPr>
          <w:rStyle w:val="FootnoteReference"/>
          <w:color w:val="000000" w:themeColor="text1"/>
        </w:rPr>
        <w:footnoteReference w:id="73"/>
      </w:r>
    </w:p>
    <w:p w14:paraId="3DAF1398" w14:textId="77777777" w:rsidR="0038302A" w:rsidRPr="004272EE" w:rsidRDefault="0038302A" w:rsidP="00E707E2">
      <w:pPr>
        <w:pStyle w:val="statutory-body-1em"/>
        <w:spacing w:before="0" w:beforeAutospacing="0" w:after="0" w:afterAutospacing="0"/>
        <w:ind w:left="720"/>
        <w:rPr>
          <w:color w:val="000000"/>
        </w:rPr>
      </w:pPr>
    </w:p>
    <w:p w14:paraId="2B12ED06" w14:textId="79BC5465" w:rsidR="004272EE" w:rsidRDefault="004272EE" w:rsidP="00E707E2">
      <w:pPr>
        <w:pStyle w:val="statutory-body-1em"/>
        <w:spacing w:before="0" w:beforeAutospacing="0" w:after="0" w:afterAutospacing="0"/>
        <w:ind w:left="720"/>
        <w:rPr>
          <w:color w:val="000000"/>
        </w:rPr>
      </w:pPr>
      <w:r w:rsidRPr="004272EE">
        <w:rPr>
          <w:color w:val="000000"/>
        </w:rPr>
        <w:t>(</w:t>
      </w:r>
      <w:r w:rsidR="00F341B8">
        <w:rPr>
          <w:color w:val="000000"/>
        </w:rPr>
        <w:t>f</w:t>
      </w:r>
      <w:r w:rsidRPr="004272EE">
        <w:rPr>
          <w:color w:val="000000"/>
        </w:rPr>
        <w:t>) Deposits in Abandoned Seafarers Fund</w:t>
      </w:r>
      <w:r w:rsidR="0038302A" w:rsidRPr="008626AC">
        <w:rPr>
          <w:color w:val="000000"/>
        </w:rPr>
        <w:t>—</w:t>
      </w:r>
    </w:p>
    <w:p w14:paraId="0983AFEB" w14:textId="77777777" w:rsidR="0038302A" w:rsidRPr="004272EE" w:rsidRDefault="0038302A" w:rsidP="00E707E2">
      <w:pPr>
        <w:pStyle w:val="statutory-body-1em"/>
        <w:spacing w:before="0" w:beforeAutospacing="0" w:after="0" w:afterAutospacing="0"/>
        <w:ind w:left="720"/>
        <w:rPr>
          <w:color w:val="000000"/>
        </w:rPr>
      </w:pPr>
    </w:p>
    <w:p w14:paraId="47AA0E44" w14:textId="3416BADD" w:rsidR="00764142" w:rsidRDefault="004272EE" w:rsidP="00E707E2">
      <w:pPr>
        <w:pStyle w:val="statutory-body-1em"/>
        <w:spacing w:before="0" w:beforeAutospacing="0" w:after="0" w:afterAutospacing="0"/>
        <w:ind w:left="720"/>
        <w:rPr>
          <w:color w:val="000000"/>
        </w:rPr>
      </w:pPr>
      <w:r w:rsidRPr="004272EE">
        <w:rPr>
          <w:color w:val="000000"/>
        </w:rPr>
        <w:t>Any penalty collected under subsection (a) or (b) that is not paid under that subsection to the person giving information leading to the conviction or assessment of such penalties shall be deposited in the Abandoned Seafarers Fund established under section 11113 of title 46.</w:t>
      </w:r>
      <w:r w:rsidR="00454568" w:rsidRPr="00863134">
        <w:rPr>
          <w:rStyle w:val="FootnoteReference"/>
          <w:color w:val="000000" w:themeColor="text1"/>
        </w:rPr>
        <w:footnoteReference w:id="74"/>
      </w:r>
    </w:p>
    <w:p w14:paraId="3218CF05" w14:textId="77777777" w:rsidR="004272EE" w:rsidRDefault="004272EE" w:rsidP="00E707E2">
      <w:pPr>
        <w:pStyle w:val="statutory-body-1em"/>
        <w:spacing w:before="0" w:beforeAutospacing="0" w:after="0" w:afterAutospacing="0"/>
        <w:ind w:left="720"/>
        <w:rPr>
          <w:color w:val="000000"/>
        </w:rPr>
      </w:pPr>
    </w:p>
    <w:p w14:paraId="1D5FCE47" w14:textId="25A44029" w:rsidR="00017036" w:rsidRPr="00195FF6" w:rsidRDefault="00017036" w:rsidP="00E707E2">
      <w:pPr>
        <w:pStyle w:val="Heading3"/>
        <w:spacing w:before="0" w:beforeAutospacing="0" w:after="0" w:afterAutospacing="0"/>
        <w:rPr>
          <w:sz w:val="24"/>
          <w:szCs w:val="24"/>
        </w:rPr>
      </w:pPr>
      <w:r w:rsidRPr="00195FF6">
        <w:rPr>
          <w:sz w:val="24"/>
          <w:szCs w:val="24"/>
        </w:rPr>
        <w:t xml:space="preserve">SEC. </w:t>
      </w:r>
      <w:r w:rsidR="0038302A">
        <w:rPr>
          <w:sz w:val="24"/>
          <w:szCs w:val="24"/>
        </w:rPr>
        <w:t>10</w:t>
      </w:r>
      <w:r w:rsidRPr="00195FF6">
        <w:rPr>
          <w:color w:val="000000" w:themeColor="text1"/>
          <w:sz w:val="24"/>
          <w:szCs w:val="24"/>
        </w:rPr>
        <w:t xml:space="preserve">. </w:t>
      </w:r>
      <w:r>
        <w:rPr>
          <w:color w:val="000000" w:themeColor="text1"/>
          <w:sz w:val="24"/>
          <w:szCs w:val="24"/>
        </w:rPr>
        <w:t>RELATIONSHIP TO</w:t>
      </w:r>
      <w:r w:rsidRPr="00195FF6">
        <w:rPr>
          <w:color w:val="000000" w:themeColor="text1"/>
          <w:sz w:val="24"/>
          <w:szCs w:val="24"/>
        </w:rPr>
        <w:t xml:space="preserve"> </w:t>
      </w:r>
      <w:r w:rsidRPr="00195FF6">
        <w:rPr>
          <w:color w:val="000000"/>
          <w:sz w:val="24"/>
          <w:szCs w:val="24"/>
        </w:rPr>
        <w:t>ACT TO PREVENT POLLUTION FROM SHIPS</w:t>
      </w:r>
      <w:r>
        <w:rPr>
          <w:color w:val="000000"/>
          <w:sz w:val="24"/>
          <w:szCs w:val="24"/>
        </w:rPr>
        <w:t xml:space="preserve">; </w:t>
      </w:r>
      <w:r w:rsidRPr="00195FF6">
        <w:rPr>
          <w:color w:val="000000"/>
          <w:sz w:val="24"/>
          <w:szCs w:val="24"/>
        </w:rPr>
        <w:t>EFFECT ON OTHER LAWS</w:t>
      </w:r>
      <w:r w:rsidRPr="00195FF6">
        <w:rPr>
          <w:color w:val="000000" w:themeColor="text1"/>
          <w:sz w:val="24"/>
          <w:szCs w:val="24"/>
        </w:rPr>
        <w:t>.</w:t>
      </w:r>
    </w:p>
    <w:p w14:paraId="7F794458" w14:textId="77777777" w:rsidR="00017036" w:rsidRDefault="00017036" w:rsidP="00E707E2">
      <w:pPr>
        <w:pStyle w:val="Heading3"/>
        <w:spacing w:before="0" w:beforeAutospacing="0" w:after="0" w:afterAutospacing="0"/>
        <w:rPr>
          <w:sz w:val="24"/>
          <w:szCs w:val="24"/>
        </w:rPr>
      </w:pPr>
    </w:p>
    <w:p w14:paraId="6A3FD9E7" w14:textId="26AABB44" w:rsidR="00017036" w:rsidRDefault="00017036" w:rsidP="00E707E2">
      <w:pPr>
        <w:pStyle w:val="statutory-body-1em"/>
        <w:spacing w:before="0" w:beforeAutospacing="0" w:after="0" w:afterAutospacing="0"/>
        <w:ind w:left="720"/>
        <w:rPr>
          <w:color w:val="000000"/>
        </w:rPr>
      </w:pPr>
      <w:r>
        <w:rPr>
          <w:color w:val="000000"/>
        </w:rPr>
        <w:t xml:space="preserve">(a) </w:t>
      </w:r>
      <w:r w:rsidR="003500FA">
        <w:rPr>
          <w:color w:val="000000"/>
        </w:rPr>
        <w:t>Related act</w:t>
      </w:r>
      <w:r>
        <w:rPr>
          <w:color w:val="000000"/>
        </w:rPr>
        <w:t xml:space="preserve">. This </w:t>
      </w:r>
      <w:r w:rsidR="00DB4364">
        <w:rPr>
          <w:color w:val="000000"/>
        </w:rPr>
        <w:t>Act</w:t>
      </w:r>
      <w:r>
        <w:rPr>
          <w:color w:val="000000"/>
        </w:rPr>
        <w:t xml:space="preserve"> </w:t>
      </w:r>
      <w:r w:rsidR="00E010DC">
        <w:rPr>
          <w:color w:val="000000"/>
        </w:rPr>
        <w:t xml:space="preserve">serves to </w:t>
      </w:r>
      <w:r>
        <w:rPr>
          <w:color w:val="000000"/>
        </w:rPr>
        <w:t xml:space="preserve">supplement </w:t>
      </w:r>
      <w:r w:rsidRPr="007E022D">
        <w:rPr>
          <w:color w:val="000000"/>
        </w:rPr>
        <w:t xml:space="preserve">the Act to Prevent Pollution from Ships [33 U.S.C. 1901 et seq.] </w:t>
      </w:r>
      <w:r>
        <w:rPr>
          <w:color w:val="000000"/>
        </w:rPr>
        <w:t xml:space="preserve">and its implementation of the MARPOL Protocol. </w:t>
      </w:r>
    </w:p>
    <w:p w14:paraId="2E976F86" w14:textId="77777777" w:rsidR="00017036" w:rsidRDefault="00017036" w:rsidP="00E707E2">
      <w:pPr>
        <w:pStyle w:val="statutory-body-1em"/>
        <w:spacing w:before="0" w:beforeAutospacing="0" w:after="0" w:afterAutospacing="0"/>
        <w:ind w:left="720"/>
        <w:rPr>
          <w:color w:val="000000"/>
        </w:rPr>
      </w:pPr>
    </w:p>
    <w:p w14:paraId="029E4425" w14:textId="4C51FD45" w:rsidR="00017036" w:rsidRDefault="00017036" w:rsidP="00E707E2">
      <w:pPr>
        <w:pStyle w:val="statutory-body-1em"/>
        <w:spacing w:before="0" w:beforeAutospacing="0" w:after="0" w:afterAutospacing="0"/>
        <w:ind w:left="720"/>
        <w:rPr>
          <w:color w:val="000000"/>
        </w:rPr>
      </w:pPr>
      <w:r>
        <w:rPr>
          <w:color w:val="000000"/>
        </w:rPr>
        <w:t xml:space="preserve">(b) </w:t>
      </w:r>
      <w:r w:rsidR="00187028">
        <w:rPr>
          <w:color w:val="000000"/>
        </w:rPr>
        <w:t>The Secretary</w:t>
      </w:r>
      <w:r w:rsidR="00D2472D">
        <w:rPr>
          <w:color w:val="000000"/>
        </w:rPr>
        <w:t xml:space="preserve"> shall give due publicity of requirements under this </w:t>
      </w:r>
      <w:r w:rsidR="00DB4364">
        <w:rPr>
          <w:color w:val="000000"/>
        </w:rPr>
        <w:t>Act</w:t>
      </w:r>
      <w:r w:rsidR="00D2472D">
        <w:rPr>
          <w:color w:val="000000"/>
        </w:rPr>
        <w:t xml:space="preserve">, and shall communicate the requirements to the </w:t>
      </w:r>
      <w:r w:rsidR="00D2472D" w:rsidRPr="00745F6A">
        <w:t>International Maritime Organization</w:t>
      </w:r>
      <w:r w:rsidR="00D2472D">
        <w:t>.</w:t>
      </w:r>
      <w:r w:rsidR="00D2472D">
        <w:rPr>
          <w:rStyle w:val="FootnoteReference"/>
        </w:rPr>
        <w:footnoteReference w:id="75"/>
      </w:r>
      <w:r w:rsidR="00D2472D">
        <w:t xml:space="preserve"> </w:t>
      </w:r>
      <w:r w:rsidR="00D2472D">
        <w:lastRenderedPageBreak/>
        <w:t xml:space="preserve">Additionally, the Secretary shall seek to involve other coastal nations in adopting the </w:t>
      </w:r>
      <w:r w:rsidR="00D2472D">
        <w:rPr>
          <w:color w:val="000000"/>
        </w:rPr>
        <w:t xml:space="preserve">requirements under this </w:t>
      </w:r>
      <w:r w:rsidR="00DB4364">
        <w:rPr>
          <w:color w:val="000000"/>
        </w:rPr>
        <w:t>Act</w:t>
      </w:r>
      <w:r w:rsidR="00D2472D">
        <w:rPr>
          <w:color w:val="000000"/>
        </w:rPr>
        <w:t xml:space="preserve"> in identical form.</w:t>
      </w:r>
      <w:r w:rsidR="00D2472D">
        <w:rPr>
          <w:rStyle w:val="FootnoteReference"/>
          <w:color w:val="000000"/>
        </w:rPr>
        <w:footnoteReference w:id="76"/>
      </w:r>
    </w:p>
    <w:p w14:paraId="4EA9E124" w14:textId="77777777" w:rsidR="0038302A" w:rsidRDefault="0038302A" w:rsidP="00E707E2">
      <w:pPr>
        <w:pStyle w:val="statutory-body-1em"/>
        <w:spacing w:before="0" w:beforeAutospacing="0" w:after="0" w:afterAutospacing="0"/>
        <w:ind w:left="720"/>
        <w:rPr>
          <w:color w:val="000000"/>
        </w:rPr>
      </w:pPr>
    </w:p>
    <w:p w14:paraId="0CA8F877" w14:textId="6F19F631" w:rsidR="00017036" w:rsidRDefault="00017036" w:rsidP="00E707E2">
      <w:pPr>
        <w:pStyle w:val="statutory-body-1em"/>
        <w:spacing w:before="0" w:beforeAutospacing="0" w:after="0" w:afterAutospacing="0"/>
        <w:ind w:left="720"/>
        <w:rPr>
          <w:color w:val="000000"/>
        </w:rPr>
      </w:pPr>
      <w:r>
        <w:rPr>
          <w:color w:val="000000"/>
        </w:rPr>
        <w:t>(</w:t>
      </w:r>
      <w:r w:rsidR="0038302A">
        <w:rPr>
          <w:color w:val="000000"/>
        </w:rPr>
        <w:t>c</w:t>
      </w:r>
      <w:r>
        <w:rPr>
          <w:color w:val="000000"/>
        </w:rPr>
        <w:t xml:space="preserve">) </w:t>
      </w:r>
      <w:r w:rsidRPr="007E022D">
        <w:rPr>
          <w:color w:val="000000"/>
        </w:rPr>
        <w:t>Effect on other laws</w:t>
      </w:r>
      <w:r>
        <w:rPr>
          <w:color w:val="000000"/>
        </w:rPr>
        <w:t xml:space="preserve">. </w:t>
      </w:r>
      <w:r w:rsidRPr="007E022D">
        <w:rPr>
          <w:color w:val="000000"/>
        </w:rPr>
        <w:t xml:space="preserve">Authorities, requirements, and remedies of this </w:t>
      </w:r>
      <w:r w:rsidR="00DB4364">
        <w:rPr>
          <w:color w:val="000000"/>
        </w:rPr>
        <w:t>Act</w:t>
      </w:r>
      <w:r w:rsidRPr="007E022D">
        <w:rPr>
          <w:color w:val="000000"/>
        </w:rPr>
        <w:t xml:space="preserve"> supplement and neither amend nor repeal any other authorities, requirements, or remedies conferred by any other provision of law. Nothing in this </w:t>
      </w:r>
      <w:r w:rsidR="00DB4364">
        <w:rPr>
          <w:color w:val="000000"/>
        </w:rPr>
        <w:t>Act</w:t>
      </w:r>
      <w:r w:rsidRPr="007E022D">
        <w:rPr>
          <w:color w:val="000000"/>
        </w:rPr>
        <w:t xml:space="preserve"> shall limit, deny, amend, modify, or repeal any other authority, requirement, or remedy available to the United States or any other person, except as expressly provided in this </w:t>
      </w:r>
      <w:r w:rsidR="00DB4364">
        <w:rPr>
          <w:color w:val="000000"/>
        </w:rPr>
        <w:t>Act</w:t>
      </w:r>
      <w:r w:rsidRPr="007E022D">
        <w:rPr>
          <w:color w:val="000000"/>
        </w:rPr>
        <w:t>.</w:t>
      </w:r>
      <w:r w:rsidRPr="007E022D">
        <w:rPr>
          <w:rStyle w:val="FootnoteReference"/>
          <w:color w:val="000000" w:themeColor="text1"/>
        </w:rPr>
        <w:footnoteReference w:id="77"/>
      </w:r>
    </w:p>
    <w:p w14:paraId="52069E66" w14:textId="77777777" w:rsidR="00936992" w:rsidRDefault="00936992" w:rsidP="00E707E2">
      <w:pPr>
        <w:pStyle w:val="statutory-body-1em"/>
        <w:spacing w:before="0" w:beforeAutospacing="0" w:after="0" w:afterAutospacing="0"/>
        <w:ind w:left="720"/>
        <w:rPr>
          <w:color w:val="000000"/>
        </w:rPr>
      </w:pPr>
    </w:p>
    <w:p w14:paraId="4950A97A" w14:textId="6B60A71C" w:rsidR="00017036" w:rsidRDefault="00017036" w:rsidP="00E707E2">
      <w:pPr>
        <w:pStyle w:val="statutory-body-1em"/>
        <w:spacing w:before="0" w:beforeAutospacing="0" w:after="0" w:afterAutospacing="0"/>
        <w:ind w:left="720"/>
        <w:rPr>
          <w:color w:val="000000"/>
        </w:rPr>
      </w:pPr>
      <w:r>
        <w:rPr>
          <w:color w:val="000000"/>
        </w:rPr>
        <w:t>(</w:t>
      </w:r>
      <w:r w:rsidR="00F01218">
        <w:rPr>
          <w:color w:val="000000"/>
        </w:rPr>
        <w:t>d</w:t>
      </w:r>
      <w:r>
        <w:rPr>
          <w:color w:val="000000"/>
        </w:rPr>
        <w:t xml:space="preserve">) </w:t>
      </w:r>
      <w:r w:rsidRPr="00811D98">
        <w:rPr>
          <w:color w:val="000000"/>
        </w:rPr>
        <w:t xml:space="preserve">The Secretary may utilize by agreement, with or without reimbursement, personnel, facilities, or equipment of other Federal departments and agencies in administering this </w:t>
      </w:r>
      <w:r w:rsidR="00DB4364">
        <w:rPr>
          <w:color w:val="000000"/>
        </w:rPr>
        <w:t>Act</w:t>
      </w:r>
      <w:r w:rsidRPr="00811D98">
        <w:rPr>
          <w:color w:val="000000"/>
        </w:rPr>
        <w:t xml:space="preserve"> or the regulations under</w:t>
      </w:r>
      <w:r w:rsidR="005C739C">
        <w:rPr>
          <w:color w:val="000000"/>
        </w:rPr>
        <w:t xml:space="preserve"> this </w:t>
      </w:r>
      <w:r w:rsidR="00DB4364">
        <w:rPr>
          <w:color w:val="000000"/>
        </w:rPr>
        <w:t>Act</w:t>
      </w:r>
      <w:r w:rsidRPr="00811D98">
        <w:rPr>
          <w:color w:val="000000"/>
        </w:rPr>
        <w:t>.</w:t>
      </w:r>
      <w:r>
        <w:rPr>
          <w:rStyle w:val="FootnoteReference"/>
          <w:color w:val="000000"/>
        </w:rPr>
        <w:footnoteReference w:id="78"/>
      </w:r>
    </w:p>
    <w:p w14:paraId="3682794A" w14:textId="77777777" w:rsidR="00017036" w:rsidRDefault="00017036" w:rsidP="00017036">
      <w:pPr>
        <w:pStyle w:val="statutory-body-1em"/>
        <w:spacing w:before="0" w:beforeAutospacing="0" w:after="0" w:afterAutospacing="0"/>
        <w:rPr>
          <w:b/>
          <w:bCs/>
        </w:rPr>
      </w:pPr>
    </w:p>
    <w:p w14:paraId="70483680" w14:textId="77777777" w:rsidR="00017036" w:rsidRDefault="00017036" w:rsidP="00193A66">
      <w:pPr>
        <w:pStyle w:val="statutory-body-1em"/>
        <w:spacing w:before="0" w:beforeAutospacing="0" w:after="0" w:afterAutospacing="0"/>
        <w:ind w:left="720"/>
        <w:rPr>
          <w:color w:val="000000"/>
        </w:rPr>
      </w:pPr>
    </w:p>
    <w:p w14:paraId="6159406F" w14:textId="77777777" w:rsidR="007B00DE" w:rsidRDefault="007B00DE" w:rsidP="004265A9">
      <w:pPr>
        <w:rPr>
          <w:rFonts w:eastAsia="Times New Roman" w:cs="Times New Roman"/>
          <w:color w:val="000000"/>
        </w:rPr>
      </w:pPr>
    </w:p>
    <w:p w14:paraId="00F24E1D" w14:textId="77777777" w:rsidR="00EB7958" w:rsidRDefault="00EB7958" w:rsidP="004265A9">
      <w:pPr>
        <w:rPr>
          <w:rFonts w:eastAsia="Times New Roman" w:cs="Times New Roman"/>
          <w:color w:val="000000"/>
        </w:rPr>
      </w:pPr>
    </w:p>
    <w:p w14:paraId="4CF59217" w14:textId="77777777" w:rsidR="00EB7958" w:rsidRDefault="00EB7958" w:rsidP="004265A9">
      <w:pPr>
        <w:rPr>
          <w:rFonts w:eastAsia="Times New Roman" w:cs="Times New Roman"/>
          <w:color w:val="000000"/>
        </w:rPr>
      </w:pPr>
    </w:p>
    <w:p w14:paraId="4304C766" w14:textId="61A2857F" w:rsidR="00754E01" w:rsidRPr="00754E01" w:rsidRDefault="00754E01" w:rsidP="004265A9">
      <w:pPr>
        <w:rPr>
          <w:rFonts w:eastAsia="Times New Roman" w:cs="Times New Roman"/>
          <w:color w:val="000000"/>
        </w:rPr>
      </w:pPr>
    </w:p>
    <w:p w14:paraId="6486FAFB" w14:textId="13F3EA3B" w:rsidR="005E29C5" w:rsidRPr="004265A9" w:rsidRDefault="005E29C5" w:rsidP="004265A9">
      <w:pPr>
        <w:rPr>
          <w:rFonts w:cs="Times New Roman"/>
        </w:rPr>
      </w:pPr>
    </w:p>
    <w:p w14:paraId="1C3C6D04" w14:textId="77777777" w:rsidR="005E29C5" w:rsidRPr="004265A9" w:rsidRDefault="005E29C5" w:rsidP="004265A9">
      <w:pPr>
        <w:rPr>
          <w:rFonts w:cs="Times New Roman"/>
        </w:rPr>
      </w:pPr>
    </w:p>
    <w:sectPr w:rsidR="005E29C5" w:rsidRPr="004265A9" w:rsidSect="00335515">
      <w:footerReference w:type="even"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AC55" w14:textId="77777777" w:rsidR="00100C8B" w:rsidRDefault="00100C8B" w:rsidP="00C61374">
      <w:r>
        <w:separator/>
      </w:r>
    </w:p>
  </w:endnote>
  <w:endnote w:type="continuationSeparator" w:id="0">
    <w:p w14:paraId="75E33A18" w14:textId="77777777" w:rsidR="00100C8B" w:rsidRDefault="00100C8B" w:rsidP="00C61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82222"/>
      <w:docPartObj>
        <w:docPartGallery w:val="Page Numbers (Bottom of Page)"/>
        <w:docPartUnique/>
      </w:docPartObj>
    </w:sdtPr>
    <w:sdtEndPr>
      <w:rPr>
        <w:rStyle w:val="PageNumber"/>
      </w:rPr>
    </w:sdtEndPr>
    <w:sdtContent>
      <w:p w14:paraId="7E893186" w14:textId="11B9054C" w:rsidR="00335515" w:rsidRDefault="00335515" w:rsidP="00CD07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E8F844" w14:textId="77777777" w:rsidR="00335515" w:rsidRDefault="00335515" w:rsidP="003355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20518492"/>
      <w:docPartObj>
        <w:docPartGallery w:val="Page Numbers (Bottom of Page)"/>
        <w:docPartUnique/>
      </w:docPartObj>
    </w:sdtPr>
    <w:sdtEndPr>
      <w:rPr>
        <w:rStyle w:val="PageNumber"/>
      </w:rPr>
    </w:sdtEndPr>
    <w:sdtContent>
      <w:p w14:paraId="5477D5E9" w14:textId="0B54C195" w:rsidR="00335515" w:rsidRDefault="00335515" w:rsidP="00CD07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2438CA7" w14:textId="77777777" w:rsidR="00335515" w:rsidRDefault="00335515" w:rsidP="003355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031E7" w14:textId="77777777" w:rsidR="00100C8B" w:rsidRDefault="00100C8B" w:rsidP="00C61374">
      <w:r>
        <w:separator/>
      </w:r>
    </w:p>
  </w:footnote>
  <w:footnote w:type="continuationSeparator" w:id="0">
    <w:p w14:paraId="4697283E" w14:textId="77777777" w:rsidR="00100C8B" w:rsidRDefault="00100C8B" w:rsidP="00C61374">
      <w:r>
        <w:continuationSeparator/>
      </w:r>
    </w:p>
  </w:footnote>
  <w:footnote w:id="1">
    <w:p w14:paraId="79FF68F0" w14:textId="251B309F" w:rsidR="00B0195B" w:rsidRDefault="00B0195B">
      <w:pPr>
        <w:pStyle w:val="FootnoteText"/>
      </w:pPr>
      <w:r>
        <w:rPr>
          <w:rStyle w:val="FootnoteReference"/>
        </w:rPr>
        <w:footnoteRef/>
      </w:r>
      <w:r>
        <w:t xml:space="preserve"> Suggested placement, 33 USC § 1971.</w:t>
      </w:r>
    </w:p>
  </w:footnote>
  <w:footnote w:id="2">
    <w:p w14:paraId="0696BCAD" w14:textId="54EB5888" w:rsidR="00474EC2" w:rsidRDefault="00474EC2">
      <w:pPr>
        <w:pStyle w:val="FootnoteText"/>
      </w:pPr>
      <w:r>
        <w:rPr>
          <w:rStyle w:val="FootnoteReference"/>
        </w:rPr>
        <w:footnoteRef/>
      </w:r>
      <w:r>
        <w:t xml:space="preserve"> </w:t>
      </w:r>
      <w:r w:rsidR="00CF61ED">
        <w:rPr>
          <w:color w:val="000000" w:themeColor="text1"/>
        </w:rPr>
        <w:t>Modified from</w:t>
      </w:r>
      <w:r w:rsidR="00CF61ED">
        <w:t xml:space="preserve"> </w:t>
      </w:r>
      <w:r>
        <w:t>33 USC § 1901(a)(1).</w:t>
      </w:r>
    </w:p>
  </w:footnote>
  <w:footnote w:id="3">
    <w:p w14:paraId="595070F6" w14:textId="63B02BFA" w:rsidR="00474EC2" w:rsidRDefault="00474EC2" w:rsidP="0010387B">
      <w:pPr>
        <w:pStyle w:val="FootnoteText"/>
      </w:pPr>
      <w:r>
        <w:rPr>
          <w:rStyle w:val="FootnoteReference"/>
        </w:rPr>
        <w:footnoteRef/>
      </w:r>
      <w:r>
        <w:t xml:space="preserve"> 15 USC § 4111. </w:t>
      </w:r>
    </w:p>
  </w:footnote>
  <w:footnote w:id="4">
    <w:p w14:paraId="1D4B6A56" w14:textId="1CBFCBE7" w:rsidR="00474EC2" w:rsidRDefault="00474EC2" w:rsidP="000B1C6A">
      <w:pPr>
        <w:pStyle w:val="FootnoteText"/>
      </w:pPr>
      <w:r>
        <w:rPr>
          <w:rStyle w:val="FootnoteReference"/>
        </w:rPr>
        <w:footnoteRef/>
      </w:r>
      <w:r>
        <w:t xml:space="preserve"> </w:t>
      </w:r>
      <w:r w:rsidR="00FD6501">
        <w:t xml:space="preserve">Modified from </w:t>
      </w:r>
      <w:r>
        <w:t>42 USC § 7545(o)(1)(C)</w:t>
      </w:r>
    </w:p>
  </w:footnote>
  <w:footnote w:id="5">
    <w:p w14:paraId="14146AD0" w14:textId="516645EC" w:rsidR="00474EC2" w:rsidRDefault="00474EC2" w:rsidP="00F201A1">
      <w:pPr>
        <w:pStyle w:val="FootnoteText"/>
      </w:pPr>
      <w:r>
        <w:rPr>
          <w:rStyle w:val="FootnoteReference"/>
        </w:rPr>
        <w:footnoteRef/>
      </w:r>
      <w:r>
        <w:t xml:space="preserve"> </w:t>
      </w:r>
      <w:r w:rsidR="00FD6501">
        <w:t>Modified from</w:t>
      </w:r>
      <w:r>
        <w:t xml:space="preserve"> 33 USC § 1901(a)(5) </w:t>
      </w:r>
    </w:p>
  </w:footnote>
  <w:footnote w:id="6">
    <w:p w14:paraId="1F471A9E" w14:textId="4FE58EE8" w:rsidR="00474EC2" w:rsidRDefault="00474EC2">
      <w:pPr>
        <w:pStyle w:val="FootnoteText"/>
      </w:pPr>
      <w:r>
        <w:rPr>
          <w:rStyle w:val="FootnoteReference"/>
        </w:rPr>
        <w:footnoteRef/>
      </w:r>
      <w:r>
        <w:t xml:space="preserve"> </w:t>
      </w:r>
      <w:r w:rsidR="00724D28">
        <w:t xml:space="preserve">Modified from </w:t>
      </w:r>
      <w:r>
        <w:t>42 USC § 7545(o)(1)(G)</w:t>
      </w:r>
      <w:r w:rsidR="00724D28">
        <w:rPr>
          <w:rFonts w:cs="Times New Roman"/>
        </w:rPr>
        <w:t>.</w:t>
      </w:r>
      <w:r>
        <w:rPr>
          <w:rFonts w:cs="Times New Roman"/>
        </w:rPr>
        <w:t xml:space="preserve"> </w:t>
      </w:r>
      <w:r w:rsidR="00724D28">
        <w:rPr>
          <w:rFonts w:cs="Times New Roman"/>
        </w:rPr>
        <w:t>A</w:t>
      </w:r>
      <w:r>
        <w:rPr>
          <w:rFonts w:cs="Times New Roman"/>
        </w:rPr>
        <w:t>ddition of</w:t>
      </w:r>
      <w:r w:rsidR="009A065D">
        <w:rPr>
          <w:rFonts w:cs="Times New Roman"/>
        </w:rPr>
        <w:t xml:space="preserve"> GHG</w:t>
      </w:r>
      <w:r>
        <w:rPr>
          <w:rFonts w:cs="Times New Roman"/>
        </w:rPr>
        <w:t xml:space="preserve"> </w:t>
      </w:r>
      <w:r w:rsidRPr="00AF4A1F">
        <w:rPr>
          <w:rFonts w:cs="Times New Roman"/>
        </w:rPr>
        <w:t>nitrogen trifluoride (NF3).</w:t>
      </w:r>
    </w:p>
  </w:footnote>
  <w:footnote w:id="7">
    <w:p w14:paraId="7C20B464" w14:textId="05C79971" w:rsidR="00474EC2" w:rsidRDefault="00474EC2">
      <w:pPr>
        <w:pStyle w:val="FootnoteText"/>
      </w:pPr>
      <w:r>
        <w:rPr>
          <w:rStyle w:val="FootnoteReference"/>
        </w:rPr>
        <w:footnoteRef/>
      </w:r>
      <w:r>
        <w:t xml:space="preserve"> </w:t>
      </w:r>
      <w:r w:rsidR="00775097">
        <w:t>Id</w:t>
      </w:r>
      <w:r>
        <w:t>.</w:t>
      </w:r>
    </w:p>
  </w:footnote>
  <w:footnote w:id="8">
    <w:p w14:paraId="68F3D861" w14:textId="57F11B0E" w:rsidR="00474EC2" w:rsidRDefault="00474EC2" w:rsidP="00D03517">
      <w:pPr>
        <w:pStyle w:val="FootnoteText"/>
      </w:pPr>
      <w:r>
        <w:rPr>
          <w:rStyle w:val="FootnoteReference"/>
        </w:rPr>
        <w:footnoteRef/>
      </w:r>
      <w:r>
        <w:t xml:space="preserve"> </w:t>
      </w:r>
      <w:r w:rsidR="00724D28">
        <w:t xml:space="preserve">Modified from </w:t>
      </w:r>
      <w:r>
        <w:t xml:space="preserve">42 USC </w:t>
      </w:r>
      <w:r w:rsidR="007D1049">
        <w:t xml:space="preserve">§ </w:t>
      </w:r>
      <w:r>
        <w:t>7545(o)(1)(H)</w:t>
      </w:r>
      <w:r w:rsidR="00724D28">
        <w:t>.</w:t>
      </w:r>
      <w:r>
        <w:rPr>
          <w:rFonts w:cs="Times New Roman"/>
        </w:rPr>
        <w:t xml:space="preserve"> </w:t>
      </w:r>
      <w:r w:rsidR="00724D28">
        <w:t xml:space="preserve">Modified from </w:t>
      </w:r>
      <w:r>
        <w:t>17 CCR 95481(a)(88)</w:t>
      </w:r>
      <w:r w:rsidR="007D06CA">
        <w:t xml:space="preserve"> (California)</w:t>
      </w:r>
      <w:r w:rsidR="000A7CDC">
        <w:t>.</w:t>
      </w:r>
      <w:r>
        <w:t xml:space="preserve"> </w:t>
      </w:r>
    </w:p>
  </w:footnote>
  <w:footnote w:id="9">
    <w:p w14:paraId="5274926D" w14:textId="5A9F98AE" w:rsidR="00474EC2" w:rsidRDefault="00474EC2" w:rsidP="006E5080">
      <w:pPr>
        <w:pStyle w:val="FootnoteText"/>
      </w:pPr>
      <w:r>
        <w:rPr>
          <w:rStyle w:val="FootnoteReference"/>
        </w:rPr>
        <w:footnoteRef/>
      </w:r>
      <w:r>
        <w:t xml:space="preserve"> </w:t>
      </w:r>
      <w:r w:rsidR="00F910FA">
        <w:t>Modified</w:t>
      </w:r>
      <w:r>
        <w:t xml:space="preserve"> from 33 USC § 1901(a)(4).</w:t>
      </w:r>
    </w:p>
  </w:footnote>
  <w:footnote w:id="10">
    <w:p w14:paraId="7A9C1AEF" w14:textId="37B13CE1" w:rsidR="00474EC2" w:rsidRDefault="00474EC2" w:rsidP="00E8165D">
      <w:pPr>
        <w:pStyle w:val="FootnoteText"/>
      </w:pPr>
      <w:r>
        <w:rPr>
          <w:rStyle w:val="FootnoteReference"/>
        </w:rPr>
        <w:footnoteRef/>
      </w:r>
      <w:r>
        <w:t xml:space="preserve"> </w:t>
      </w:r>
      <w:r w:rsidR="00F910FA">
        <w:t xml:space="preserve">Modified from </w:t>
      </w:r>
      <w:r>
        <w:t>33 USC § 1901(a)(11).</w:t>
      </w:r>
    </w:p>
  </w:footnote>
  <w:footnote w:id="11">
    <w:p w14:paraId="71327B15" w14:textId="51715D70" w:rsidR="00474EC2" w:rsidRDefault="00474EC2" w:rsidP="00E8165D">
      <w:pPr>
        <w:pStyle w:val="FootnoteText"/>
      </w:pPr>
      <w:r>
        <w:rPr>
          <w:rStyle w:val="FootnoteReference"/>
        </w:rPr>
        <w:footnoteRef/>
      </w:r>
      <w:r>
        <w:t xml:space="preserve"> </w:t>
      </w:r>
      <w:r w:rsidR="00F910FA">
        <w:t xml:space="preserve">Modified from </w:t>
      </w:r>
      <w:r>
        <w:t>33 USC § 1901(a)(12)</w:t>
      </w:r>
      <w:r w:rsidR="000A7CDC">
        <w:t>.</w:t>
      </w:r>
    </w:p>
  </w:footnote>
  <w:footnote w:id="12">
    <w:p w14:paraId="20463861" w14:textId="58E09142" w:rsidR="00FC41A8" w:rsidRPr="00FC41A8" w:rsidRDefault="00FC41A8">
      <w:pPr>
        <w:pStyle w:val="FootnoteText"/>
      </w:pPr>
      <w:r>
        <w:rPr>
          <w:rStyle w:val="FootnoteReference"/>
        </w:rPr>
        <w:footnoteRef/>
      </w:r>
      <w:r>
        <w:t xml:space="preserve"> Definition adapted from </w:t>
      </w:r>
      <w:r w:rsidRPr="00B434DD">
        <w:rPr>
          <w:i/>
          <w:iCs/>
        </w:rPr>
        <w:t>IPCC Ocean and Cryosphere</w:t>
      </w:r>
      <w:r>
        <w:t xml:space="preserve"> glossary. See memorandum subsection </w:t>
      </w:r>
      <w:r w:rsidR="00F910FA">
        <w:t>3.</w:t>
      </w:r>
      <w:r w:rsidR="005D28EC">
        <w:t>3</w:t>
      </w:r>
      <w:r>
        <w:t>.</w:t>
      </w:r>
    </w:p>
  </w:footnote>
  <w:footnote w:id="13">
    <w:p w14:paraId="7401BB23" w14:textId="4665D072" w:rsidR="00474EC2" w:rsidRDefault="00474EC2" w:rsidP="002D0906">
      <w:pPr>
        <w:pStyle w:val="FootnoteText"/>
      </w:pPr>
      <w:r>
        <w:rPr>
          <w:rStyle w:val="FootnoteReference"/>
        </w:rPr>
        <w:footnoteRef/>
      </w:r>
      <w:r>
        <w:t xml:space="preserve"> </w:t>
      </w:r>
      <w:r w:rsidR="00FC41A8">
        <w:t xml:space="preserve">See memorandum subsection </w:t>
      </w:r>
      <w:r w:rsidR="008353A5">
        <w:t>3.</w:t>
      </w:r>
      <w:r w:rsidR="00116280">
        <w:t>3</w:t>
      </w:r>
      <w:r w:rsidR="00FC41A8">
        <w:t xml:space="preserve"> for identification of substances.</w:t>
      </w:r>
      <w:r w:rsidR="00F910FA">
        <w:t xml:space="preserve"> </w:t>
      </w:r>
    </w:p>
  </w:footnote>
  <w:footnote w:id="14">
    <w:p w14:paraId="6DAEEDB9" w14:textId="4663DC4B" w:rsidR="00474EC2" w:rsidRDefault="00474EC2" w:rsidP="006B0B07">
      <w:pPr>
        <w:pStyle w:val="FootnoteText"/>
      </w:pPr>
      <w:r>
        <w:rPr>
          <w:rStyle w:val="FootnoteReference"/>
        </w:rPr>
        <w:footnoteRef/>
      </w:r>
      <w:r>
        <w:t xml:space="preserve"> </w:t>
      </w:r>
      <w:r w:rsidR="00724D28">
        <w:t xml:space="preserve">Modified from </w:t>
      </w:r>
      <w:r>
        <w:t>42 USC § 7545(o)(1)(G).</w:t>
      </w:r>
    </w:p>
  </w:footnote>
  <w:footnote w:id="15">
    <w:p w14:paraId="322D0039" w14:textId="70915013" w:rsidR="00474EC2" w:rsidRPr="00055601" w:rsidRDefault="00474EC2">
      <w:pPr>
        <w:pStyle w:val="FootnoteText"/>
      </w:pPr>
      <w:r>
        <w:rPr>
          <w:rStyle w:val="FootnoteReference"/>
        </w:rPr>
        <w:footnoteRef/>
      </w:r>
      <w:r w:rsidR="00AC5AF6">
        <w:t xml:space="preserve"> Modified from 33 USC § 1902(a)(5).</w:t>
      </w:r>
    </w:p>
  </w:footnote>
  <w:footnote w:id="16">
    <w:p w14:paraId="4129EE90" w14:textId="323C7DC6" w:rsidR="00474EC2" w:rsidRDefault="00474EC2" w:rsidP="008E2901">
      <w:pPr>
        <w:pStyle w:val="FootnoteText"/>
      </w:pPr>
      <w:r>
        <w:rPr>
          <w:rStyle w:val="FootnoteReference"/>
        </w:rPr>
        <w:footnoteRef/>
      </w:r>
      <w:r>
        <w:t xml:space="preserve"> </w:t>
      </w:r>
      <w:r w:rsidR="00FD6501">
        <w:t xml:space="preserve">Modified from </w:t>
      </w:r>
      <w:r>
        <w:t xml:space="preserve">46 USC </w:t>
      </w:r>
      <w:r w:rsidR="007D1049">
        <w:t xml:space="preserve">§ </w:t>
      </w:r>
      <w:r>
        <w:t xml:space="preserve">70021. </w:t>
      </w:r>
    </w:p>
  </w:footnote>
  <w:footnote w:id="17">
    <w:p w14:paraId="00B1EAF9" w14:textId="38CAAF96" w:rsidR="00474EC2" w:rsidRDefault="00474EC2" w:rsidP="008E2901">
      <w:pPr>
        <w:pStyle w:val="FootnoteText"/>
      </w:pPr>
      <w:r>
        <w:rPr>
          <w:rStyle w:val="FootnoteReference"/>
        </w:rPr>
        <w:footnoteRef/>
      </w:r>
      <w:r>
        <w:t xml:space="preserve"> The language “</w:t>
      </w:r>
      <w:r w:rsidRPr="000202EA">
        <w:t>within a 1-year time period</w:t>
      </w:r>
      <w:r>
        <w:t xml:space="preserve">” </w:t>
      </w:r>
      <w:r w:rsidR="00C26F7D">
        <w:t>is to reflect</w:t>
      </w:r>
      <w:r>
        <w:t xml:space="preserve"> </w:t>
      </w:r>
      <w:r w:rsidR="00FD6501">
        <w:t xml:space="preserve">LPDD low </w:t>
      </w:r>
      <w:r w:rsidR="00483355">
        <w:t>climate impact</w:t>
      </w:r>
      <w:r w:rsidR="00FD6501">
        <w:t xml:space="preserve"> fuel </w:t>
      </w:r>
      <w:r>
        <w:t xml:space="preserve">recommendation. See </w:t>
      </w:r>
      <w:r w:rsidR="00FD6501">
        <w:t>memorandum subsection 1.0</w:t>
      </w:r>
      <w:r>
        <w:t>.</w:t>
      </w:r>
    </w:p>
  </w:footnote>
  <w:footnote w:id="18">
    <w:p w14:paraId="44901212" w14:textId="2E54529E" w:rsidR="00474EC2" w:rsidRDefault="00474EC2" w:rsidP="008E2901">
      <w:pPr>
        <w:pStyle w:val="FootnoteText"/>
      </w:pPr>
      <w:r>
        <w:rPr>
          <w:rStyle w:val="FootnoteReference"/>
        </w:rPr>
        <w:footnoteRef/>
      </w:r>
      <w:r w:rsidR="00F74A70">
        <w:t xml:space="preserve"> </w:t>
      </w:r>
      <w:r w:rsidR="00FD6501">
        <w:t xml:space="preserve">Modified from </w:t>
      </w:r>
      <w:r>
        <w:t>46 USC 70021.</w:t>
      </w:r>
    </w:p>
  </w:footnote>
  <w:footnote w:id="19">
    <w:p w14:paraId="66121E8B" w14:textId="52BED858" w:rsidR="00474EC2" w:rsidRDefault="00474EC2" w:rsidP="008E2901">
      <w:pPr>
        <w:pStyle w:val="FootnoteText"/>
      </w:pPr>
      <w:r>
        <w:rPr>
          <w:rStyle w:val="FootnoteReference"/>
        </w:rPr>
        <w:footnoteRef/>
      </w:r>
      <w:r>
        <w:t xml:space="preserve"> </w:t>
      </w:r>
      <w:r w:rsidR="00FD6501">
        <w:t>The language “</w:t>
      </w:r>
      <w:r w:rsidR="00FD6501" w:rsidRPr="000202EA">
        <w:t>within a 1-year time period</w:t>
      </w:r>
      <w:r w:rsidR="00FD6501">
        <w:t xml:space="preserve">” is </w:t>
      </w:r>
      <w:r w:rsidR="00C26F7D">
        <w:t xml:space="preserve">to reflect </w:t>
      </w:r>
      <w:r w:rsidR="00FD6501">
        <w:t xml:space="preserve">LPDD low </w:t>
      </w:r>
      <w:r w:rsidR="002D000B">
        <w:t>climate impact fuel</w:t>
      </w:r>
      <w:r w:rsidR="00FD6501">
        <w:t xml:space="preserve"> recommendation.</w:t>
      </w:r>
    </w:p>
  </w:footnote>
  <w:footnote w:id="20">
    <w:p w14:paraId="7BD31FF8" w14:textId="4D6A416A" w:rsidR="00235706" w:rsidRPr="00E15503" w:rsidRDefault="00235706" w:rsidP="00235706">
      <w:pPr>
        <w:pStyle w:val="FootnoteText"/>
        <w:rPr>
          <w:color w:val="000000" w:themeColor="text1"/>
        </w:rPr>
      </w:pPr>
      <w:r w:rsidRPr="00E15503">
        <w:rPr>
          <w:rStyle w:val="FootnoteReference"/>
          <w:color w:val="000000" w:themeColor="text1"/>
        </w:rPr>
        <w:footnoteRef/>
      </w:r>
      <w:r w:rsidRPr="00E15503">
        <w:rPr>
          <w:color w:val="000000" w:themeColor="text1"/>
        </w:rPr>
        <w:t xml:space="preserve"> </w:t>
      </w:r>
      <w:r w:rsidR="00FD6501">
        <w:rPr>
          <w:color w:val="000000" w:themeColor="text1"/>
        </w:rPr>
        <w:t xml:space="preserve">Modified from MARPOL Annex I </w:t>
      </w:r>
      <w:r w:rsidR="00C462A1">
        <w:rPr>
          <w:color w:val="000000" w:themeColor="text1"/>
        </w:rPr>
        <w:t>r</w:t>
      </w:r>
      <w:r w:rsidR="00FD6501">
        <w:rPr>
          <w:color w:val="000000" w:themeColor="text1"/>
        </w:rPr>
        <w:t>egulation 43A.1</w:t>
      </w:r>
      <w:r w:rsidR="00C26F7D">
        <w:rPr>
          <w:color w:val="000000" w:themeColor="text1"/>
        </w:rPr>
        <w:t>.</w:t>
      </w:r>
      <w:r w:rsidR="00FD6501">
        <w:rPr>
          <w:color w:val="000000" w:themeColor="text1"/>
        </w:rPr>
        <w:t xml:space="preserve"> </w:t>
      </w:r>
    </w:p>
  </w:footnote>
  <w:footnote w:id="21">
    <w:p w14:paraId="15A0B7FD" w14:textId="0E7A6FCC" w:rsidR="00474EC2" w:rsidRDefault="00474EC2">
      <w:pPr>
        <w:pStyle w:val="FootnoteText"/>
      </w:pPr>
      <w:r>
        <w:rPr>
          <w:rStyle w:val="FootnoteReference"/>
        </w:rPr>
        <w:footnoteRef/>
      </w:r>
      <w:r>
        <w:t xml:space="preserve"> </w:t>
      </w:r>
      <w:r w:rsidR="00C26F7D">
        <w:rPr>
          <w:color w:val="000000" w:themeColor="text1"/>
        </w:rPr>
        <w:t xml:space="preserve">Modified from </w:t>
      </w:r>
      <w:r w:rsidR="00235706" w:rsidRPr="00225460">
        <w:t>UNCLOS art</w:t>
      </w:r>
      <w:r w:rsidR="00235706">
        <w:t xml:space="preserve"> 18(2).</w:t>
      </w:r>
    </w:p>
  </w:footnote>
  <w:footnote w:id="22">
    <w:p w14:paraId="680B77BA" w14:textId="2E355019" w:rsidR="006D0AEB" w:rsidRDefault="006D0AEB" w:rsidP="006D0AEB">
      <w:pPr>
        <w:pStyle w:val="FootnoteText"/>
      </w:pPr>
      <w:r>
        <w:rPr>
          <w:rStyle w:val="FootnoteReference"/>
        </w:rPr>
        <w:footnoteRef/>
      </w:r>
      <w:r w:rsidR="00DC2581">
        <w:t xml:space="preserve"> The deadline</w:t>
      </w:r>
      <w:r w:rsidR="00F74A70">
        <w:t xml:space="preserve"> </w:t>
      </w:r>
      <w:r w:rsidR="00DC2581">
        <w:t xml:space="preserve">precedes the </w:t>
      </w:r>
      <w:r w:rsidR="00DC2581">
        <w:rPr>
          <w:color w:val="000000" w:themeColor="text1"/>
        </w:rPr>
        <w:t>MARPOL Annex I</w:t>
      </w:r>
      <w:r w:rsidR="00DC2581">
        <w:t xml:space="preserve"> </w:t>
      </w:r>
      <w:r w:rsidR="00DC2581">
        <w:rPr>
          <w:color w:val="000000" w:themeColor="text1"/>
        </w:rPr>
        <w:t>r</w:t>
      </w:r>
      <w:r w:rsidR="00DC2581" w:rsidRPr="00E15503">
        <w:rPr>
          <w:color w:val="000000" w:themeColor="text1"/>
        </w:rPr>
        <w:t>egulation 43A</w:t>
      </w:r>
      <w:r w:rsidR="00DC2581">
        <w:t xml:space="preserve"> date by </w:t>
      </w:r>
      <w:r w:rsidR="009B28E8">
        <w:t>18 months</w:t>
      </w:r>
      <w:r w:rsidR="00DC2581">
        <w:t xml:space="preserve">. Id </w:t>
      </w:r>
      <w:r w:rsidR="00DC2581">
        <w:rPr>
          <w:color w:val="000000" w:themeColor="text1"/>
        </w:rPr>
        <w:t>r</w:t>
      </w:r>
      <w:r w:rsidR="00DC2581" w:rsidRPr="00E15503">
        <w:rPr>
          <w:color w:val="000000" w:themeColor="text1"/>
        </w:rPr>
        <w:t>egulation 43A</w:t>
      </w:r>
      <w:r w:rsidR="00DC2581">
        <w:rPr>
          <w:color w:val="000000" w:themeColor="text1"/>
        </w:rPr>
        <w:t>.1.</w:t>
      </w:r>
      <w:r w:rsidR="00DC2581">
        <w:t xml:space="preserve"> See memorandum subsections 4.3.2 and 7.4.</w:t>
      </w:r>
    </w:p>
  </w:footnote>
  <w:footnote w:id="23">
    <w:p w14:paraId="1AFCFD07" w14:textId="53F0C08F" w:rsidR="006D0AEB" w:rsidRDefault="006D0AEB" w:rsidP="006D0AEB">
      <w:pPr>
        <w:pStyle w:val="FootnoteText"/>
      </w:pPr>
      <w:r>
        <w:rPr>
          <w:rStyle w:val="FootnoteReference"/>
        </w:rPr>
        <w:footnoteRef/>
      </w:r>
      <w:r>
        <w:t xml:space="preserve"> </w:t>
      </w:r>
      <w:r w:rsidR="00EC1BA1">
        <w:rPr>
          <w:color w:val="000000" w:themeColor="text1"/>
        </w:rPr>
        <w:t xml:space="preserve">Modified from </w:t>
      </w:r>
      <w:r>
        <w:t xml:space="preserve">Annex I </w:t>
      </w:r>
      <w:r w:rsidR="00C462A1">
        <w:t>r</w:t>
      </w:r>
      <w:r>
        <w:t>egulation 43A</w:t>
      </w:r>
      <w:r w:rsidR="00EC1BA1">
        <w:t>.1.</w:t>
      </w:r>
      <w:r w:rsidR="00D240DE">
        <w:t xml:space="preserve"> This provision could be expanded by Congress to prohibit all </w:t>
      </w:r>
      <w:r w:rsidR="00D240DE" w:rsidRPr="00B67689">
        <w:rPr>
          <w:color w:val="000000" w:themeColor="text1"/>
          <w:shd w:val="clear" w:color="auto" w:fill="FFFFFF"/>
        </w:rPr>
        <w:t xml:space="preserve">carriage of HFO </w:t>
      </w:r>
      <w:r w:rsidR="00D240DE">
        <w:rPr>
          <w:color w:val="000000" w:themeColor="text1"/>
          <w:shd w:val="clear" w:color="auto" w:fill="FFFFFF"/>
        </w:rPr>
        <w:t xml:space="preserve">(e.g., oil tankers). Such a prohibition would be consistent with the </w:t>
      </w:r>
      <w:r w:rsidR="00D240DE">
        <w:t xml:space="preserve">prohibition of </w:t>
      </w:r>
      <w:r w:rsidR="00D240DE" w:rsidRPr="00B67689">
        <w:rPr>
          <w:color w:val="000000" w:themeColor="text1"/>
          <w:shd w:val="clear" w:color="auto" w:fill="FFFFFF"/>
        </w:rPr>
        <w:t>carriage of HFO</w:t>
      </w:r>
      <w:r w:rsidR="00D240DE">
        <w:rPr>
          <w:color w:val="000000" w:themeColor="text1"/>
          <w:shd w:val="clear" w:color="auto" w:fill="FFFFFF"/>
        </w:rPr>
        <w:t xml:space="preserve"> in the Antarctic. </w:t>
      </w:r>
      <w:r w:rsidR="00D240DE" w:rsidRPr="002E70CF">
        <w:t>See memorandum</w:t>
      </w:r>
      <w:r w:rsidR="00D240DE">
        <w:t xml:space="preserve"> subsection 4.3.2</w:t>
      </w:r>
      <w:r w:rsidR="00173453">
        <w:t xml:space="preserve"> and note 166</w:t>
      </w:r>
      <w:r w:rsidR="00D240DE">
        <w:t>.</w:t>
      </w:r>
    </w:p>
  </w:footnote>
  <w:footnote w:id="24">
    <w:p w14:paraId="7410ED74" w14:textId="717550BB" w:rsidR="002D606A" w:rsidRDefault="002D606A">
      <w:pPr>
        <w:pStyle w:val="FootnoteText"/>
      </w:pPr>
      <w:r>
        <w:rPr>
          <w:rStyle w:val="FootnoteReference"/>
        </w:rPr>
        <w:footnoteRef/>
      </w:r>
      <w:r w:rsidR="005B4DE4">
        <w:rPr>
          <w:color w:val="000000" w:themeColor="text1"/>
        </w:rPr>
        <w:t xml:space="preserve"> Modified from </w:t>
      </w:r>
      <w:r w:rsidR="005B4DE4">
        <w:t>Annex I regulation 43A.1.</w:t>
      </w:r>
    </w:p>
  </w:footnote>
  <w:footnote w:id="25">
    <w:p w14:paraId="178FD37A" w14:textId="317C5489" w:rsidR="00474EC2" w:rsidRDefault="00474EC2" w:rsidP="00870D6D">
      <w:pPr>
        <w:pStyle w:val="FootnoteText"/>
      </w:pPr>
      <w:r>
        <w:rPr>
          <w:rStyle w:val="FootnoteReference"/>
        </w:rPr>
        <w:footnoteRef/>
      </w:r>
      <w:r>
        <w:t xml:space="preserve"> </w:t>
      </w:r>
      <w:r w:rsidR="0018670C">
        <w:rPr>
          <w:color w:val="000000" w:themeColor="text1"/>
        </w:rPr>
        <w:t xml:space="preserve">Modified from </w:t>
      </w:r>
      <w:r>
        <w:t>42 USC 7545(o)(1)(B)(i)</w:t>
      </w:r>
      <w:r w:rsidR="0018670C">
        <w:t>.</w:t>
      </w:r>
    </w:p>
  </w:footnote>
  <w:footnote w:id="26">
    <w:p w14:paraId="03B0B4DC" w14:textId="2C527AB4" w:rsidR="00474EC2" w:rsidRDefault="00474EC2" w:rsidP="00870D6D">
      <w:pPr>
        <w:pStyle w:val="FootnoteText"/>
      </w:pPr>
      <w:r>
        <w:rPr>
          <w:rStyle w:val="FootnoteReference"/>
        </w:rPr>
        <w:footnoteRef/>
      </w:r>
      <w:r>
        <w:t xml:space="preserve"> </w:t>
      </w:r>
      <w:r w:rsidR="00D41391">
        <w:rPr>
          <w:color w:val="000000" w:themeColor="text1"/>
        </w:rPr>
        <w:t xml:space="preserve">Modified from </w:t>
      </w:r>
      <w:r>
        <w:t>42 USC 7545(o)(1)(B)(i)</w:t>
      </w:r>
      <w:r w:rsidR="00C432A8">
        <w:t>.</w:t>
      </w:r>
    </w:p>
  </w:footnote>
  <w:footnote w:id="27">
    <w:p w14:paraId="2D16FE9D" w14:textId="082BCD5D" w:rsidR="00474EC2" w:rsidRDefault="00474EC2" w:rsidP="00870D6D">
      <w:pPr>
        <w:pStyle w:val="FootnoteText"/>
      </w:pPr>
      <w:r>
        <w:rPr>
          <w:rStyle w:val="FootnoteReference"/>
        </w:rPr>
        <w:footnoteRef/>
      </w:r>
      <w:r>
        <w:t xml:space="preserve"> </w:t>
      </w:r>
      <w:r w:rsidR="00775097">
        <w:rPr>
          <w:color w:val="000000" w:themeColor="text1"/>
        </w:rPr>
        <w:t>Id</w:t>
      </w:r>
      <w:r w:rsidR="00C432A8">
        <w:t>.</w:t>
      </w:r>
    </w:p>
  </w:footnote>
  <w:footnote w:id="28">
    <w:p w14:paraId="30788550" w14:textId="4E773DD8" w:rsidR="00962FAA" w:rsidRDefault="00962FAA" w:rsidP="00962FAA">
      <w:pPr>
        <w:pStyle w:val="FootnoteText"/>
      </w:pPr>
      <w:r>
        <w:rPr>
          <w:rStyle w:val="FootnoteReference"/>
        </w:rPr>
        <w:footnoteRef/>
      </w:r>
      <w:r>
        <w:t xml:space="preserve"> </w:t>
      </w:r>
      <w:r w:rsidR="00775097">
        <w:rPr>
          <w:color w:val="000000" w:themeColor="text1"/>
        </w:rPr>
        <w:t>Id</w:t>
      </w:r>
      <w:r w:rsidR="00C432A8" w:rsidRPr="00055601">
        <w:t>.</w:t>
      </w:r>
      <w:r w:rsidR="00302CC8">
        <w:t xml:space="preserve"> See also memorandum</w:t>
      </w:r>
      <w:r w:rsidR="00287312">
        <w:t xml:space="preserve"> subsection 3.3 note 51 pertaining to U.S. net-zero emissions by 2050 pledge, and </w:t>
      </w:r>
      <w:r w:rsidR="00302CC8">
        <w:t xml:space="preserve">subsection </w:t>
      </w:r>
      <w:r w:rsidR="00BB4BAD">
        <w:t>3.7</w:t>
      </w:r>
      <w:r w:rsidR="00302CC8">
        <w:t xml:space="preserve">.2 note </w:t>
      </w:r>
      <w:r w:rsidR="00BB4BAD">
        <w:t>99</w:t>
      </w:r>
      <w:r w:rsidR="00302CC8">
        <w:t xml:space="preserve"> pertaining to </w:t>
      </w:r>
      <w:r w:rsidR="00BB4BAD">
        <w:t xml:space="preserve">future </w:t>
      </w:r>
      <w:r w:rsidR="00302CC8">
        <w:t xml:space="preserve">U.S. </w:t>
      </w:r>
      <w:r w:rsidR="00BB4BAD">
        <w:t xml:space="preserve">effort for shipping </w:t>
      </w:r>
      <w:r w:rsidR="00302CC8">
        <w:rPr>
          <w:color w:val="000000" w:themeColor="text1"/>
        </w:rPr>
        <w:t>net-zero emissions by 2050.</w:t>
      </w:r>
    </w:p>
  </w:footnote>
  <w:footnote w:id="29">
    <w:p w14:paraId="51F40B2C" w14:textId="420E4EB0" w:rsidR="00474EC2" w:rsidRDefault="00474EC2" w:rsidP="00870D6D">
      <w:pPr>
        <w:pStyle w:val="FootnoteText"/>
      </w:pPr>
      <w:r>
        <w:rPr>
          <w:rStyle w:val="FootnoteReference"/>
        </w:rPr>
        <w:footnoteRef/>
      </w:r>
      <w:r>
        <w:t xml:space="preserve"> </w:t>
      </w:r>
      <w:r w:rsidR="005568A9">
        <w:rPr>
          <w:color w:val="000000" w:themeColor="text1"/>
        </w:rPr>
        <w:t xml:space="preserve">Modified from </w:t>
      </w:r>
      <w:r>
        <w:t>42 USC 7545(o)(1)(B)(ii).</w:t>
      </w:r>
    </w:p>
  </w:footnote>
  <w:footnote w:id="30">
    <w:p w14:paraId="1A5D7852" w14:textId="29DDEDE4" w:rsidR="00474EC2" w:rsidRDefault="00474EC2" w:rsidP="00870D6D">
      <w:pPr>
        <w:pStyle w:val="FootnoteText"/>
      </w:pPr>
      <w:r>
        <w:rPr>
          <w:rStyle w:val="FootnoteReference"/>
        </w:rPr>
        <w:footnoteRef/>
      </w:r>
      <w:r>
        <w:t xml:space="preserve"> </w:t>
      </w:r>
      <w:r w:rsidR="00287312">
        <w:rPr>
          <w:color w:val="000000" w:themeColor="text1"/>
        </w:rPr>
        <w:t>Id.</w:t>
      </w:r>
    </w:p>
  </w:footnote>
  <w:footnote w:id="31">
    <w:p w14:paraId="6126D1BF" w14:textId="6276BAFB" w:rsidR="00602DF2" w:rsidRDefault="00602DF2">
      <w:pPr>
        <w:pStyle w:val="FootnoteText"/>
      </w:pPr>
      <w:r>
        <w:rPr>
          <w:rStyle w:val="FootnoteReference"/>
        </w:rPr>
        <w:footnoteRef/>
      </w:r>
      <w:r>
        <w:t xml:space="preserve"> </w:t>
      </w:r>
      <w:r>
        <w:rPr>
          <w:color w:val="000000" w:themeColor="text1"/>
        </w:rPr>
        <w:t xml:space="preserve">Modified from </w:t>
      </w:r>
      <w:r>
        <w:t xml:space="preserve">42 USC § </w:t>
      </w:r>
      <w:r w:rsidRPr="00971D94">
        <w:t>7</w:t>
      </w:r>
      <w:r>
        <w:t>543</w:t>
      </w:r>
      <w:r w:rsidRPr="00971D94">
        <w:t>(</w:t>
      </w:r>
      <w:r>
        <w:t>b</w:t>
      </w:r>
      <w:r w:rsidRPr="00971D94">
        <w:t>)(</w:t>
      </w:r>
      <w:r>
        <w:t>2</w:t>
      </w:r>
      <w:r w:rsidRPr="00971D94">
        <w:t>)</w:t>
      </w:r>
      <w:r>
        <w:t>.</w:t>
      </w:r>
    </w:p>
  </w:footnote>
  <w:footnote w:id="32">
    <w:p w14:paraId="690F407B" w14:textId="5175F9C0" w:rsidR="00474EC2" w:rsidRDefault="00474EC2" w:rsidP="00A92E11">
      <w:pPr>
        <w:pStyle w:val="FootnoteText"/>
      </w:pPr>
      <w:r>
        <w:rPr>
          <w:rStyle w:val="FootnoteReference"/>
        </w:rPr>
        <w:footnoteRef/>
      </w:r>
      <w:r>
        <w:t xml:space="preserve"> </w:t>
      </w:r>
      <w:r w:rsidR="00225532">
        <w:rPr>
          <w:color w:val="000000" w:themeColor="text1"/>
        </w:rPr>
        <w:t xml:space="preserve">Modified from </w:t>
      </w:r>
      <w:r>
        <w:t>42 USC 7545(o)(5)</w:t>
      </w:r>
      <w:r w:rsidR="00C432A8">
        <w:t>.</w:t>
      </w:r>
    </w:p>
  </w:footnote>
  <w:footnote w:id="33">
    <w:p w14:paraId="33D5646F" w14:textId="5032A522" w:rsidR="00474EC2" w:rsidRDefault="00474EC2" w:rsidP="00037789">
      <w:pPr>
        <w:pStyle w:val="FootnoteText"/>
      </w:pPr>
      <w:r>
        <w:rPr>
          <w:rStyle w:val="FootnoteReference"/>
        </w:rPr>
        <w:footnoteRef/>
      </w:r>
      <w:r>
        <w:t xml:space="preserve"> </w:t>
      </w:r>
      <w:r w:rsidR="00225532">
        <w:rPr>
          <w:color w:val="000000" w:themeColor="text1"/>
        </w:rPr>
        <w:t xml:space="preserve">Modified from </w:t>
      </w:r>
      <w:r>
        <w:t>42 USC 7545(o)(5)(A)(ii).</w:t>
      </w:r>
    </w:p>
  </w:footnote>
  <w:footnote w:id="34">
    <w:p w14:paraId="7AFDEFDF" w14:textId="721FF314" w:rsidR="00474EC2" w:rsidRDefault="00474EC2" w:rsidP="00FF6731">
      <w:pPr>
        <w:pStyle w:val="FootnoteText"/>
      </w:pPr>
      <w:r>
        <w:rPr>
          <w:rStyle w:val="FootnoteReference"/>
        </w:rPr>
        <w:footnoteRef/>
      </w:r>
      <w:r>
        <w:t xml:space="preserve"> </w:t>
      </w:r>
      <w:r w:rsidR="00225532">
        <w:rPr>
          <w:color w:val="000000" w:themeColor="text1"/>
        </w:rPr>
        <w:t xml:space="preserve">Modified from </w:t>
      </w:r>
      <w:r>
        <w:t>42 USC 7545(o)(5)(B).</w:t>
      </w:r>
    </w:p>
  </w:footnote>
  <w:footnote w:id="35">
    <w:p w14:paraId="2CC33DF5" w14:textId="6FC56EDE" w:rsidR="00474EC2" w:rsidRDefault="00474EC2" w:rsidP="00FF6731">
      <w:pPr>
        <w:pStyle w:val="FootnoteText"/>
      </w:pPr>
      <w:r>
        <w:rPr>
          <w:rStyle w:val="FootnoteReference"/>
        </w:rPr>
        <w:footnoteRef/>
      </w:r>
      <w:r>
        <w:t xml:space="preserve"> </w:t>
      </w:r>
      <w:r w:rsidR="00D045AA">
        <w:rPr>
          <w:color w:val="000000" w:themeColor="text1"/>
        </w:rPr>
        <w:t xml:space="preserve">Modified from </w:t>
      </w:r>
      <w:r>
        <w:t>42 USC 7545(o)(5)(C).</w:t>
      </w:r>
    </w:p>
  </w:footnote>
  <w:footnote w:id="36">
    <w:p w14:paraId="5768762D" w14:textId="043B2F77" w:rsidR="00474EC2" w:rsidRDefault="00474EC2" w:rsidP="008626AC">
      <w:pPr>
        <w:pStyle w:val="FootnoteText"/>
      </w:pPr>
      <w:r>
        <w:rPr>
          <w:rStyle w:val="FootnoteReference"/>
        </w:rPr>
        <w:footnoteRef/>
      </w:r>
      <w:r>
        <w:t xml:space="preserve"> </w:t>
      </w:r>
      <w:r w:rsidR="00D045AA">
        <w:rPr>
          <w:color w:val="000000" w:themeColor="text1"/>
        </w:rPr>
        <w:t xml:space="preserve">Modified from </w:t>
      </w:r>
      <w:r>
        <w:t xml:space="preserve">33 USC </w:t>
      </w:r>
      <w:r w:rsidRPr="006A7DF5">
        <w:t>§</w:t>
      </w:r>
      <w:r>
        <w:t xml:space="preserve"> </w:t>
      </w:r>
      <w:r w:rsidRPr="006A7DF5">
        <w:t>1903</w:t>
      </w:r>
      <w:r>
        <w:t>(c).</w:t>
      </w:r>
    </w:p>
  </w:footnote>
  <w:footnote w:id="37">
    <w:p w14:paraId="3C4B9159" w14:textId="5838D717" w:rsidR="00474EC2" w:rsidRDefault="00474EC2" w:rsidP="008C3A7F">
      <w:pPr>
        <w:pStyle w:val="FootnoteText"/>
      </w:pPr>
      <w:r>
        <w:rPr>
          <w:rStyle w:val="FootnoteReference"/>
        </w:rPr>
        <w:footnoteRef/>
      </w:r>
      <w:r>
        <w:t xml:space="preserve"> </w:t>
      </w:r>
      <w:r w:rsidR="00D045AA">
        <w:rPr>
          <w:color w:val="000000" w:themeColor="text1"/>
        </w:rPr>
        <w:t xml:space="preserve">Modified from </w:t>
      </w:r>
      <w:r>
        <w:t xml:space="preserve">33 USC </w:t>
      </w:r>
      <w:r w:rsidRPr="006A7DF5">
        <w:t>§</w:t>
      </w:r>
      <w:r w:rsidR="001205BC">
        <w:t xml:space="preserve"> </w:t>
      </w:r>
      <w:r w:rsidRPr="006A7DF5">
        <w:t>1903</w:t>
      </w:r>
      <w:r>
        <w:t>(a).</w:t>
      </w:r>
    </w:p>
  </w:footnote>
  <w:footnote w:id="38">
    <w:p w14:paraId="240DB5B5" w14:textId="17A062C7" w:rsidR="00474EC2" w:rsidRDefault="00474EC2" w:rsidP="008C3A7F">
      <w:pPr>
        <w:pStyle w:val="FootnoteText"/>
      </w:pPr>
      <w:r>
        <w:rPr>
          <w:rStyle w:val="FootnoteReference"/>
        </w:rPr>
        <w:footnoteRef/>
      </w:r>
      <w:r>
        <w:t xml:space="preserve"> </w:t>
      </w:r>
      <w:r w:rsidR="00D045AA">
        <w:rPr>
          <w:color w:val="000000" w:themeColor="text1"/>
        </w:rPr>
        <w:t xml:space="preserve">Modified from </w:t>
      </w:r>
      <w:r>
        <w:t xml:space="preserve">33 USC </w:t>
      </w:r>
      <w:r w:rsidRPr="006A7DF5">
        <w:t>§</w:t>
      </w:r>
      <w:r w:rsidR="001205BC">
        <w:t xml:space="preserve"> </w:t>
      </w:r>
      <w:r w:rsidRPr="006A7DF5">
        <w:t>1903</w:t>
      </w:r>
      <w:r>
        <w:t>(c)(1).</w:t>
      </w:r>
    </w:p>
  </w:footnote>
  <w:footnote w:id="39">
    <w:p w14:paraId="51602819" w14:textId="43356E64" w:rsidR="00474EC2" w:rsidRDefault="00474EC2" w:rsidP="008C3A7F">
      <w:pPr>
        <w:pStyle w:val="FootnoteText"/>
      </w:pPr>
      <w:r>
        <w:rPr>
          <w:rStyle w:val="FootnoteReference"/>
        </w:rPr>
        <w:footnoteRef/>
      </w:r>
      <w:r w:rsidR="00B057E5">
        <w:t xml:space="preserve"> Id</w:t>
      </w:r>
      <w:r>
        <w:t>.</w:t>
      </w:r>
    </w:p>
  </w:footnote>
  <w:footnote w:id="40">
    <w:p w14:paraId="314CF194" w14:textId="33B7676E" w:rsidR="00526693" w:rsidRPr="008D3A45" w:rsidRDefault="00526693" w:rsidP="00526693">
      <w:pPr>
        <w:pStyle w:val="FootnoteText"/>
        <w:rPr>
          <w:color w:val="000000" w:themeColor="text1"/>
        </w:rPr>
      </w:pPr>
      <w:r>
        <w:rPr>
          <w:rStyle w:val="FootnoteReference"/>
        </w:rPr>
        <w:footnoteRef/>
      </w:r>
      <w:r>
        <w:t xml:space="preserve"> </w:t>
      </w:r>
      <w:r w:rsidR="005D283F" w:rsidRPr="005D283F">
        <w:t>Modified from 33 USC § 1903(a).</w:t>
      </w:r>
      <w:r w:rsidR="005D283F">
        <w:t xml:space="preserve"> </w:t>
      </w:r>
      <w:r>
        <w:t>See memorandum subsection 4.3.2 note 1</w:t>
      </w:r>
      <w:r w:rsidR="00C504FD">
        <w:t>6</w:t>
      </w:r>
      <w:r>
        <w:t xml:space="preserve">6 and subsection 7.4 pertaining to </w:t>
      </w:r>
      <w:r w:rsidRPr="00B67689">
        <w:rPr>
          <w:color w:val="000000" w:themeColor="text1"/>
        </w:rPr>
        <w:t>Annex I and seagoing ships</w:t>
      </w:r>
      <w:r>
        <w:t>.</w:t>
      </w:r>
    </w:p>
  </w:footnote>
  <w:footnote w:id="41">
    <w:p w14:paraId="46CEA40C" w14:textId="77777777" w:rsidR="00FC29F0" w:rsidRDefault="00FC29F0" w:rsidP="00FC29F0">
      <w:pPr>
        <w:pStyle w:val="FootnoteText"/>
      </w:pPr>
      <w:r>
        <w:rPr>
          <w:rStyle w:val="FootnoteReference"/>
        </w:rPr>
        <w:footnoteRef/>
      </w:r>
      <w:r>
        <w:t xml:space="preserve"> </w:t>
      </w:r>
      <w:r>
        <w:rPr>
          <w:color w:val="000000" w:themeColor="text1"/>
        </w:rPr>
        <w:t xml:space="preserve">Modified from </w:t>
      </w:r>
      <w:r>
        <w:t xml:space="preserve">42 USC § 7545(u)(3). The rulemaking period is limited to 12 months since the U.S. Coast Guard rely on existing procedures pertaining to ships for its basis (e.g., </w:t>
      </w:r>
      <w:r w:rsidRPr="00AB45AC">
        <w:t>33 CFR Subpart A</w:t>
      </w:r>
      <w:r>
        <w:t>).</w:t>
      </w:r>
    </w:p>
  </w:footnote>
  <w:footnote w:id="42">
    <w:p w14:paraId="52A09A27" w14:textId="356F4088" w:rsidR="003C71ED" w:rsidRDefault="003C71ED" w:rsidP="003C71ED">
      <w:pPr>
        <w:pStyle w:val="FootnoteText"/>
      </w:pPr>
      <w:r>
        <w:rPr>
          <w:rStyle w:val="FootnoteReference"/>
        </w:rPr>
        <w:footnoteRef/>
      </w:r>
      <w:r>
        <w:t xml:space="preserve"> </w:t>
      </w:r>
      <w:r w:rsidR="00D045AA">
        <w:rPr>
          <w:color w:val="000000" w:themeColor="text1"/>
        </w:rPr>
        <w:t xml:space="preserve">Modified from </w:t>
      </w:r>
      <w:r>
        <w:t xml:space="preserve">42 USC § 7545(u)(3). </w:t>
      </w:r>
    </w:p>
  </w:footnote>
  <w:footnote w:id="43">
    <w:p w14:paraId="1353596E" w14:textId="298E45A7" w:rsidR="00474EC2" w:rsidRDefault="00474EC2">
      <w:pPr>
        <w:pStyle w:val="FootnoteText"/>
      </w:pPr>
      <w:r>
        <w:rPr>
          <w:rStyle w:val="FootnoteReference"/>
        </w:rPr>
        <w:footnoteRef/>
      </w:r>
      <w:r>
        <w:t xml:space="preserve"> </w:t>
      </w:r>
      <w:r w:rsidR="00D045AA">
        <w:rPr>
          <w:color w:val="000000" w:themeColor="text1"/>
        </w:rPr>
        <w:t>Modified h</w:t>
      </w:r>
      <w:r>
        <w:t>eading from 33 USC § 1903(b).</w:t>
      </w:r>
    </w:p>
  </w:footnote>
  <w:footnote w:id="44">
    <w:p w14:paraId="40E27B30" w14:textId="442B12D3" w:rsidR="005457D7" w:rsidRDefault="005457D7" w:rsidP="005457D7">
      <w:pPr>
        <w:pStyle w:val="FootnoteText"/>
      </w:pPr>
      <w:r>
        <w:rPr>
          <w:rStyle w:val="FootnoteReference"/>
        </w:rPr>
        <w:footnoteRef/>
      </w:r>
      <w:r>
        <w:t xml:space="preserve"> This date is one year after the HFO as fuel ban takes effect, and will be in place prior to the first required </w:t>
      </w:r>
      <w:r w:rsidRPr="002976E1">
        <w:rPr>
          <w:rFonts w:cs="Times New Roman"/>
          <w:color w:val="000000" w:themeColor="text1"/>
        </w:rPr>
        <w:t xml:space="preserve">lifecycle </w:t>
      </w:r>
      <w:r>
        <w:rPr>
          <w:rFonts w:cs="Times New Roman"/>
          <w:color w:val="000000" w:themeColor="text1"/>
        </w:rPr>
        <w:t>reduction</w:t>
      </w:r>
      <w:r>
        <w:t>.</w:t>
      </w:r>
    </w:p>
  </w:footnote>
  <w:footnote w:id="45">
    <w:p w14:paraId="0ADDFF29" w14:textId="5212DDE0" w:rsidR="00474EC2" w:rsidRDefault="00474EC2" w:rsidP="00987E52">
      <w:pPr>
        <w:pStyle w:val="FootnoteText"/>
      </w:pPr>
      <w:r>
        <w:rPr>
          <w:rStyle w:val="FootnoteReference"/>
        </w:rPr>
        <w:footnoteRef/>
      </w:r>
      <w:r>
        <w:t xml:space="preserve"> </w:t>
      </w:r>
      <w:r w:rsidR="00D045AA">
        <w:rPr>
          <w:color w:val="000000" w:themeColor="text1"/>
        </w:rPr>
        <w:t xml:space="preserve">Modified from </w:t>
      </w:r>
      <w:r>
        <w:t>42 USC 7545(o)(1)(H).</w:t>
      </w:r>
    </w:p>
  </w:footnote>
  <w:footnote w:id="46">
    <w:p w14:paraId="08573BBB" w14:textId="200644FA" w:rsidR="00474EC2" w:rsidRDefault="00474EC2">
      <w:pPr>
        <w:pStyle w:val="FootnoteText"/>
      </w:pPr>
      <w:r>
        <w:rPr>
          <w:rStyle w:val="FootnoteReference"/>
        </w:rPr>
        <w:footnoteRef/>
      </w:r>
      <w:r w:rsidR="005457D7">
        <w:t xml:space="preserve"> This date is one year after the HFO as fuel ban takes effect, and will be in place prior to the first required </w:t>
      </w:r>
      <w:r w:rsidR="005457D7" w:rsidRPr="002976E1">
        <w:rPr>
          <w:rFonts w:cs="Times New Roman"/>
          <w:color w:val="000000" w:themeColor="text1"/>
        </w:rPr>
        <w:t xml:space="preserve">lifecycle </w:t>
      </w:r>
      <w:r w:rsidR="005457D7">
        <w:rPr>
          <w:rFonts w:cs="Times New Roman"/>
          <w:color w:val="000000" w:themeColor="text1"/>
        </w:rPr>
        <w:t>reduction</w:t>
      </w:r>
      <w:r>
        <w:t>.</w:t>
      </w:r>
    </w:p>
  </w:footnote>
  <w:footnote w:id="47">
    <w:p w14:paraId="53A6B6A4" w14:textId="38D6BBC8" w:rsidR="00474EC2" w:rsidRDefault="00474EC2">
      <w:pPr>
        <w:pStyle w:val="FootnoteText"/>
      </w:pPr>
      <w:r>
        <w:rPr>
          <w:rStyle w:val="FootnoteReference"/>
        </w:rPr>
        <w:footnoteRef/>
      </w:r>
      <w:r>
        <w:t xml:space="preserve"> </w:t>
      </w:r>
      <w:r w:rsidR="00D045AA">
        <w:rPr>
          <w:color w:val="000000" w:themeColor="text1"/>
        </w:rPr>
        <w:t xml:space="preserve">Modified from </w:t>
      </w:r>
      <w:r>
        <w:t xml:space="preserve">42 USC § 7545(u)(1). </w:t>
      </w:r>
    </w:p>
  </w:footnote>
  <w:footnote w:id="48">
    <w:p w14:paraId="75ABAB66" w14:textId="04FF5FCF" w:rsidR="00474EC2" w:rsidRDefault="00474EC2" w:rsidP="000D4671">
      <w:pPr>
        <w:pStyle w:val="FootnoteText"/>
      </w:pPr>
      <w:r>
        <w:rPr>
          <w:rStyle w:val="FootnoteReference"/>
        </w:rPr>
        <w:footnoteRef/>
      </w:r>
      <w:r>
        <w:t xml:space="preserve"> </w:t>
      </w:r>
      <w:r w:rsidR="005457D7">
        <w:t xml:space="preserve">This date is one year after the HFO as fuel ban takes effect, and will be in place prior to the first required </w:t>
      </w:r>
      <w:r w:rsidR="005457D7" w:rsidRPr="002976E1">
        <w:rPr>
          <w:rFonts w:cs="Times New Roman"/>
          <w:color w:val="000000" w:themeColor="text1"/>
        </w:rPr>
        <w:t xml:space="preserve">lifecycle </w:t>
      </w:r>
      <w:r w:rsidR="005457D7">
        <w:rPr>
          <w:rFonts w:cs="Times New Roman"/>
          <w:color w:val="000000" w:themeColor="text1"/>
        </w:rPr>
        <w:t>reduction</w:t>
      </w:r>
      <w:r w:rsidR="005457D7">
        <w:t>.</w:t>
      </w:r>
    </w:p>
  </w:footnote>
  <w:footnote w:id="49">
    <w:p w14:paraId="45798AD3" w14:textId="15914852" w:rsidR="00474EC2" w:rsidRDefault="00474EC2" w:rsidP="00B51825">
      <w:pPr>
        <w:pStyle w:val="FootnoteText"/>
      </w:pPr>
      <w:r>
        <w:rPr>
          <w:rStyle w:val="FootnoteReference"/>
        </w:rPr>
        <w:footnoteRef/>
      </w:r>
      <w:r>
        <w:t xml:space="preserve"> </w:t>
      </w:r>
      <w:r w:rsidR="00B94DB3">
        <w:t>Id</w:t>
      </w:r>
      <w:r>
        <w:t>.</w:t>
      </w:r>
    </w:p>
  </w:footnote>
  <w:footnote w:id="50">
    <w:p w14:paraId="32EF29FD" w14:textId="199A5D28" w:rsidR="00474EC2" w:rsidRDefault="00474EC2">
      <w:pPr>
        <w:pStyle w:val="FootnoteText"/>
      </w:pPr>
      <w:r>
        <w:rPr>
          <w:rStyle w:val="FootnoteReference"/>
        </w:rPr>
        <w:footnoteRef/>
      </w:r>
      <w:r>
        <w:t xml:space="preserve"> </w:t>
      </w:r>
      <w:r w:rsidR="00D045AA">
        <w:rPr>
          <w:color w:val="000000" w:themeColor="text1"/>
        </w:rPr>
        <w:t xml:space="preserve">Modified from </w:t>
      </w:r>
      <w:r>
        <w:t>42 USC § 7545(k)(4)(A).</w:t>
      </w:r>
    </w:p>
  </w:footnote>
  <w:footnote w:id="51">
    <w:p w14:paraId="7F83A84A" w14:textId="51F488DF" w:rsidR="00474EC2" w:rsidRDefault="00474EC2" w:rsidP="000649EF">
      <w:pPr>
        <w:pStyle w:val="FootnoteText"/>
      </w:pPr>
      <w:r>
        <w:rPr>
          <w:rStyle w:val="FootnoteReference"/>
        </w:rPr>
        <w:footnoteRef/>
      </w:r>
      <w:r>
        <w:t xml:space="preserve"> </w:t>
      </w:r>
      <w:r w:rsidR="00D045AA">
        <w:rPr>
          <w:color w:val="000000" w:themeColor="text1"/>
        </w:rPr>
        <w:t xml:space="preserve">Modified from </w:t>
      </w:r>
      <w:r>
        <w:t xml:space="preserve">42 USC § 7545(u)(3). </w:t>
      </w:r>
    </w:p>
  </w:footnote>
  <w:footnote w:id="52">
    <w:p w14:paraId="33DE9AD4" w14:textId="4413CBEC" w:rsidR="00474EC2" w:rsidRPr="00BB4B0F" w:rsidRDefault="00474EC2" w:rsidP="00BB4B0F">
      <w:pPr>
        <w:rPr>
          <w:rFonts w:cs="Times New Roman"/>
          <w:color w:val="000000" w:themeColor="text1"/>
          <w:sz w:val="20"/>
          <w:szCs w:val="20"/>
        </w:rPr>
      </w:pPr>
      <w:r w:rsidRPr="00923983">
        <w:rPr>
          <w:rStyle w:val="FootnoteReference"/>
          <w:rFonts w:cs="Times New Roman"/>
          <w:color w:val="000000" w:themeColor="text1"/>
          <w:sz w:val="20"/>
          <w:szCs w:val="20"/>
        </w:rPr>
        <w:footnoteRef/>
      </w:r>
      <w:r w:rsidRPr="00923983">
        <w:rPr>
          <w:rFonts w:cs="Times New Roman"/>
          <w:color w:val="000000" w:themeColor="text1"/>
          <w:sz w:val="20"/>
          <w:szCs w:val="20"/>
        </w:rPr>
        <w:t xml:space="preserve"> </w:t>
      </w:r>
      <w:r w:rsidR="00EA45DE" w:rsidRPr="00EA45DE">
        <w:rPr>
          <w:rFonts w:cs="Times New Roman"/>
          <w:color w:val="000000" w:themeColor="text1"/>
          <w:sz w:val="20"/>
          <w:szCs w:val="20"/>
        </w:rPr>
        <w:t>Modified from</w:t>
      </w:r>
      <w:r w:rsidR="00EA45DE">
        <w:rPr>
          <w:rFonts w:cs="Times New Roman"/>
          <w:color w:val="000000" w:themeColor="text1"/>
          <w:sz w:val="20"/>
          <w:szCs w:val="20"/>
        </w:rPr>
        <w:t xml:space="preserve"> 33 USC § 1903</w:t>
      </w:r>
      <w:r w:rsidR="00581876">
        <w:rPr>
          <w:rFonts w:cs="Times New Roman"/>
          <w:color w:val="000000" w:themeColor="text1"/>
          <w:sz w:val="20"/>
          <w:szCs w:val="20"/>
        </w:rPr>
        <w:t>(c)</w:t>
      </w:r>
      <w:r w:rsidR="00D22D2F">
        <w:rPr>
          <w:rFonts w:cs="Times New Roman"/>
          <w:color w:val="000000" w:themeColor="text1"/>
          <w:sz w:val="20"/>
          <w:szCs w:val="20"/>
        </w:rPr>
        <w:t>(3)</w:t>
      </w:r>
      <w:r w:rsidR="00EA45DE">
        <w:rPr>
          <w:rFonts w:cs="Times New Roman"/>
          <w:color w:val="000000" w:themeColor="text1"/>
          <w:sz w:val="20"/>
          <w:szCs w:val="20"/>
        </w:rPr>
        <w:t>.</w:t>
      </w:r>
    </w:p>
  </w:footnote>
  <w:footnote w:id="53">
    <w:p w14:paraId="085B05D0" w14:textId="04BF2537" w:rsidR="004E7626" w:rsidRDefault="004E7626" w:rsidP="004E7626">
      <w:pPr>
        <w:pStyle w:val="FootnoteText"/>
      </w:pPr>
      <w:r>
        <w:rPr>
          <w:rStyle w:val="FootnoteReference"/>
        </w:rPr>
        <w:footnoteRef/>
      </w:r>
      <w:r>
        <w:t xml:space="preserve"> </w:t>
      </w:r>
      <w:r w:rsidR="00216C36">
        <w:rPr>
          <w:color w:val="000000" w:themeColor="text1"/>
        </w:rPr>
        <w:t xml:space="preserve">Modified from </w:t>
      </w:r>
      <w:r>
        <w:t xml:space="preserve">MARPOL Annex VI </w:t>
      </w:r>
      <w:r w:rsidR="00C462A1">
        <w:t>r</w:t>
      </w:r>
      <w:r>
        <w:t>egulation 18.6.</w:t>
      </w:r>
    </w:p>
  </w:footnote>
  <w:footnote w:id="54">
    <w:p w14:paraId="26FAA194" w14:textId="7E91EEF1" w:rsidR="004E7626" w:rsidRDefault="004E7626" w:rsidP="004E7626">
      <w:pPr>
        <w:pStyle w:val="FootnoteText"/>
      </w:pPr>
      <w:r>
        <w:rPr>
          <w:rStyle w:val="FootnoteReference"/>
        </w:rPr>
        <w:footnoteRef/>
      </w:r>
      <w:r>
        <w:t xml:space="preserve"> </w:t>
      </w:r>
      <w:r w:rsidR="00216C36">
        <w:rPr>
          <w:color w:val="000000" w:themeColor="text1"/>
        </w:rPr>
        <w:t>Modified from</w:t>
      </w:r>
      <w:r>
        <w:t xml:space="preserve"> MARPOL Annex VI </w:t>
      </w:r>
      <w:r w:rsidR="00C462A1">
        <w:t>r</w:t>
      </w:r>
      <w:r>
        <w:t>egulation 18.7.1.</w:t>
      </w:r>
    </w:p>
  </w:footnote>
  <w:footnote w:id="55">
    <w:p w14:paraId="78157A43" w14:textId="76E3B60F" w:rsidR="004E7626" w:rsidRDefault="004E7626" w:rsidP="004E7626">
      <w:pPr>
        <w:pStyle w:val="FootnoteText"/>
      </w:pPr>
      <w:r>
        <w:rPr>
          <w:rStyle w:val="FootnoteReference"/>
        </w:rPr>
        <w:footnoteRef/>
      </w:r>
      <w:r>
        <w:t xml:space="preserve"> </w:t>
      </w:r>
      <w:r w:rsidR="00216C36">
        <w:rPr>
          <w:color w:val="000000" w:themeColor="text1"/>
        </w:rPr>
        <w:t xml:space="preserve">Modified from </w:t>
      </w:r>
      <w:r>
        <w:t xml:space="preserve">MARPOL Annex VI </w:t>
      </w:r>
      <w:r w:rsidR="00C462A1">
        <w:t>r</w:t>
      </w:r>
      <w:r>
        <w:t>egulation 14.6.</w:t>
      </w:r>
    </w:p>
  </w:footnote>
  <w:footnote w:id="56">
    <w:p w14:paraId="66E6D88D" w14:textId="732EC19E" w:rsidR="00D63B85" w:rsidRDefault="00D63B85" w:rsidP="00D63B85">
      <w:pPr>
        <w:pStyle w:val="FootnoteText"/>
      </w:pPr>
      <w:r>
        <w:rPr>
          <w:rStyle w:val="FootnoteReference"/>
        </w:rPr>
        <w:footnoteRef/>
      </w:r>
      <w:r>
        <w:t xml:space="preserve"> </w:t>
      </w:r>
      <w:r w:rsidR="00E54B53">
        <w:rPr>
          <w:color w:val="000000" w:themeColor="text1"/>
        </w:rPr>
        <w:t>Modified from</w:t>
      </w:r>
      <w:r>
        <w:t xml:space="preserve"> MARPOL Annex VI </w:t>
      </w:r>
      <w:r w:rsidR="00C462A1">
        <w:t>r</w:t>
      </w:r>
      <w:r>
        <w:t>egulation 18.7.1</w:t>
      </w:r>
      <w:r w:rsidR="00E54B53">
        <w:t xml:space="preserve"> and</w:t>
      </w:r>
      <w:r>
        <w:t xml:space="preserve"> 46 USC 70021.</w:t>
      </w:r>
    </w:p>
  </w:footnote>
  <w:footnote w:id="57">
    <w:p w14:paraId="5C5298B0" w14:textId="4E584B25" w:rsidR="00B36DD0" w:rsidRDefault="00B36DD0">
      <w:pPr>
        <w:pStyle w:val="FootnoteText"/>
      </w:pPr>
      <w:r>
        <w:rPr>
          <w:rStyle w:val="FootnoteReference"/>
        </w:rPr>
        <w:footnoteRef/>
      </w:r>
      <w:r>
        <w:t xml:space="preserve"> </w:t>
      </w:r>
      <w:r w:rsidR="00E54B53" w:rsidRPr="00E54B53">
        <w:t>Mutatis mutandis</w:t>
      </w:r>
      <w:r w:rsidR="00E54B53">
        <w:t>.</w:t>
      </w:r>
    </w:p>
  </w:footnote>
  <w:footnote w:id="58">
    <w:p w14:paraId="3A950F61" w14:textId="33F9853F" w:rsidR="00F36DF1" w:rsidRDefault="00F36DF1">
      <w:pPr>
        <w:pStyle w:val="FootnoteText"/>
      </w:pPr>
      <w:r>
        <w:rPr>
          <w:rStyle w:val="FootnoteReference"/>
        </w:rPr>
        <w:footnoteRef/>
      </w:r>
      <w:r>
        <w:t xml:space="preserve"> </w:t>
      </w:r>
      <w:r w:rsidR="00E54B53">
        <w:rPr>
          <w:color w:val="000000" w:themeColor="text1"/>
        </w:rPr>
        <w:t>Modified from</w:t>
      </w:r>
      <w:r w:rsidR="00E54B53">
        <w:t xml:space="preserve"> </w:t>
      </w:r>
      <w:r>
        <w:t>33 USC 1904(d).</w:t>
      </w:r>
    </w:p>
  </w:footnote>
  <w:footnote w:id="59">
    <w:p w14:paraId="2B089A3B" w14:textId="593B0B97" w:rsidR="00193A66" w:rsidRDefault="00193A66">
      <w:pPr>
        <w:pStyle w:val="FootnoteText"/>
      </w:pPr>
      <w:r>
        <w:rPr>
          <w:rStyle w:val="FootnoteReference"/>
        </w:rPr>
        <w:footnoteRef/>
      </w:r>
      <w:r>
        <w:t xml:space="preserve"> </w:t>
      </w:r>
      <w:r w:rsidR="00E54B53">
        <w:rPr>
          <w:color w:val="000000" w:themeColor="text1"/>
        </w:rPr>
        <w:t>Modified from</w:t>
      </w:r>
      <w:r>
        <w:t xml:space="preserve"> MARPOL Annex VI </w:t>
      </w:r>
      <w:r w:rsidR="00C462A1">
        <w:t>r</w:t>
      </w:r>
      <w:r>
        <w:t>egulation 18.</w:t>
      </w:r>
    </w:p>
  </w:footnote>
  <w:footnote w:id="60">
    <w:p w14:paraId="7BB51AFB" w14:textId="173F8C3A" w:rsidR="00E07ECA" w:rsidRDefault="00E07ECA" w:rsidP="00E07ECA">
      <w:pPr>
        <w:pStyle w:val="FootnoteText"/>
      </w:pPr>
      <w:r>
        <w:rPr>
          <w:rStyle w:val="FootnoteReference"/>
        </w:rPr>
        <w:footnoteRef/>
      </w:r>
      <w:r>
        <w:t xml:space="preserve"> </w:t>
      </w:r>
      <w:r w:rsidR="00E54B53">
        <w:rPr>
          <w:color w:val="000000" w:themeColor="text1"/>
        </w:rPr>
        <w:t>Modified from</w:t>
      </w:r>
      <w:r>
        <w:t xml:space="preserve"> MARPOL Annex VI </w:t>
      </w:r>
      <w:r w:rsidR="00C462A1">
        <w:t>r</w:t>
      </w:r>
      <w:r>
        <w:t>egulation 18.9.2</w:t>
      </w:r>
    </w:p>
  </w:footnote>
  <w:footnote w:id="61">
    <w:p w14:paraId="0DD137E3" w14:textId="3E75E73B" w:rsidR="00E07ECA" w:rsidRDefault="00E07ECA" w:rsidP="00E07ECA">
      <w:pPr>
        <w:pStyle w:val="FootnoteText"/>
      </w:pPr>
      <w:r>
        <w:rPr>
          <w:rStyle w:val="FootnoteReference"/>
        </w:rPr>
        <w:footnoteRef/>
      </w:r>
      <w:r>
        <w:t xml:space="preserve"> </w:t>
      </w:r>
      <w:r w:rsidR="00E54B53">
        <w:rPr>
          <w:color w:val="000000" w:themeColor="text1"/>
        </w:rPr>
        <w:t>Modified from</w:t>
      </w:r>
      <w:r>
        <w:t xml:space="preserve"> MARPOL Annex VI </w:t>
      </w:r>
      <w:r w:rsidR="00C462A1">
        <w:t>r</w:t>
      </w:r>
      <w:r>
        <w:t>egulation 18.9.3</w:t>
      </w:r>
    </w:p>
  </w:footnote>
  <w:footnote w:id="62">
    <w:p w14:paraId="2798B9B4" w14:textId="0918BBEB" w:rsidR="00017036" w:rsidRDefault="00017036" w:rsidP="00017036">
      <w:pPr>
        <w:pStyle w:val="FootnoteText"/>
      </w:pPr>
      <w:r>
        <w:rPr>
          <w:rStyle w:val="FootnoteReference"/>
        </w:rPr>
        <w:footnoteRef/>
      </w:r>
      <w:r>
        <w:t xml:space="preserve"> </w:t>
      </w:r>
      <w:r w:rsidR="00E54B53">
        <w:rPr>
          <w:color w:val="000000" w:themeColor="text1"/>
        </w:rPr>
        <w:t>Modified from</w:t>
      </w:r>
      <w:r w:rsidR="00E54B53">
        <w:t xml:space="preserve"> </w:t>
      </w:r>
      <w:r w:rsidR="009C3261" w:rsidRPr="00E85985">
        <w:t>33 U</w:t>
      </w:r>
      <w:r w:rsidR="009C3261">
        <w:t>SC</w:t>
      </w:r>
      <w:r w:rsidR="009C3261" w:rsidRPr="00E85985">
        <w:t xml:space="preserve"> § 1954</w:t>
      </w:r>
      <w:r w:rsidR="009C3261">
        <w:t xml:space="preserve">(a). </w:t>
      </w:r>
    </w:p>
  </w:footnote>
  <w:footnote w:id="63">
    <w:p w14:paraId="34C872F5" w14:textId="16FA9685" w:rsidR="00E010DC" w:rsidRDefault="00E010DC" w:rsidP="00E010DC">
      <w:pPr>
        <w:pStyle w:val="FootnoteText"/>
      </w:pPr>
      <w:r>
        <w:rPr>
          <w:rStyle w:val="FootnoteReference"/>
        </w:rPr>
        <w:footnoteRef/>
      </w:r>
      <w:r>
        <w:t xml:space="preserve"> </w:t>
      </w:r>
      <w:r w:rsidR="00E54B53">
        <w:rPr>
          <w:color w:val="000000" w:themeColor="text1"/>
        </w:rPr>
        <w:t>Modified from</w:t>
      </w:r>
      <w:r>
        <w:t xml:space="preserve"> MARPOL Annex VI </w:t>
      </w:r>
      <w:r w:rsidR="00C462A1">
        <w:t>r</w:t>
      </w:r>
      <w:r>
        <w:t>egulation 18.9.1.</w:t>
      </w:r>
    </w:p>
  </w:footnote>
  <w:footnote w:id="64">
    <w:p w14:paraId="6FA2C782" w14:textId="5D091595" w:rsidR="00863134" w:rsidRDefault="00863134" w:rsidP="00863134">
      <w:pPr>
        <w:pStyle w:val="FootnoteText"/>
      </w:pPr>
      <w:r>
        <w:rPr>
          <w:rStyle w:val="FootnoteReference"/>
        </w:rPr>
        <w:footnoteRef/>
      </w:r>
      <w:r>
        <w:t xml:space="preserve"> </w:t>
      </w:r>
      <w:r w:rsidR="00E54B53">
        <w:rPr>
          <w:color w:val="000000" w:themeColor="text1"/>
        </w:rPr>
        <w:t>Modified from</w:t>
      </w:r>
      <w:r w:rsidR="00E54B53">
        <w:t xml:space="preserve"> </w:t>
      </w:r>
      <w:r>
        <w:t xml:space="preserve">33 USC </w:t>
      </w:r>
      <w:r w:rsidRPr="004272EE">
        <w:t>§</w:t>
      </w:r>
      <w:r w:rsidR="001205BC">
        <w:t xml:space="preserve"> </w:t>
      </w:r>
      <w:r w:rsidRPr="004272EE">
        <w:t>1907</w:t>
      </w:r>
      <w:r>
        <w:t>(a).</w:t>
      </w:r>
      <w:r w:rsidR="002A3B79">
        <w:t xml:space="preserve"> </w:t>
      </w:r>
      <w:r w:rsidR="002A3B79" w:rsidRPr="002A3B79">
        <w:t xml:space="preserve">33 USC § 1913(a) uses the term “foreign ship.” </w:t>
      </w:r>
    </w:p>
  </w:footnote>
  <w:footnote w:id="65">
    <w:p w14:paraId="1B16C6FB" w14:textId="69D590CD" w:rsidR="00863134" w:rsidRDefault="00863134" w:rsidP="00863134">
      <w:pPr>
        <w:pStyle w:val="FootnoteText"/>
      </w:pPr>
      <w:r>
        <w:rPr>
          <w:rStyle w:val="FootnoteReference"/>
        </w:rPr>
        <w:footnoteRef/>
      </w:r>
      <w:r>
        <w:t xml:space="preserve"> </w:t>
      </w:r>
      <w:r w:rsidR="00E54B53">
        <w:rPr>
          <w:color w:val="000000" w:themeColor="text1"/>
        </w:rPr>
        <w:t>Modified from</w:t>
      </w:r>
      <w:r>
        <w:t xml:space="preserve"> 33 USC </w:t>
      </w:r>
      <w:r w:rsidRPr="004272EE">
        <w:t>§</w:t>
      </w:r>
      <w:r w:rsidR="00452263">
        <w:t xml:space="preserve"> </w:t>
      </w:r>
      <w:r w:rsidRPr="004272EE">
        <w:t>1907</w:t>
      </w:r>
      <w:r>
        <w:t>(b).</w:t>
      </w:r>
    </w:p>
  </w:footnote>
  <w:footnote w:id="66">
    <w:p w14:paraId="7AB4D867" w14:textId="77777777" w:rsidR="00AA2430" w:rsidRDefault="00AA2430" w:rsidP="00AA2430">
      <w:pPr>
        <w:pStyle w:val="FootnoteText"/>
      </w:pPr>
      <w:r>
        <w:rPr>
          <w:rStyle w:val="FootnoteReference"/>
        </w:rPr>
        <w:footnoteRef/>
      </w:r>
      <w:r>
        <w:t xml:space="preserve"> See memorandum subsection 7.3.</w:t>
      </w:r>
    </w:p>
  </w:footnote>
  <w:footnote w:id="67">
    <w:p w14:paraId="2B7B0969" w14:textId="68DEC3AD" w:rsidR="00E7135D" w:rsidRDefault="00E7135D" w:rsidP="00E7135D">
      <w:pPr>
        <w:pStyle w:val="FootnoteText"/>
      </w:pPr>
      <w:r>
        <w:rPr>
          <w:rStyle w:val="FootnoteReference"/>
        </w:rPr>
        <w:footnoteRef/>
      </w:r>
      <w:r>
        <w:t xml:space="preserve"> </w:t>
      </w:r>
      <w:r w:rsidR="00077C45">
        <w:rPr>
          <w:color w:val="000000" w:themeColor="text1"/>
        </w:rPr>
        <w:t>Modified from</w:t>
      </w:r>
      <w:r w:rsidR="00077C45">
        <w:t xml:space="preserve"> </w:t>
      </w:r>
      <w:r>
        <w:t>33 USC §</w:t>
      </w:r>
      <w:r w:rsidR="00D2660A">
        <w:t xml:space="preserve"> </w:t>
      </w:r>
      <w:r w:rsidRPr="004272EE">
        <w:t>190</w:t>
      </w:r>
      <w:r>
        <w:t>8(a).</w:t>
      </w:r>
    </w:p>
  </w:footnote>
  <w:footnote w:id="68">
    <w:p w14:paraId="6633CD31" w14:textId="77777777" w:rsidR="0031138E" w:rsidRDefault="0031138E" w:rsidP="0031138E">
      <w:pPr>
        <w:pStyle w:val="FootnoteText"/>
      </w:pPr>
      <w:r>
        <w:rPr>
          <w:rStyle w:val="FootnoteReference"/>
        </w:rPr>
        <w:footnoteRef/>
      </w:r>
      <w:r>
        <w:t xml:space="preserve"> See memorandum subsection 7.3.</w:t>
      </w:r>
    </w:p>
  </w:footnote>
  <w:footnote w:id="69">
    <w:p w14:paraId="6C6260A9" w14:textId="77777777" w:rsidR="00413B2E" w:rsidRDefault="00413B2E" w:rsidP="00413B2E">
      <w:pPr>
        <w:pStyle w:val="FootnoteText"/>
      </w:pPr>
      <w:r>
        <w:rPr>
          <w:rStyle w:val="FootnoteReference"/>
        </w:rPr>
        <w:footnoteRef/>
      </w:r>
      <w:r>
        <w:t xml:space="preserve"> Id.</w:t>
      </w:r>
    </w:p>
  </w:footnote>
  <w:footnote w:id="70">
    <w:p w14:paraId="4AED6069" w14:textId="4505AD1F" w:rsidR="00421CF2" w:rsidRDefault="00421CF2" w:rsidP="00421CF2">
      <w:pPr>
        <w:pStyle w:val="FootnoteText"/>
      </w:pPr>
      <w:r>
        <w:rPr>
          <w:rStyle w:val="FootnoteReference"/>
        </w:rPr>
        <w:footnoteRef/>
      </w:r>
      <w:r>
        <w:t xml:space="preserve"> </w:t>
      </w:r>
      <w:r w:rsidR="00077C45">
        <w:rPr>
          <w:color w:val="000000" w:themeColor="text1"/>
        </w:rPr>
        <w:t>Modified from</w:t>
      </w:r>
      <w:r w:rsidR="00077C45">
        <w:t xml:space="preserve"> </w:t>
      </w:r>
      <w:r>
        <w:t xml:space="preserve">33 USC § </w:t>
      </w:r>
      <w:r w:rsidRPr="004272EE">
        <w:t>190</w:t>
      </w:r>
      <w:r>
        <w:t>8(b).</w:t>
      </w:r>
    </w:p>
  </w:footnote>
  <w:footnote w:id="71">
    <w:p w14:paraId="1534A7AB" w14:textId="71F359CE" w:rsidR="00421CF2" w:rsidRDefault="00421CF2" w:rsidP="00421CF2">
      <w:pPr>
        <w:pStyle w:val="FootnoteText"/>
      </w:pPr>
      <w:r>
        <w:rPr>
          <w:rStyle w:val="FootnoteReference"/>
        </w:rPr>
        <w:footnoteRef/>
      </w:r>
      <w:r>
        <w:t xml:space="preserve"> </w:t>
      </w:r>
      <w:r w:rsidR="00077C45">
        <w:rPr>
          <w:color w:val="000000" w:themeColor="text1"/>
        </w:rPr>
        <w:t>Modified from</w:t>
      </w:r>
      <w:r w:rsidR="00077C45">
        <w:t xml:space="preserve"> </w:t>
      </w:r>
      <w:r>
        <w:t xml:space="preserve">33 USC </w:t>
      </w:r>
      <w:r w:rsidRPr="004272EE">
        <w:t>§</w:t>
      </w:r>
      <w:r w:rsidR="00D2660A">
        <w:t xml:space="preserve"> </w:t>
      </w:r>
      <w:r w:rsidRPr="004272EE">
        <w:t>190</w:t>
      </w:r>
      <w:r>
        <w:t>8(c).</w:t>
      </w:r>
    </w:p>
  </w:footnote>
  <w:footnote w:id="72">
    <w:p w14:paraId="2A07ABFE" w14:textId="0ED3DA5A" w:rsidR="00421CF2" w:rsidRDefault="00421CF2" w:rsidP="00421CF2">
      <w:pPr>
        <w:pStyle w:val="FootnoteText"/>
      </w:pPr>
      <w:r>
        <w:rPr>
          <w:rStyle w:val="FootnoteReference"/>
        </w:rPr>
        <w:footnoteRef/>
      </w:r>
      <w:r>
        <w:t xml:space="preserve"> </w:t>
      </w:r>
      <w:r w:rsidR="00077C45">
        <w:rPr>
          <w:color w:val="000000" w:themeColor="text1"/>
        </w:rPr>
        <w:t>Modified from</w:t>
      </w:r>
      <w:r w:rsidR="00077C45">
        <w:t xml:space="preserve"> </w:t>
      </w:r>
      <w:r>
        <w:t xml:space="preserve">33 USC </w:t>
      </w:r>
      <w:r w:rsidRPr="004272EE">
        <w:t>§</w:t>
      </w:r>
      <w:r w:rsidR="00D2660A">
        <w:t xml:space="preserve"> </w:t>
      </w:r>
      <w:r w:rsidRPr="004272EE">
        <w:t>190</w:t>
      </w:r>
      <w:r>
        <w:t>8(</w:t>
      </w:r>
      <w:r w:rsidR="008A1F1F">
        <w:t>d</w:t>
      </w:r>
      <w:r>
        <w:t>).</w:t>
      </w:r>
    </w:p>
  </w:footnote>
  <w:footnote w:id="73">
    <w:p w14:paraId="559A18EE" w14:textId="4BE7988B" w:rsidR="008A1F1F" w:rsidRDefault="008A1F1F" w:rsidP="008A1F1F">
      <w:pPr>
        <w:pStyle w:val="FootnoteText"/>
      </w:pPr>
      <w:r>
        <w:rPr>
          <w:rStyle w:val="FootnoteReference"/>
        </w:rPr>
        <w:footnoteRef/>
      </w:r>
      <w:r>
        <w:t xml:space="preserve"> </w:t>
      </w:r>
      <w:r w:rsidR="00077C45">
        <w:rPr>
          <w:color w:val="000000" w:themeColor="text1"/>
        </w:rPr>
        <w:t>Modified from</w:t>
      </w:r>
      <w:r w:rsidR="00077C45">
        <w:t xml:space="preserve"> </w:t>
      </w:r>
      <w:r>
        <w:t xml:space="preserve">33 USC </w:t>
      </w:r>
      <w:r w:rsidRPr="004272EE">
        <w:t>§</w:t>
      </w:r>
      <w:r w:rsidR="00D2660A">
        <w:t xml:space="preserve"> </w:t>
      </w:r>
      <w:r w:rsidRPr="004272EE">
        <w:t>190</w:t>
      </w:r>
      <w:r>
        <w:t>8(e).</w:t>
      </w:r>
    </w:p>
  </w:footnote>
  <w:footnote w:id="74">
    <w:p w14:paraId="6050BBE4" w14:textId="6BA8F5B9" w:rsidR="00454568" w:rsidRDefault="00454568" w:rsidP="00454568">
      <w:pPr>
        <w:pStyle w:val="FootnoteText"/>
      </w:pPr>
      <w:r>
        <w:rPr>
          <w:rStyle w:val="FootnoteReference"/>
        </w:rPr>
        <w:footnoteRef/>
      </w:r>
      <w:r>
        <w:t xml:space="preserve"> </w:t>
      </w:r>
      <w:r w:rsidR="00077C45">
        <w:rPr>
          <w:color w:val="000000" w:themeColor="text1"/>
        </w:rPr>
        <w:t>Modified from</w:t>
      </w:r>
      <w:r w:rsidR="00077C45">
        <w:t xml:space="preserve"> </w:t>
      </w:r>
      <w:r>
        <w:t xml:space="preserve">33 USC </w:t>
      </w:r>
      <w:r w:rsidRPr="004272EE">
        <w:t>§</w:t>
      </w:r>
      <w:r w:rsidR="00D2660A">
        <w:t xml:space="preserve"> </w:t>
      </w:r>
      <w:r w:rsidRPr="004272EE">
        <w:t>190</w:t>
      </w:r>
      <w:r>
        <w:t>8(g).</w:t>
      </w:r>
    </w:p>
  </w:footnote>
  <w:footnote w:id="75">
    <w:p w14:paraId="44C0D560" w14:textId="555630E4" w:rsidR="00D2472D" w:rsidRDefault="00D2472D">
      <w:pPr>
        <w:pStyle w:val="FootnoteText"/>
      </w:pPr>
      <w:r>
        <w:rPr>
          <w:rStyle w:val="FootnoteReference"/>
        </w:rPr>
        <w:footnoteRef/>
      </w:r>
      <w:r>
        <w:t xml:space="preserve"> </w:t>
      </w:r>
      <w:r w:rsidR="00077C45">
        <w:rPr>
          <w:color w:val="000000" w:themeColor="text1"/>
        </w:rPr>
        <w:t>Modified from</w:t>
      </w:r>
      <w:r w:rsidR="00077C45">
        <w:t xml:space="preserve"> </w:t>
      </w:r>
      <w:r>
        <w:t>UNCLOS art 211(3).</w:t>
      </w:r>
    </w:p>
  </w:footnote>
  <w:footnote w:id="76">
    <w:p w14:paraId="74F50CD0" w14:textId="5B01C2F9" w:rsidR="00D2472D" w:rsidRDefault="00D2472D">
      <w:pPr>
        <w:pStyle w:val="FootnoteText"/>
      </w:pPr>
      <w:r>
        <w:rPr>
          <w:rStyle w:val="FootnoteReference"/>
        </w:rPr>
        <w:footnoteRef/>
      </w:r>
      <w:r>
        <w:t xml:space="preserve"> Id.</w:t>
      </w:r>
    </w:p>
  </w:footnote>
  <w:footnote w:id="77">
    <w:p w14:paraId="4673DD7B" w14:textId="669E89B8" w:rsidR="00017036" w:rsidRDefault="00017036" w:rsidP="00017036">
      <w:pPr>
        <w:pStyle w:val="FootnoteText"/>
      </w:pPr>
      <w:r>
        <w:rPr>
          <w:rStyle w:val="FootnoteReference"/>
        </w:rPr>
        <w:footnoteRef/>
      </w:r>
      <w:r>
        <w:t xml:space="preserve"> </w:t>
      </w:r>
      <w:r w:rsidR="00077C45">
        <w:rPr>
          <w:color w:val="000000" w:themeColor="text1"/>
        </w:rPr>
        <w:t>Modified from</w:t>
      </w:r>
      <w:r w:rsidR="00077C45">
        <w:t xml:space="preserve"> </w:t>
      </w:r>
      <w:r>
        <w:t xml:space="preserve">33 USC </w:t>
      </w:r>
      <w:r w:rsidRPr="006A7DF5">
        <w:t>§</w:t>
      </w:r>
      <w:r>
        <w:t xml:space="preserve"> </w:t>
      </w:r>
      <w:r w:rsidRPr="006A7DF5">
        <w:t>19</w:t>
      </w:r>
      <w:r>
        <w:t>11.</w:t>
      </w:r>
    </w:p>
  </w:footnote>
  <w:footnote w:id="78">
    <w:p w14:paraId="66048A1A" w14:textId="64D1CB0E" w:rsidR="00017036" w:rsidRDefault="00017036" w:rsidP="00017036">
      <w:pPr>
        <w:pStyle w:val="FootnoteText"/>
      </w:pPr>
      <w:r>
        <w:rPr>
          <w:rStyle w:val="FootnoteReference"/>
        </w:rPr>
        <w:footnoteRef/>
      </w:r>
      <w:r>
        <w:t xml:space="preserve"> </w:t>
      </w:r>
      <w:r w:rsidR="00DA4C8C">
        <w:rPr>
          <w:color w:val="000000" w:themeColor="text1"/>
        </w:rPr>
        <w:t>Modified from</w:t>
      </w:r>
      <w:r w:rsidR="00DA4C8C">
        <w:t xml:space="preserve"> </w:t>
      </w:r>
      <w:r>
        <w:t>33 USC § 1903(d).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A00C5"/>
    <w:multiLevelType w:val="hybridMultilevel"/>
    <w:tmpl w:val="0DF00E38"/>
    <w:lvl w:ilvl="0" w:tplc="CFA8FD96">
      <w:start w:val="1"/>
      <w:numFmt w:val="lowerRoman"/>
      <w:lvlText w:val="(%1)"/>
      <w:lvlJc w:val="left"/>
      <w:pPr>
        <w:ind w:left="880" w:hanging="400"/>
      </w:pPr>
      <w:rPr>
        <w:rFonts w:ascii="Times New Roman" w:eastAsiaTheme="minorHAnsi" w:hAnsi="Times New Roman" w:cs="Times New Roman (Body CS)"/>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 w15:restartNumberingAfterBreak="0">
    <w:nsid w:val="3FA67F9C"/>
    <w:multiLevelType w:val="hybridMultilevel"/>
    <w:tmpl w:val="D552409C"/>
    <w:lvl w:ilvl="0" w:tplc="7A14D4FE">
      <w:start w:val="1"/>
      <w:numFmt w:val="decimal"/>
      <w:lvlText w:val="(%1)"/>
      <w:lvlJc w:val="left"/>
      <w:pPr>
        <w:ind w:left="-120" w:hanging="360"/>
      </w:pPr>
      <w:rPr>
        <w:rFonts w:cs="Times New Roman" w:hint="default"/>
      </w:rPr>
    </w:lvl>
    <w:lvl w:ilvl="1" w:tplc="04090019" w:tentative="1">
      <w:start w:val="1"/>
      <w:numFmt w:val="lowerLetter"/>
      <w:lvlText w:val="%2."/>
      <w:lvlJc w:val="left"/>
      <w:pPr>
        <w:ind w:left="600" w:hanging="360"/>
      </w:pPr>
    </w:lvl>
    <w:lvl w:ilvl="2" w:tplc="0409001B" w:tentative="1">
      <w:start w:val="1"/>
      <w:numFmt w:val="lowerRoman"/>
      <w:lvlText w:val="%3."/>
      <w:lvlJc w:val="right"/>
      <w:pPr>
        <w:ind w:left="1320" w:hanging="180"/>
      </w:pPr>
    </w:lvl>
    <w:lvl w:ilvl="3" w:tplc="0409000F" w:tentative="1">
      <w:start w:val="1"/>
      <w:numFmt w:val="decimal"/>
      <w:lvlText w:val="%4."/>
      <w:lvlJc w:val="left"/>
      <w:pPr>
        <w:ind w:left="2040" w:hanging="360"/>
      </w:pPr>
    </w:lvl>
    <w:lvl w:ilvl="4" w:tplc="04090019" w:tentative="1">
      <w:start w:val="1"/>
      <w:numFmt w:val="lowerLetter"/>
      <w:lvlText w:val="%5."/>
      <w:lvlJc w:val="left"/>
      <w:pPr>
        <w:ind w:left="2760" w:hanging="360"/>
      </w:pPr>
    </w:lvl>
    <w:lvl w:ilvl="5" w:tplc="0409001B" w:tentative="1">
      <w:start w:val="1"/>
      <w:numFmt w:val="lowerRoman"/>
      <w:lvlText w:val="%6."/>
      <w:lvlJc w:val="right"/>
      <w:pPr>
        <w:ind w:left="3480" w:hanging="180"/>
      </w:pPr>
    </w:lvl>
    <w:lvl w:ilvl="6" w:tplc="0409000F" w:tentative="1">
      <w:start w:val="1"/>
      <w:numFmt w:val="decimal"/>
      <w:lvlText w:val="%7."/>
      <w:lvlJc w:val="left"/>
      <w:pPr>
        <w:ind w:left="4200" w:hanging="360"/>
      </w:pPr>
    </w:lvl>
    <w:lvl w:ilvl="7" w:tplc="04090019" w:tentative="1">
      <w:start w:val="1"/>
      <w:numFmt w:val="lowerLetter"/>
      <w:lvlText w:val="%8."/>
      <w:lvlJc w:val="left"/>
      <w:pPr>
        <w:ind w:left="4920" w:hanging="360"/>
      </w:pPr>
    </w:lvl>
    <w:lvl w:ilvl="8" w:tplc="0409001B" w:tentative="1">
      <w:start w:val="1"/>
      <w:numFmt w:val="lowerRoman"/>
      <w:lvlText w:val="%9."/>
      <w:lvlJc w:val="right"/>
      <w:pPr>
        <w:ind w:left="5640" w:hanging="180"/>
      </w:pPr>
    </w:lvl>
  </w:abstractNum>
  <w:abstractNum w:abstractNumId="2" w15:restartNumberingAfterBreak="0">
    <w:nsid w:val="4CD7074E"/>
    <w:multiLevelType w:val="hybridMultilevel"/>
    <w:tmpl w:val="646E3828"/>
    <w:lvl w:ilvl="0" w:tplc="FE50CEC8">
      <w:start w:val="1"/>
      <w:numFmt w:val="decimal"/>
      <w:lvlText w:val="(%1)"/>
      <w:lvlJc w:val="left"/>
      <w:pPr>
        <w:ind w:left="1080" w:hanging="360"/>
      </w:pPr>
      <w:rPr>
        <w:rFonts w:eastAsia="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0516850"/>
    <w:multiLevelType w:val="hybridMultilevel"/>
    <w:tmpl w:val="330CB9CA"/>
    <w:lvl w:ilvl="0" w:tplc="A0FEAFBC">
      <w:start w:val="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7470335"/>
    <w:multiLevelType w:val="hybridMultilevel"/>
    <w:tmpl w:val="1A941E3E"/>
    <w:lvl w:ilvl="0" w:tplc="DC288E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E01"/>
    <w:rsid w:val="00000CA8"/>
    <w:rsid w:val="000014B4"/>
    <w:rsid w:val="00002704"/>
    <w:rsid w:val="00006C50"/>
    <w:rsid w:val="00016C84"/>
    <w:rsid w:val="00017036"/>
    <w:rsid w:val="000202EA"/>
    <w:rsid w:val="00035D2B"/>
    <w:rsid w:val="00037789"/>
    <w:rsid w:val="000410E7"/>
    <w:rsid w:val="00044449"/>
    <w:rsid w:val="000473A9"/>
    <w:rsid w:val="000526D9"/>
    <w:rsid w:val="00055601"/>
    <w:rsid w:val="00056CDE"/>
    <w:rsid w:val="000649EF"/>
    <w:rsid w:val="0006702F"/>
    <w:rsid w:val="00077C45"/>
    <w:rsid w:val="00083FF6"/>
    <w:rsid w:val="00084592"/>
    <w:rsid w:val="000A78D0"/>
    <w:rsid w:val="000A7CDC"/>
    <w:rsid w:val="000B07D9"/>
    <w:rsid w:val="000B1C6A"/>
    <w:rsid w:val="000B2F50"/>
    <w:rsid w:val="000B7B43"/>
    <w:rsid w:val="000C00F3"/>
    <w:rsid w:val="000D240B"/>
    <w:rsid w:val="000D30EE"/>
    <w:rsid w:val="000D4671"/>
    <w:rsid w:val="000E5534"/>
    <w:rsid w:val="000F29AF"/>
    <w:rsid w:val="000F48E4"/>
    <w:rsid w:val="000F4CEA"/>
    <w:rsid w:val="00100C8B"/>
    <w:rsid w:val="00101CFB"/>
    <w:rsid w:val="0010317B"/>
    <w:rsid w:val="0010387B"/>
    <w:rsid w:val="00110E0E"/>
    <w:rsid w:val="00111BA6"/>
    <w:rsid w:val="001123FB"/>
    <w:rsid w:val="00113CEC"/>
    <w:rsid w:val="00116280"/>
    <w:rsid w:val="001205BC"/>
    <w:rsid w:val="001225D0"/>
    <w:rsid w:val="00123A23"/>
    <w:rsid w:val="00124D8C"/>
    <w:rsid w:val="001252A7"/>
    <w:rsid w:val="00127EB7"/>
    <w:rsid w:val="00130212"/>
    <w:rsid w:val="001401C8"/>
    <w:rsid w:val="001529B2"/>
    <w:rsid w:val="001628C7"/>
    <w:rsid w:val="001656BA"/>
    <w:rsid w:val="00171219"/>
    <w:rsid w:val="001730CA"/>
    <w:rsid w:val="00173453"/>
    <w:rsid w:val="001749D6"/>
    <w:rsid w:val="00174B77"/>
    <w:rsid w:val="00176946"/>
    <w:rsid w:val="00180F94"/>
    <w:rsid w:val="00182384"/>
    <w:rsid w:val="0018670C"/>
    <w:rsid w:val="00187028"/>
    <w:rsid w:val="00187243"/>
    <w:rsid w:val="00193A66"/>
    <w:rsid w:val="00195FF6"/>
    <w:rsid w:val="001975B4"/>
    <w:rsid w:val="001A7B5E"/>
    <w:rsid w:val="001B456B"/>
    <w:rsid w:val="001C5C42"/>
    <w:rsid w:val="001C639A"/>
    <w:rsid w:val="001D4BC2"/>
    <w:rsid w:val="001E4436"/>
    <w:rsid w:val="001E5BAA"/>
    <w:rsid w:val="0020475B"/>
    <w:rsid w:val="00204BBE"/>
    <w:rsid w:val="00206523"/>
    <w:rsid w:val="00216C36"/>
    <w:rsid w:val="002202CA"/>
    <w:rsid w:val="002210FC"/>
    <w:rsid w:val="00222636"/>
    <w:rsid w:val="0022550D"/>
    <w:rsid w:val="00225532"/>
    <w:rsid w:val="002308F2"/>
    <w:rsid w:val="00233DD5"/>
    <w:rsid w:val="00235706"/>
    <w:rsid w:val="0024394B"/>
    <w:rsid w:val="002459F2"/>
    <w:rsid w:val="002475A7"/>
    <w:rsid w:val="00253A7A"/>
    <w:rsid w:val="0025583F"/>
    <w:rsid w:val="0026777E"/>
    <w:rsid w:val="00267F86"/>
    <w:rsid w:val="00272EE6"/>
    <w:rsid w:val="00275272"/>
    <w:rsid w:val="00281D1D"/>
    <w:rsid w:val="00283CC6"/>
    <w:rsid w:val="00284C04"/>
    <w:rsid w:val="00287312"/>
    <w:rsid w:val="00291FA9"/>
    <w:rsid w:val="00292FCD"/>
    <w:rsid w:val="002976E1"/>
    <w:rsid w:val="00297D19"/>
    <w:rsid w:val="002A348C"/>
    <w:rsid w:val="002A3B79"/>
    <w:rsid w:val="002A5ED9"/>
    <w:rsid w:val="002A60F7"/>
    <w:rsid w:val="002B7D7E"/>
    <w:rsid w:val="002C5CFA"/>
    <w:rsid w:val="002D000B"/>
    <w:rsid w:val="002D02E9"/>
    <w:rsid w:val="002D0906"/>
    <w:rsid w:val="002D606A"/>
    <w:rsid w:val="002D78A0"/>
    <w:rsid w:val="002E5A99"/>
    <w:rsid w:val="002F0343"/>
    <w:rsid w:val="002F2233"/>
    <w:rsid w:val="002F2E26"/>
    <w:rsid w:val="002F6C3B"/>
    <w:rsid w:val="00302CC8"/>
    <w:rsid w:val="003062EF"/>
    <w:rsid w:val="00306542"/>
    <w:rsid w:val="003110DD"/>
    <w:rsid w:val="0031138E"/>
    <w:rsid w:val="003165F9"/>
    <w:rsid w:val="0032112D"/>
    <w:rsid w:val="00326BBE"/>
    <w:rsid w:val="00326E6B"/>
    <w:rsid w:val="00335515"/>
    <w:rsid w:val="00335BD8"/>
    <w:rsid w:val="00340E2A"/>
    <w:rsid w:val="003410A1"/>
    <w:rsid w:val="003465E4"/>
    <w:rsid w:val="003500FA"/>
    <w:rsid w:val="003677A3"/>
    <w:rsid w:val="00367EA7"/>
    <w:rsid w:val="00381A87"/>
    <w:rsid w:val="00382DAE"/>
    <w:rsid w:val="0038302A"/>
    <w:rsid w:val="003835B5"/>
    <w:rsid w:val="00385444"/>
    <w:rsid w:val="00391555"/>
    <w:rsid w:val="00392E6E"/>
    <w:rsid w:val="003937A1"/>
    <w:rsid w:val="003A210C"/>
    <w:rsid w:val="003B2B07"/>
    <w:rsid w:val="003C1FA4"/>
    <w:rsid w:val="003C5C87"/>
    <w:rsid w:val="003C6CF9"/>
    <w:rsid w:val="003C71ED"/>
    <w:rsid w:val="003C7958"/>
    <w:rsid w:val="003D6CBA"/>
    <w:rsid w:val="003E0BBB"/>
    <w:rsid w:val="003E35E3"/>
    <w:rsid w:val="003E712C"/>
    <w:rsid w:val="003F547E"/>
    <w:rsid w:val="00403F29"/>
    <w:rsid w:val="004050C9"/>
    <w:rsid w:val="00405CA7"/>
    <w:rsid w:val="004103F4"/>
    <w:rsid w:val="0041375C"/>
    <w:rsid w:val="00413A57"/>
    <w:rsid w:val="00413B2E"/>
    <w:rsid w:val="00415998"/>
    <w:rsid w:val="00421CF2"/>
    <w:rsid w:val="00424061"/>
    <w:rsid w:val="00425E59"/>
    <w:rsid w:val="004265A9"/>
    <w:rsid w:val="004272EE"/>
    <w:rsid w:val="0044361A"/>
    <w:rsid w:val="00447A46"/>
    <w:rsid w:val="00450A39"/>
    <w:rsid w:val="00452263"/>
    <w:rsid w:val="0045319D"/>
    <w:rsid w:val="00454568"/>
    <w:rsid w:val="00460854"/>
    <w:rsid w:val="00461055"/>
    <w:rsid w:val="0046531C"/>
    <w:rsid w:val="004665A8"/>
    <w:rsid w:val="004677F3"/>
    <w:rsid w:val="00474EC2"/>
    <w:rsid w:val="00476815"/>
    <w:rsid w:val="00483355"/>
    <w:rsid w:val="004A061C"/>
    <w:rsid w:val="004A3DE4"/>
    <w:rsid w:val="004A76A4"/>
    <w:rsid w:val="004B021A"/>
    <w:rsid w:val="004B1D4E"/>
    <w:rsid w:val="004B3DD2"/>
    <w:rsid w:val="004B4803"/>
    <w:rsid w:val="004C0305"/>
    <w:rsid w:val="004C2240"/>
    <w:rsid w:val="004C7651"/>
    <w:rsid w:val="004D75B3"/>
    <w:rsid w:val="004E07D1"/>
    <w:rsid w:val="004E2244"/>
    <w:rsid w:val="004E58D5"/>
    <w:rsid w:val="004E6DE6"/>
    <w:rsid w:val="004E7626"/>
    <w:rsid w:val="004F6E5F"/>
    <w:rsid w:val="005101FB"/>
    <w:rsid w:val="0051344F"/>
    <w:rsid w:val="0051528C"/>
    <w:rsid w:val="00516F54"/>
    <w:rsid w:val="005216ED"/>
    <w:rsid w:val="005238A1"/>
    <w:rsid w:val="00526693"/>
    <w:rsid w:val="00530CB7"/>
    <w:rsid w:val="00537BD1"/>
    <w:rsid w:val="005457D7"/>
    <w:rsid w:val="005568A9"/>
    <w:rsid w:val="00563AF8"/>
    <w:rsid w:val="005678BB"/>
    <w:rsid w:val="00571BDE"/>
    <w:rsid w:val="00581876"/>
    <w:rsid w:val="00582D82"/>
    <w:rsid w:val="0058410D"/>
    <w:rsid w:val="00584496"/>
    <w:rsid w:val="00586CF1"/>
    <w:rsid w:val="00597E4F"/>
    <w:rsid w:val="005A7C54"/>
    <w:rsid w:val="005B4DE4"/>
    <w:rsid w:val="005B6397"/>
    <w:rsid w:val="005C2E3B"/>
    <w:rsid w:val="005C7048"/>
    <w:rsid w:val="005C739C"/>
    <w:rsid w:val="005C7DCF"/>
    <w:rsid w:val="005D1ABB"/>
    <w:rsid w:val="005D283F"/>
    <w:rsid w:val="005D28EC"/>
    <w:rsid w:val="005D4071"/>
    <w:rsid w:val="005D7083"/>
    <w:rsid w:val="005E29C5"/>
    <w:rsid w:val="005F2C5A"/>
    <w:rsid w:val="005F4C77"/>
    <w:rsid w:val="00602DF2"/>
    <w:rsid w:val="00604817"/>
    <w:rsid w:val="006068C4"/>
    <w:rsid w:val="00633FB5"/>
    <w:rsid w:val="006515AD"/>
    <w:rsid w:val="006729F2"/>
    <w:rsid w:val="006777FC"/>
    <w:rsid w:val="00680FD3"/>
    <w:rsid w:val="00682B53"/>
    <w:rsid w:val="006A0D2A"/>
    <w:rsid w:val="006A4BA8"/>
    <w:rsid w:val="006A7DF5"/>
    <w:rsid w:val="006B0B07"/>
    <w:rsid w:val="006B2DE1"/>
    <w:rsid w:val="006C49B8"/>
    <w:rsid w:val="006C749D"/>
    <w:rsid w:val="006D0AEB"/>
    <w:rsid w:val="006D145F"/>
    <w:rsid w:val="006D1C18"/>
    <w:rsid w:val="006D4080"/>
    <w:rsid w:val="006E09EE"/>
    <w:rsid w:val="006E5080"/>
    <w:rsid w:val="006E5228"/>
    <w:rsid w:val="006E6F8F"/>
    <w:rsid w:val="006F68C6"/>
    <w:rsid w:val="006F6B65"/>
    <w:rsid w:val="00700C2C"/>
    <w:rsid w:val="007012DE"/>
    <w:rsid w:val="00702314"/>
    <w:rsid w:val="00705B57"/>
    <w:rsid w:val="00707178"/>
    <w:rsid w:val="00707965"/>
    <w:rsid w:val="00711999"/>
    <w:rsid w:val="00711E18"/>
    <w:rsid w:val="00717197"/>
    <w:rsid w:val="0072053D"/>
    <w:rsid w:val="00724D28"/>
    <w:rsid w:val="00725310"/>
    <w:rsid w:val="00740C77"/>
    <w:rsid w:val="00746B91"/>
    <w:rsid w:val="0075488B"/>
    <w:rsid w:val="00754E01"/>
    <w:rsid w:val="007602A2"/>
    <w:rsid w:val="00764142"/>
    <w:rsid w:val="00775097"/>
    <w:rsid w:val="00781CEE"/>
    <w:rsid w:val="00782FA7"/>
    <w:rsid w:val="007947B5"/>
    <w:rsid w:val="007951CF"/>
    <w:rsid w:val="007A065D"/>
    <w:rsid w:val="007A5589"/>
    <w:rsid w:val="007A6AD9"/>
    <w:rsid w:val="007A7CC9"/>
    <w:rsid w:val="007B00DE"/>
    <w:rsid w:val="007B088D"/>
    <w:rsid w:val="007B2D61"/>
    <w:rsid w:val="007C40CD"/>
    <w:rsid w:val="007C5679"/>
    <w:rsid w:val="007C6DB9"/>
    <w:rsid w:val="007D06CA"/>
    <w:rsid w:val="007D1049"/>
    <w:rsid w:val="007D3418"/>
    <w:rsid w:val="007E022D"/>
    <w:rsid w:val="007E37B9"/>
    <w:rsid w:val="007E458C"/>
    <w:rsid w:val="007F77E0"/>
    <w:rsid w:val="00804D60"/>
    <w:rsid w:val="008055AB"/>
    <w:rsid w:val="00805969"/>
    <w:rsid w:val="00811D98"/>
    <w:rsid w:val="00812542"/>
    <w:rsid w:val="00813367"/>
    <w:rsid w:val="00813C00"/>
    <w:rsid w:val="00816A32"/>
    <w:rsid w:val="00816E2A"/>
    <w:rsid w:val="00817534"/>
    <w:rsid w:val="00822F49"/>
    <w:rsid w:val="00832C98"/>
    <w:rsid w:val="008353A5"/>
    <w:rsid w:val="0084158B"/>
    <w:rsid w:val="008462CF"/>
    <w:rsid w:val="008556AE"/>
    <w:rsid w:val="00861621"/>
    <w:rsid w:val="008626AC"/>
    <w:rsid w:val="00863134"/>
    <w:rsid w:val="0086395A"/>
    <w:rsid w:val="00870D6D"/>
    <w:rsid w:val="008715B7"/>
    <w:rsid w:val="00871627"/>
    <w:rsid w:val="00872011"/>
    <w:rsid w:val="008737A6"/>
    <w:rsid w:val="00876171"/>
    <w:rsid w:val="00876FAC"/>
    <w:rsid w:val="00885D9B"/>
    <w:rsid w:val="008865AA"/>
    <w:rsid w:val="008930CB"/>
    <w:rsid w:val="008A1F1F"/>
    <w:rsid w:val="008B4FF7"/>
    <w:rsid w:val="008B5423"/>
    <w:rsid w:val="008C0F40"/>
    <w:rsid w:val="008C2DFE"/>
    <w:rsid w:val="008C3A7F"/>
    <w:rsid w:val="008C7E27"/>
    <w:rsid w:val="008D0389"/>
    <w:rsid w:val="008D3A45"/>
    <w:rsid w:val="008E280B"/>
    <w:rsid w:val="008E2901"/>
    <w:rsid w:val="008E2E89"/>
    <w:rsid w:val="008E6711"/>
    <w:rsid w:val="008E6E85"/>
    <w:rsid w:val="008F2239"/>
    <w:rsid w:val="008F58F1"/>
    <w:rsid w:val="00905E1F"/>
    <w:rsid w:val="00914636"/>
    <w:rsid w:val="00915AD9"/>
    <w:rsid w:val="00917D69"/>
    <w:rsid w:val="0092075F"/>
    <w:rsid w:val="0092597E"/>
    <w:rsid w:val="00936992"/>
    <w:rsid w:val="00936A47"/>
    <w:rsid w:val="00937724"/>
    <w:rsid w:val="00950968"/>
    <w:rsid w:val="00962FAA"/>
    <w:rsid w:val="0096522E"/>
    <w:rsid w:val="0096789F"/>
    <w:rsid w:val="00987E52"/>
    <w:rsid w:val="00987F8A"/>
    <w:rsid w:val="009A065D"/>
    <w:rsid w:val="009B28E8"/>
    <w:rsid w:val="009B6433"/>
    <w:rsid w:val="009C2250"/>
    <w:rsid w:val="009C312E"/>
    <w:rsid w:val="009C3261"/>
    <w:rsid w:val="009C338E"/>
    <w:rsid w:val="009C595E"/>
    <w:rsid w:val="009C6373"/>
    <w:rsid w:val="009D1326"/>
    <w:rsid w:val="009D27CA"/>
    <w:rsid w:val="009D7189"/>
    <w:rsid w:val="009E724F"/>
    <w:rsid w:val="009E74D0"/>
    <w:rsid w:val="00A0776A"/>
    <w:rsid w:val="00A07BD7"/>
    <w:rsid w:val="00A13D35"/>
    <w:rsid w:val="00A25193"/>
    <w:rsid w:val="00A271E9"/>
    <w:rsid w:val="00A328FE"/>
    <w:rsid w:val="00A333ED"/>
    <w:rsid w:val="00A33F59"/>
    <w:rsid w:val="00A37D0F"/>
    <w:rsid w:val="00A50E85"/>
    <w:rsid w:val="00A516C4"/>
    <w:rsid w:val="00A52FAB"/>
    <w:rsid w:val="00A54BEC"/>
    <w:rsid w:val="00A64F55"/>
    <w:rsid w:val="00A65881"/>
    <w:rsid w:val="00A80345"/>
    <w:rsid w:val="00A858BE"/>
    <w:rsid w:val="00A91667"/>
    <w:rsid w:val="00A92C56"/>
    <w:rsid w:val="00A92E11"/>
    <w:rsid w:val="00AA2430"/>
    <w:rsid w:val="00AA3819"/>
    <w:rsid w:val="00AA59FE"/>
    <w:rsid w:val="00AB5B42"/>
    <w:rsid w:val="00AC2981"/>
    <w:rsid w:val="00AC3904"/>
    <w:rsid w:val="00AC5AF6"/>
    <w:rsid w:val="00AD3B82"/>
    <w:rsid w:val="00AD7CE5"/>
    <w:rsid w:val="00AD7E27"/>
    <w:rsid w:val="00AF36A5"/>
    <w:rsid w:val="00AF4A1F"/>
    <w:rsid w:val="00B0195B"/>
    <w:rsid w:val="00B057E5"/>
    <w:rsid w:val="00B06E77"/>
    <w:rsid w:val="00B07DAC"/>
    <w:rsid w:val="00B12338"/>
    <w:rsid w:val="00B2368C"/>
    <w:rsid w:val="00B26AA4"/>
    <w:rsid w:val="00B27B67"/>
    <w:rsid w:val="00B36DD0"/>
    <w:rsid w:val="00B40C48"/>
    <w:rsid w:val="00B43D9B"/>
    <w:rsid w:val="00B51825"/>
    <w:rsid w:val="00B53404"/>
    <w:rsid w:val="00B62206"/>
    <w:rsid w:val="00B65A36"/>
    <w:rsid w:val="00B673EA"/>
    <w:rsid w:val="00B7028B"/>
    <w:rsid w:val="00B77B32"/>
    <w:rsid w:val="00B815EF"/>
    <w:rsid w:val="00B82795"/>
    <w:rsid w:val="00B854EE"/>
    <w:rsid w:val="00B94DB3"/>
    <w:rsid w:val="00B9551A"/>
    <w:rsid w:val="00B97874"/>
    <w:rsid w:val="00BB37AC"/>
    <w:rsid w:val="00BB4B0F"/>
    <w:rsid w:val="00BB4BAD"/>
    <w:rsid w:val="00BB65A7"/>
    <w:rsid w:val="00BB7501"/>
    <w:rsid w:val="00BD0196"/>
    <w:rsid w:val="00BD201A"/>
    <w:rsid w:val="00BE583E"/>
    <w:rsid w:val="00BF2202"/>
    <w:rsid w:val="00C016A0"/>
    <w:rsid w:val="00C26F7D"/>
    <w:rsid w:val="00C35973"/>
    <w:rsid w:val="00C4128F"/>
    <w:rsid w:val="00C431D0"/>
    <w:rsid w:val="00C432A8"/>
    <w:rsid w:val="00C452C3"/>
    <w:rsid w:val="00C45DAA"/>
    <w:rsid w:val="00C462A1"/>
    <w:rsid w:val="00C504FD"/>
    <w:rsid w:val="00C51E6B"/>
    <w:rsid w:val="00C60AE6"/>
    <w:rsid w:val="00C61374"/>
    <w:rsid w:val="00C63D1C"/>
    <w:rsid w:val="00C6415B"/>
    <w:rsid w:val="00C67891"/>
    <w:rsid w:val="00C72946"/>
    <w:rsid w:val="00C74503"/>
    <w:rsid w:val="00C74616"/>
    <w:rsid w:val="00C75EFB"/>
    <w:rsid w:val="00C95335"/>
    <w:rsid w:val="00C96425"/>
    <w:rsid w:val="00CB10C9"/>
    <w:rsid w:val="00CB3834"/>
    <w:rsid w:val="00CC08C5"/>
    <w:rsid w:val="00CC45A1"/>
    <w:rsid w:val="00CF61ED"/>
    <w:rsid w:val="00D0104B"/>
    <w:rsid w:val="00D03517"/>
    <w:rsid w:val="00D045AA"/>
    <w:rsid w:val="00D1262D"/>
    <w:rsid w:val="00D126B8"/>
    <w:rsid w:val="00D22D2F"/>
    <w:rsid w:val="00D233A4"/>
    <w:rsid w:val="00D240DE"/>
    <w:rsid w:val="00D2472D"/>
    <w:rsid w:val="00D24BD1"/>
    <w:rsid w:val="00D2660A"/>
    <w:rsid w:val="00D328E2"/>
    <w:rsid w:val="00D37B29"/>
    <w:rsid w:val="00D41391"/>
    <w:rsid w:val="00D421B7"/>
    <w:rsid w:val="00D46121"/>
    <w:rsid w:val="00D46176"/>
    <w:rsid w:val="00D46AE3"/>
    <w:rsid w:val="00D47E2C"/>
    <w:rsid w:val="00D509BF"/>
    <w:rsid w:val="00D62A3F"/>
    <w:rsid w:val="00D63B85"/>
    <w:rsid w:val="00D72511"/>
    <w:rsid w:val="00DA4C8C"/>
    <w:rsid w:val="00DA597B"/>
    <w:rsid w:val="00DA6F08"/>
    <w:rsid w:val="00DB4364"/>
    <w:rsid w:val="00DC1BAC"/>
    <w:rsid w:val="00DC2581"/>
    <w:rsid w:val="00DC632E"/>
    <w:rsid w:val="00DD120E"/>
    <w:rsid w:val="00DD63D1"/>
    <w:rsid w:val="00DE7A5C"/>
    <w:rsid w:val="00DF05AD"/>
    <w:rsid w:val="00DF667F"/>
    <w:rsid w:val="00DF73B3"/>
    <w:rsid w:val="00E010DC"/>
    <w:rsid w:val="00E0125D"/>
    <w:rsid w:val="00E03964"/>
    <w:rsid w:val="00E07ECA"/>
    <w:rsid w:val="00E15503"/>
    <w:rsid w:val="00E16007"/>
    <w:rsid w:val="00E20F0A"/>
    <w:rsid w:val="00E2187F"/>
    <w:rsid w:val="00E22392"/>
    <w:rsid w:val="00E27B4F"/>
    <w:rsid w:val="00E359C7"/>
    <w:rsid w:val="00E4173E"/>
    <w:rsid w:val="00E42B2A"/>
    <w:rsid w:val="00E44B9A"/>
    <w:rsid w:val="00E54B53"/>
    <w:rsid w:val="00E57FED"/>
    <w:rsid w:val="00E61D90"/>
    <w:rsid w:val="00E707E2"/>
    <w:rsid w:val="00E7135D"/>
    <w:rsid w:val="00E72709"/>
    <w:rsid w:val="00E80E4D"/>
    <w:rsid w:val="00E8165D"/>
    <w:rsid w:val="00E85C12"/>
    <w:rsid w:val="00E90C50"/>
    <w:rsid w:val="00E93739"/>
    <w:rsid w:val="00E95098"/>
    <w:rsid w:val="00E954DC"/>
    <w:rsid w:val="00E95C0A"/>
    <w:rsid w:val="00E979D9"/>
    <w:rsid w:val="00EA3D48"/>
    <w:rsid w:val="00EA45DE"/>
    <w:rsid w:val="00EB4E76"/>
    <w:rsid w:val="00EB7958"/>
    <w:rsid w:val="00EC08D2"/>
    <w:rsid w:val="00EC1178"/>
    <w:rsid w:val="00EC1BA1"/>
    <w:rsid w:val="00EC5C4D"/>
    <w:rsid w:val="00ED6ACF"/>
    <w:rsid w:val="00ED7848"/>
    <w:rsid w:val="00EF03DA"/>
    <w:rsid w:val="00EF6C5C"/>
    <w:rsid w:val="00F01218"/>
    <w:rsid w:val="00F05587"/>
    <w:rsid w:val="00F07E84"/>
    <w:rsid w:val="00F201A1"/>
    <w:rsid w:val="00F33B09"/>
    <w:rsid w:val="00F341B8"/>
    <w:rsid w:val="00F34813"/>
    <w:rsid w:val="00F36DF1"/>
    <w:rsid w:val="00F400BE"/>
    <w:rsid w:val="00F4500D"/>
    <w:rsid w:val="00F471B6"/>
    <w:rsid w:val="00F472C3"/>
    <w:rsid w:val="00F7237A"/>
    <w:rsid w:val="00F74A70"/>
    <w:rsid w:val="00F77D7C"/>
    <w:rsid w:val="00F840A7"/>
    <w:rsid w:val="00F84A74"/>
    <w:rsid w:val="00F910FA"/>
    <w:rsid w:val="00F93355"/>
    <w:rsid w:val="00F97078"/>
    <w:rsid w:val="00FA27BB"/>
    <w:rsid w:val="00FB720F"/>
    <w:rsid w:val="00FC0F69"/>
    <w:rsid w:val="00FC29F0"/>
    <w:rsid w:val="00FC3670"/>
    <w:rsid w:val="00FC41A8"/>
    <w:rsid w:val="00FD6501"/>
    <w:rsid w:val="00FE1624"/>
    <w:rsid w:val="00FE42DA"/>
    <w:rsid w:val="00FE4BCA"/>
    <w:rsid w:val="00FF1175"/>
    <w:rsid w:val="00FF3CB8"/>
    <w:rsid w:val="00FF4423"/>
    <w:rsid w:val="00FF6731"/>
    <w:rsid w:val="00FF68D8"/>
    <w:rsid w:val="00FF6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AC599"/>
  <w15:chartTrackingRefBased/>
  <w15:docId w15:val="{BEEC2616-4ED3-EC4F-887F-C3105C64A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36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754E01"/>
    <w:pPr>
      <w:spacing w:before="100" w:beforeAutospacing="1" w:after="100" w:afterAutospacing="1"/>
      <w:outlineLvl w:val="2"/>
    </w:pPr>
    <w:rPr>
      <w:rFonts w:eastAsia="Times New Roman" w:cs="Times New Roman"/>
      <w:b/>
      <w:bCs/>
      <w:sz w:val="27"/>
      <w:szCs w:val="27"/>
    </w:rPr>
  </w:style>
  <w:style w:type="paragraph" w:styleId="Heading4">
    <w:name w:val="heading 4"/>
    <w:basedOn w:val="Normal"/>
    <w:next w:val="Normal"/>
    <w:link w:val="Heading4Char"/>
    <w:uiPriority w:val="9"/>
    <w:unhideWhenUsed/>
    <w:qFormat/>
    <w:rsid w:val="006B2DE1"/>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54E01"/>
    <w:rPr>
      <w:rFonts w:eastAsia="Times New Roman" w:cs="Times New Roman"/>
      <w:b/>
      <w:bCs/>
      <w:sz w:val="27"/>
      <w:szCs w:val="27"/>
    </w:rPr>
  </w:style>
  <w:style w:type="paragraph" w:customStyle="1" w:styleId="statutory-body">
    <w:name w:val="statutory-body"/>
    <w:basedOn w:val="Normal"/>
    <w:rsid w:val="00754E01"/>
    <w:pPr>
      <w:spacing w:before="100" w:beforeAutospacing="1" w:after="100" w:afterAutospacing="1"/>
    </w:pPr>
    <w:rPr>
      <w:rFonts w:eastAsia="Times New Roman" w:cs="Times New Roman"/>
    </w:rPr>
  </w:style>
  <w:style w:type="character" w:customStyle="1" w:styleId="apple-converted-space">
    <w:name w:val="apple-converted-space"/>
    <w:basedOn w:val="DefaultParagraphFont"/>
    <w:rsid w:val="00754E01"/>
  </w:style>
  <w:style w:type="paragraph" w:customStyle="1" w:styleId="statutory-body-1em">
    <w:name w:val="statutory-body-1em"/>
    <w:basedOn w:val="Normal"/>
    <w:rsid w:val="00754E01"/>
    <w:pPr>
      <w:spacing w:before="100" w:beforeAutospacing="1" w:after="100" w:afterAutospacing="1"/>
    </w:pPr>
    <w:rPr>
      <w:rFonts w:eastAsia="Times New Roman" w:cs="Times New Roman"/>
    </w:rPr>
  </w:style>
  <w:style w:type="paragraph" w:customStyle="1" w:styleId="source-credit">
    <w:name w:val="source-credit"/>
    <w:basedOn w:val="Normal"/>
    <w:rsid w:val="00754E01"/>
    <w:pPr>
      <w:spacing w:before="100" w:beforeAutospacing="1" w:after="100" w:afterAutospacing="1"/>
    </w:pPr>
    <w:rPr>
      <w:rFonts w:eastAsia="Times New Roman" w:cs="Times New Roman"/>
    </w:rPr>
  </w:style>
  <w:style w:type="character" w:styleId="Hyperlink">
    <w:name w:val="Hyperlink"/>
    <w:basedOn w:val="DefaultParagraphFont"/>
    <w:uiPriority w:val="99"/>
    <w:unhideWhenUsed/>
    <w:rsid w:val="00754E01"/>
    <w:rPr>
      <w:color w:val="0000FF"/>
      <w:u w:val="single"/>
    </w:rPr>
  </w:style>
  <w:style w:type="character" w:styleId="UnresolvedMention">
    <w:name w:val="Unresolved Mention"/>
    <w:basedOn w:val="DefaultParagraphFont"/>
    <w:uiPriority w:val="99"/>
    <w:semiHidden/>
    <w:unhideWhenUsed/>
    <w:rsid w:val="005E29C5"/>
    <w:rPr>
      <w:color w:val="605E5C"/>
      <w:shd w:val="clear" w:color="auto" w:fill="E1DFDD"/>
    </w:rPr>
  </w:style>
  <w:style w:type="paragraph" w:styleId="NormalWeb">
    <w:name w:val="Normal (Web)"/>
    <w:basedOn w:val="Normal"/>
    <w:uiPriority w:val="99"/>
    <w:unhideWhenUsed/>
    <w:rsid w:val="00AF36A5"/>
    <w:pPr>
      <w:spacing w:before="100" w:beforeAutospacing="1" w:after="100" w:afterAutospacing="1"/>
    </w:pPr>
    <w:rPr>
      <w:rFonts w:eastAsia="Times New Roman" w:cs="Times New Roman"/>
    </w:rPr>
  </w:style>
  <w:style w:type="paragraph" w:styleId="ListParagraph">
    <w:name w:val="List Paragraph"/>
    <w:basedOn w:val="Normal"/>
    <w:uiPriority w:val="34"/>
    <w:qFormat/>
    <w:rsid w:val="00AF36A5"/>
    <w:pPr>
      <w:ind w:left="720"/>
      <w:contextualSpacing/>
    </w:pPr>
  </w:style>
  <w:style w:type="character" w:customStyle="1" w:styleId="Heading1Char">
    <w:name w:val="Heading 1 Char"/>
    <w:basedOn w:val="DefaultParagraphFont"/>
    <w:link w:val="Heading1"/>
    <w:uiPriority w:val="9"/>
    <w:rsid w:val="0044361A"/>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unhideWhenUsed/>
    <w:rsid w:val="00C61374"/>
    <w:rPr>
      <w:sz w:val="20"/>
      <w:szCs w:val="20"/>
    </w:rPr>
  </w:style>
  <w:style w:type="character" w:customStyle="1" w:styleId="FootnoteTextChar">
    <w:name w:val="Footnote Text Char"/>
    <w:basedOn w:val="DefaultParagraphFont"/>
    <w:link w:val="FootnoteText"/>
    <w:uiPriority w:val="99"/>
    <w:rsid w:val="00C61374"/>
    <w:rPr>
      <w:sz w:val="20"/>
      <w:szCs w:val="20"/>
    </w:rPr>
  </w:style>
  <w:style w:type="character" w:styleId="FootnoteReference">
    <w:name w:val="footnote reference"/>
    <w:basedOn w:val="DefaultParagraphFont"/>
    <w:uiPriority w:val="99"/>
    <w:semiHidden/>
    <w:unhideWhenUsed/>
    <w:rsid w:val="00C61374"/>
    <w:rPr>
      <w:vertAlign w:val="superscript"/>
    </w:rPr>
  </w:style>
  <w:style w:type="character" w:customStyle="1" w:styleId="Heading4Char">
    <w:name w:val="Heading 4 Char"/>
    <w:basedOn w:val="DefaultParagraphFont"/>
    <w:link w:val="Heading4"/>
    <w:uiPriority w:val="9"/>
    <w:rsid w:val="006B2DE1"/>
    <w:rPr>
      <w:rFonts w:asciiTheme="majorHAnsi" w:eastAsiaTheme="majorEastAsia" w:hAnsiTheme="majorHAnsi" w:cstheme="majorBidi"/>
      <w:i/>
      <w:iCs/>
      <w:color w:val="2F5496" w:themeColor="accent1" w:themeShade="BF"/>
    </w:rPr>
  </w:style>
  <w:style w:type="paragraph" w:customStyle="1" w:styleId="statutory-body-2em">
    <w:name w:val="statutory-body-2em"/>
    <w:basedOn w:val="Normal"/>
    <w:rsid w:val="00272EE6"/>
    <w:pPr>
      <w:spacing w:before="100" w:beforeAutospacing="1" w:after="100" w:afterAutospacing="1"/>
    </w:pPr>
    <w:rPr>
      <w:rFonts w:eastAsia="Times New Roman" w:cs="Times New Roman"/>
    </w:rPr>
  </w:style>
  <w:style w:type="paragraph" w:customStyle="1" w:styleId="statutory-body-block">
    <w:name w:val="statutory-body-block"/>
    <w:basedOn w:val="Normal"/>
    <w:rsid w:val="007B00DE"/>
    <w:pPr>
      <w:spacing w:before="100" w:beforeAutospacing="1" w:after="100" w:afterAutospacing="1"/>
    </w:pPr>
    <w:rPr>
      <w:rFonts w:eastAsia="Times New Roman" w:cs="Times New Roman"/>
    </w:rPr>
  </w:style>
  <w:style w:type="paragraph" w:styleId="Footer">
    <w:name w:val="footer"/>
    <w:basedOn w:val="Normal"/>
    <w:link w:val="FooterChar"/>
    <w:uiPriority w:val="99"/>
    <w:unhideWhenUsed/>
    <w:rsid w:val="00335515"/>
    <w:pPr>
      <w:tabs>
        <w:tab w:val="center" w:pos="4680"/>
        <w:tab w:val="right" w:pos="9360"/>
      </w:tabs>
    </w:pPr>
  </w:style>
  <w:style w:type="character" w:customStyle="1" w:styleId="FooterChar">
    <w:name w:val="Footer Char"/>
    <w:basedOn w:val="DefaultParagraphFont"/>
    <w:link w:val="Footer"/>
    <w:uiPriority w:val="99"/>
    <w:rsid w:val="00335515"/>
  </w:style>
  <w:style w:type="character" w:styleId="PageNumber">
    <w:name w:val="page number"/>
    <w:basedOn w:val="DefaultParagraphFont"/>
    <w:uiPriority w:val="99"/>
    <w:semiHidden/>
    <w:unhideWhenUsed/>
    <w:rsid w:val="00335515"/>
  </w:style>
  <w:style w:type="paragraph" w:styleId="Revision">
    <w:name w:val="Revision"/>
    <w:hidden/>
    <w:uiPriority w:val="99"/>
    <w:semiHidden/>
    <w:rsid w:val="001E4436"/>
  </w:style>
  <w:style w:type="character" w:styleId="CommentReference">
    <w:name w:val="annotation reference"/>
    <w:basedOn w:val="DefaultParagraphFont"/>
    <w:uiPriority w:val="99"/>
    <w:semiHidden/>
    <w:unhideWhenUsed/>
    <w:rsid w:val="00B40C48"/>
    <w:rPr>
      <w:sz w:val="16"/>
      <w:szCs w:val="16"/>
    </w:rPr>
  </w:style>
  <w:style w:type="paragraph" w:styleId="CommentText">
    <w:name w:val="annotation text"/>
    <w:basedOn w:val="Normal"/>
    <w:link w:val="CommentTextChar"/>
    <w:uiPriority w:val="99"/>
    <w:semiHidden/>
    <w:unhideWhenUsed/>
    <w:rsid w:val="00B40C48"/>
    <w:rPr>
      <w:sz w:val="20"/>
      <w:szCs w:val="20"/>
    </w:rPr>
  </w:style>
  <w:style w:type="character" w:customStyle="1" w:styleId="CommentTextChar">
    <w:name w:val="Comment Text Char"/>
    <w:basedOn w:val="DefaultParagraphFont"/>
    <w:link w:val="CommentText"/>
    <w:uiPriority w:val="99"/>
    <w:semiHidden/>
    <w:rsid w:val="00B40C48"/>
    <w:rPr>
      <w:sz w:val="20"/>
      <w:szCs w:val="20"/>
    </w:rPr>
  </w:style>
  <w:style w:type="paragraph" w:styleId="CommentSubject">
    <w:name w:val="annotation subject"/>
    <w:basedOn w:val="CommentText"/>
    <w:next w:val="CommentText"/>
    <w:link w:val="CommentSubjectChar"/>
    <w:uiPriority w:val="99"/>
    <w:semiHidden/>
    <w:unhideWhenUsed/>
    <w:rsid w:val="00B40C48"/>
    <w:rPr>
      <w:b/>
      <w:bCs/>
    </w:rPr>
  </w:style>
  <w:style w:type="character" w:customStyle="1" w:styleId="CommentSubjectChar">
    <w:name w:val="Comment Subject Char"/>
    <w:basedOn w:val="CommentTextChar"/>
    <w:link w:val="CommentSubject"/>
    <w:uiPriority w:val="99"/>
    <w:semiHidden/>
    <w:rsid w:val="00B40C4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8151">
      <w:bodyDiv w:val="1"/>
      <w:marLeft w:val="0"/>
      <w:marRight w:val="0"/>
      <w:marTop w:val="0"/>
      <w:marBottom w:val="0"/>
      <w:divBdr>
        <w:top w:val="none" w:sz="0" w:space="0" w:color="auto"/>
        <w:left w:val="none" w:sz="0" w:space="0" w:color="auto"/>
        <w:bottom w:val="none" w:sz="0" w:space="0" w:color="auto"/>
        <w:right w:val="none" w:sz="0" w:space="0" w:color="auto"/>
      </w:divBdr>
      <w:divsChild>
        <w:div w:id="1405764636">
          <w:marLeft w:val="0"/>
          <w:marRight w:val="0"/>
          <w:marTop w:val="0"/>
          <w:marBottom w:val="0"/>
          <w:divBdr>
            <w:top w:val="none" w:sz="0" w:space="0" w:color="auto"/>
            <w:left w:val="none" w:sz="0" w:space="0" w:color="auto"/>
            <w:bottom w:val="none" w:sz="0" w:space="0" w:color="auto"/>
            <w:right w:val="none" w:sz="0" w:space="0" w:color="auto"/>
          </w:divBdr>
        </w:div>
      </w:divsChild>
    </w:div>
    <w:div w:id="45182173">
      <w:bodyDiv w:val="1"/>
      <w:marLeft w:val="0"/>
      <w:marRight w:val="0"/>
      <w:marTop w:val="0"/>
      <w:marBottom w:val="0"/>
      <w:divBdr>
        <w:top w:val="none" w:sz="0" w:space="0" w:color="auto"/>
        <w:left w:val="none" w:sz="0" w:space="0" w:color="auto"/>
        <w:bottom w:val="none" w:sz="0" w:space="0" w:color="auto"/>
        <w:right w:val="none" w:sz="0" w:space="0" w:color="auto"/>
      </w:divBdr>
    </w:div>
    <w:div w:id="56099013">
      <w:bodyDiv w:val="1"/>
      <w:marLeft w:val="0"/>
      <w:marRight w:val="0"/>
      <w:marTop w:val="0"/>
      <w:marBottom w:val="0"/>
      <w:divBdr>
        <w:top w:val="none" w:sz="0" w:space="0" w:color="auto"/>
        <w:left w:val="none" w:sz="0" w:space="0" w:color="auto"/>
        <w:bottom w:val="none" w:sz="0" w:space="0" w:color="auto"/>
        <w:right w:val="none" w:sz="0" w:space="0" w:color="auto"/>
      </w:divBdr>
      <w:divsChild>
        <w:div w:id="457531806">
          <w:marLeft w:val="0"/>
          <w:marRight w:val="0"/>
          <w:marTop w:val="0"/>
          <w:marBottom w:val="0"/>
          <w:divBdr>
            <w:top w:val="none" w:sz="0" w:space="0" w:color="auto"/>
            <w:left w:val="none" w:sz="0" w:space="0" w:color="auto"/>
            <w:bottom w:val="none" w:sz="0" w:space="0" w:color="auto"/>
            <w:right w:val="none" w:sz="0" w:space="0" w:color="auto"/>
          </w:divBdr>
        </w:div>
      </w:divsChild>
    </w:div>
    <w:div w:id="132406584">
      <w:bodyDiv w:val="1"/>
      <w:marLeft w:val="0"/>
      <w:marRight w:val="0"/>
      <w:marTop w:val="0"/>
      <w:marBottom w:val="0"/>
      <w:divBdr>
        <w:top w:val="none" w:sz="0" w:space="0" w:color="auto"/>
        <w:left w:val="none" w:sz="0" w:space="0" w:color="auto"/>
        <w:bottom w:val="none" w:sz="0" w:space="0" w:color="auto"/>
        <w:right w:val="none" w:sz="0" w:space="0" w:color="auto"/>
      </w:divBdr>
    </w:div>
    <w:div w:id="141318378">
      <w:bodyDiv w:val="1"/>
      <w:marLeft w:val="0"/>
      <w:marRight w:val="0"/>
      <w:marTop w:val="0"/>
      <w:marBottom w:val="0"/>
      <w:divBdr>
        <w:top w:val="none" w:sz="0" w:space="0" w:color="auto"/>
        <w:left w:val="none" w:sz="0" w:space="0" w:color="auto"/>
        <w:bottom w:val="none" w:sz="0" w:space="0" w:color="auto"/>
        <w:right w:val="none" w:sz="0" w:space="0" w:color="auto"/>
      </w:divBdr>
    </w:div>
    <w:div w:id="147597337">
      <w:bodyDiv w:val="1"/>
      <w:marLeft w:val="0"/>
      <w:marRight w:val="0"/>
      <w:marTop w:val="0"/>
      <w:marBottom w:val="0"/>
      <w:divBdr>
        <w:top w:val="none" w:sz="0" w:space="0" w:color="auto"/>
        <w:left w:val="none" w:sz="0" w:space="0" w:color="auto"/>
        <w:bottom w:val="none" w:sz="0" w:space="0" w:color="auto"/>
        <w:right w:val="none" w:sz="0" w:space="0" w:color="auto"/>
      </w:divBdr>
    </w:div>
    <w:div w:id="227619017">
      <w:bodyDiv w:val="1"/>
      <w:marLeft w:val="0"/>
      <w:marRight w:val="0"/>
      <w:marTop w:val="0"/>
      <w:marBottom w:val="0"/>
      <w:divBdr>
        <w:top w:val="none" w:sz="0" w:space="0" w:color="auto"/>
        <w:left w:val="none" w:sz="0" w:space="0" w:color="auto"/>
        <w:bottom w:val="none" w:sz="0" w:space="0" w:color="auto"/>
        <w:right w:val="none" w:sz="0" w:space="0" w:color="auto"/>
      </w:divBdr>
    </w:div>
    <w:div w:id="324011396">
      <w:bodyDiv w:val="1"/>
      <w:marLeft w:val="0"/>
      <w:marRight w:val="0"/>
      <w:marTop w:val="0"/>
      <w:marBottom w:val="0"/>
      <w:divBdr>
        <w:top w:val="none" w:sz="0" w:space="0" w:color="auto"/>
        <w:left w:val="none" w:sz="0" w:space="0" w:color="auto"/>
        <w:bottom w:val="none" w:sz="0" w:space="0" w:color="auto"/>
        <w:right w:val="none" w:sz="0" w:space="0" w:color="auto"/>
      </w:divBdr>
    </w:div>
    <w:div w:id="357661454">
      <w:bodyDiv w:val="1"/>
      <w:marLeft w:val="0"/>
      <w:marRight w:val="0"/>
      <w:marTop w:val="0"/>
      <w:marBottom w:val="0"/>
      <w:divBdr>
        <w:top w:val="none" w:sz="0" w:space="0" w:color="auto"/>
        <w:left w:val="none" w:sz="0" w:space="0" w:color="auto"/>
        <w:bottom w:val="none" w:sz="0" w:space="0" w:color="auto"/>
        <w:right w:val="none" w:sz="0" w:space="0" w:color="auto"/>
      </w:divBdr>
    </w:div>
    <w:div w:id="366420056">
      <w:bodyDiv w:val="1"/>
      <w:marLeft w:val="0"/>
      <w:marRight w:val="0"/>
      <w:marTop w:val="0"/>
      <w:marBottom w:val="0"/>
      <w:divBdr>
        <w:top w:val="none" w:sz="0" w:space="0" w:color="auto"/>
        <w:left w:val="none" w:sz="0" w:space="0" w:color="auto"/>
        <w:bottom w:val="none" w:sz="0" w:space="0" w:color="auto"/>
        <w:right w:val="none" w:sz="0" w:space="0" w:color="auto"/>
      </w:divBdr>
      <w:divsChild>
        <w:div w:id="1369335269">
          <w:marLeft w:val="0"/>
          <w:marRight w:val="0"/>
          <w:marTop w:val="0"/>
          <w:marBottom w:val="0"/>
          <w:divBdr>
            <w:top w:val="none" w:sz="0" w:space="0" w:color="auto"/>
            <w:left w:val="none" w:sz="0" w:space="0" w:color="auto"/>
            <w:bottom w:val="none" w:sz="0" w:space="0" w:color="auto"/>
            <w:right w:val="none" w:sz="0" w:space="0" w:color="auto"/>
          </w:divBdr>
          <w:divsChild>
            <w:div w:id="120877867">
              <w:marLeft w:val="0"/>
              <w:marRight w:val="0"/>
              <w:marTop w:val="0"/>
              <w:marBottom w:val="0"/>
              <w:divBdr>
                <w:top w:val="none" w:sz="0" w:space="0" w:color="auto"/>
                <w:left w:val="none" w:sz="0" w:space="0" w:color="auto"/>
                <w:bottom w:val="none" w:sz="0" w:space="0" w:color="auto"/>
                <w:right w:val="none" w:sz="0" w:space="0" w:color="auto"/>
              </w:divBdr>
              <w:divsChild>
                <w:div w:id="749431205">
                  <w:marLeft w:val="0"/>
                  <w:marRight w:val="0"/>
                  <w:marTop w:val="0"/>
                  <w:marBottom w:val="0"/>
                  <w:divBdr>
                    <w:top w:val="none" w:sz="0" w:space="0" w:color="auto"/>
                    <w:left w:val="none" w:sz="0" w:space="0" w:color="auto"/>
                    <w:bottom w:val="none" w:sz="0" w:space="0" w:color="auto"/>
                    <w:right w:val="none" w:sz="0" w:space="0" w:color="auto"/>
                  </w:divBdr>
                  <w:divsChild>
                    <w:div w:id="185533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7992394">
      <w:bodyDiv w:val="1"/>
      <w:marLeft w:val="0"/>
      <w:marRight w:val="0"/>
      <w:marTop w:val="0"/>
      <w:marBottom w:val="0"/>
      <w:divBdr>
        <w:top w:val="none" w:sz="0" w:space="0" w:color="auto"/>
        <w:left w:val="none" w:sz="0" w:space="0" w:color="auto"/>
        <w:bottom w:val="none" w:sz="0" w:space="0" w:color="auto"/>
        <w:right w:val="none" w:sz="0" w:space="0" w:color="auto"/>
      </w:divBdr>
      <w:divsChild>
        <w:div w:id="1765960135">
          <w:marLeft w:val="0"/>
          <w:marRight w:val="0"/>
          <w:marTop w:val="0"/>
          <w:marBottom w:val="0"/>
          <w:divBdr>
            <w:top w:val="none" w:sz="0" w:space="0" w:color="auto"/>
            <w:left w:val="none" w:sz="0" w:space="0" w:color="auto"/>
            <w:bottom w:val="none" w:sz="0" w:space="0" w:color="auto"/>
            <w:right w:val="none" w:sz="0" w:space="0" w:color="auto"/>
          </w:divBdr>
          <w:divsChild>
            <w:div w:id="1775706374">
              <w:marLeft w:val="0"/>
              <w:marRight w:val="0"/>
              <w:marTop w:val="0"/>
              <w:marBottom w:val="0"/>
              <w:divBdr>
                <w:top w:val="none" w:sz="0" w:space="0" w:color="auto"/>
                <w:left w:val="none" w:sz="0" w:space="0" w:color="auto"/>
                <w:bottom w:val="none" w:sz="0" w:space="0" w:color="auto"/>
                <w:right w:val="none" w:sz="0" w:space="0" w:color="auto"/>
              </w:divBdr>
              <w:divsChild>
                <w:div w:id="1947224292">
                  <w:marLeft w:val="0"/>
                  <w:marRight w:val="0"/>
                  <w:marTop w:val="0"/>
                  <w:marBottom w:val="0"/>
                  <w:divBdr>
                    <w:top w:val="none" w:sz="0" w:space="0" w:color="auto"/>
                    <w:left w:val="none" w:sz="0" w:space="0" w:color="auto"/>
                    <w:bottom w:val="none" w:sz="0" w:space="0" w:color="auto"/>
                    <w:right w:val="none" w:sz="0" w:space="0" w:color="auto"/>
                  </w:divBdr>
                  <w:divsChild>
                    <w:div w:id="159169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684073">
      <w:bodyDiv w:val="1"/>
      <w:marLeft w:val="0"/>
      <w:marRight w:val="0"/>
      <w:marTop w:val="0"/>
      <w:marBottom w:val="0"/>
      <w:divBdr>
        <w:top w:val="none" w:sz="0" w:space="0" w:color="auto"/>
        <w:left w:val="none" w:sz="0" w:space="0" w:color="auto"/>
        <w:bottom w:val="none" w:sz="0" w:space="0" w:color="auto"/>
        <w:right w:val="none" w:sz="0" w:space="0" w:color="auto"/>
      </w:divBdr>
      <w:divsChild>
        <w:div w:id="1854104734">
          <w:marLeft w:val="0"/>
          <w:marRight w:val="0"/>
          <w:marTop w:val="0"/>
          <w:marBottom w:val="0"/>
          <w:divBdr>
            <w:top w:val="none" w:sz="0" w:space="0" w:color="auto"/>
            <w:left w:val="none" w:sz="0" w:space="0" w:color="auto"/>
            <w:bottom w:val="none" w:sz="0" w:space="0" w:color="auto"/>
            <w:right w:val="none" w:sz="0" w:space="0" w:color="auto"/>
          </w:divBdr>
          <w:divsChild>
            <w:div w:id="1627541132">
              <w:marLeft w:val="0"/>
              <w:marRight w:val="0"/>
              <w:marTop w:val="0"/>
              <w:marBottom w:val="0"/>
              <w:divBdr>
                <w:top w:val="none" w:sz="0" w:space="0" w:color="auto"/>
                <w:left w:val="none" w:sz="0" w:space="0" w:color="auto"/>
                <w:bottom w:val="none" w:sz="0" w:space="0" w:color="auto"/>
                <w:right w:val="none" w:sz="0" w:space="0" w:color="auto"/>
              </w:divBdr>
              <w:divsChild>
                <w:div w:id="1434981466">
                  <w:marLeft w:val="0"/>
                  <w:marRight w:val="0"/>
                  <w:marTop w:val="0"/>
                  <w:marBottom w:val="0"/>
                  <w:divBdr>
                    <w:top w:val="none" w:sz="0" w:space="0" w:color="auto"/>
                    <w:left w:val="none" w:sz="0" w:space="0" w:color="auto"/>
                    <w:bottom w:val="none" w:sz="0" w:space="0" w:color="auto"/>
                    <w:right w:val="none" w:sz="0" w:space="0" w:color="auto"/>
                  </w:divBdr>
                  <w:divsChild>
                    <w:div w:id="210660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1464">
      <w:bodyDiv w:val="1"/>
      <w:marLeft w:val="0"/>
      <w:marRight w:val="0"/>
      <w:marTop w:val="0"/>
      <w:marBottom w:val="0"/>
      <w:divBdr>
        <w:top w:val="none" w:sz="0" w:space="0" w:color="auto"/>
        <w:left w:val="none" w:sz="0" w:space="0" w:color="auto"/>
        <w:bottom w:val="none" w:sz="0" w:space="0" w:color="auto"/>
        <w:right w:val="none" w:sz="0" w:space="0" w:color="auto"/>
      </w:divBdr>
      <w:divsChild>
        <w:div w:id="1223059212">
          <w:marLeft w:val="240"/>
          <w:marRight w:val="0"/>
          <w:marTop w:val="60"/>
          <w:marBottom w:val="60"/>
          <w:divBdr>
            <w:top w:val="none" w:sz="0" w:space="0" w:color="auto"/>
            <w:left w:val="none" w:sz="0" w:space="0" w:color="auto"/>
            <w:bottom w:val="none" w:sz="0" w:space="0" w:color="auto"/>
            <w:right w:val="none" w:sz="0" w:space="0" w:color="auto"/>
          </w:divBdr>
          <w:divsChild>
            <w:div w:id="713576093">
              <w:marLeft w:val="240"/>
              <w:marRight w:val="0"/>
              <w:marTop w:val="60"/>
              <w:marBottom w:val="60"/>
              <w:divBdr>
                <w:top w:val="none" w:sz="0" w:space="0" w:color="auto"/>
                <w:left w:val="none" w:sz="0" w:space="0" w:color="auto"/>
                <w:bottom w:val="none" w:sz="0" w:space="0" w:color="auto"/>
                <w:right w:val="none" w:sz="0" w:space="0" w:color="auto"/>
              </w:divBdr>
              <w:divsChild>
                <w:div w:id="1311864004">
                  <w:marLeft w:val="0"/>
                  <w:marRight w:val="0"/>
                  <w:marTop w:val="0"/>
                  <w:marBottom w:val="0"/>
                  <w:divBdr>
                    <w:top w:val="none" w:sz="0" w:space="0" w:color="auto"/>
                    <w:left w:val="none" w:sz="0" w:space="0" w:color="auto"/>
                    <w:bottom w:val="none" w:sz="0" w:space="0" w:color="auto"/>
                    <w:right w:val="none" w:sz="0" w:space="0" w:color="auto"/>
                  </w:divBdr>
                </w:div>
              </w:divsChild>
            </w:div>
            <w:div w:id="1868370979">
              <w:marLeft w:val="240"/>
              <w:marRight w:val="0"/>
              <w:marTop w:val="60"/>
              <w:marBottom w:val="60"/>
              <w:divBdr>
                <w:top w:val="none" w:sz="0" w:space="0" w:color="auto"/>
                <w:left w:val="none" w:sz="0" w:space="0" w:color="auto"/>
                <w:bottom w:val="none" w:sz="0" w:space="0" w:color="auto"/>
                <w:right w:val="none" w:sz="0" w:space="0" w:color="auto"/>
              </w:divBdr>
              <w:divsChild>
                <w:div w:id="1826966209">
                  <w:marLeft w:val="0"/>
                  <w:marRight w:val="0"/>
                  <w:marTop w:val="0"/>
                  <w:marBottom w:val="0"/>
                  <w:divBdr>
                    <w:top w:val="none" w:sz="0" w:space="0" w:color="auto"/>
                    <w:left w:val="none" w:sz="0" w:space="0" w:color="auto"/>
                    <w:bottom w:val="none" w:sz="0" w:space="0" w:color="auto"/>
                    <w:right w:val="none" w:sz="0" w:space="0" w:color="auto"/>
                  </w:divBdr>
                </w:div>
              </w:divsChild>
            </w:div>
            <w:div w:id="1307976895">
              <w:marLeft w:val="240"/>
              <w:marRight w:val="0"/>
              <w:marTop w:val="60"/>
              <w:marBottom w:val="60"/>
              <w:divBdr>
                <w:top w:val="none" w:sz="0" w:space="0" w:color="auto"/>
                <w:left w:val="none" w:sz="0" w:space="0" w:color="auto"/>
                <w:bottom w:val="none" w:sz="0" w:space="0" w:color="auto"/>
                <w:right w:val="none" w:sz="0" w:space="0" w:color="auto"/>
              </w:divBdr>
              <w:divsChild>
                <w:div w:id="34833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397416">
          <w:marLeft w:val="240"/>
          <w:marRight w:val="0"/>
          <w:marTop w:val="60"/>
          <w:marBottom w:val="60"/>
          <w:divBdr>
            <w:top w:val="none" w:sz="0" w:space="0" w:color="auto"/>
            <w:left w:val="none" w:sz="0" w:space="0" w:color="auto"/>
            <w:bottom w:val="none" w:sz="0" w:space="0" w:color="auto"/>
            <w:right w:val="none" w:sz="0" w:space="0" w:color="auto"/>
          </w:divBdr>
          <w:divsChild>
            <w:div w:id="1430663551">
              <w:marLeft w:val="0"/>
              <w:marRight w:val="0"/>
              <w:marTop w:val="0"/>
              <w:marBottom w:val="0"/>
              <w:divBdr>
                <w:top w:val="none" w:sz="0" w:space="0" w:color="auto"/>
                <w:left w:val="none" w:sz="0" w:space="0" w:color="auto"/>
                <w:bottom w:val="none" w:sz="0" w:space="0" w:color="auto"/>
                <w:right w:val="none" w:sz="0" w:space="0" w:color="auto"/>
              </w:divBdr>
            </w:div>
          </w:divsChild>
        </w:div>
        <w:div w:id="1242789183">
          <w:marLeft w:val="240"/>
          <w:marRight w:val="0"/>
          <w:marTop w:val="60"/>
          <w:marBottom w:val="60"/>
          <w:divBdr>
            <w:top w:val="none" w:sz="0" w:space="0" w:color="auto"/>
            <w:left w:val="none" w:sz="0" w:space="0" w:color="auto"/>
            <w:bottom w:val="none" w:sz="0" w:space="0" w:color="auto"/>
            <w:right w:val="none" w:sz="0" w:space="0" w:color="auto"/>
          </w:divBdr>
          <w:divsChild>
            <w:div w:id="877427359">
              <w:marLeft w:val="0"/>
              <w:marRight w:val="0"/>
              <w:marTop w:val="0"/>
              <w:marBottom w:val="0"/>
              <w:divBdr>
                <w:top w:val="none" w:sz="0" w:space="0" w:color="auto"/>
                <w:left w:val="none" w:sz="0" w:space="0" w:color="auto"/>
                <w:bottom w:val="none" w:sz="0" w:space="0" w:color="auto"/>
                <w:right w:val="none" w:sz="0" w:space="0" w:color="auto"/>
              </w:divBdr>
            </w:div>
          </w:divsChild>
        </w:div>
        <w:div w:id="1451820993">
          <w:marLeft w:val="240"/>
          <w:marRight w:val="0"/>
          <w:marTop w:val="60"/>
          <w:marBottom w:val="60"/>
          <w:divBdr>
            <w:top w:val="none" w:sz="0" w:space="0" w:color="auto"/>
            <w:left w:val="none" w:sz="0" w:space="0" w:color="auto"/>
            <w:bottom w:val="none" w:sz="0" w:space="0" w:color="auto"/>
            <w:right w:val="none" w:sz="0" w:space="0" w:color="auto"/>
          </w:divBdr>
          <w:divsChild>
            <w:div w:id="528104808">
              <w:marLeft w:val="240"/>
              <w:marRight w:val="0"/>
              <w:marTop w:val="60"/>
              <w:marBottom w:val="60"/>
              <w:divBdr>
                <w:top w:val="none" w:sz="0" w:space="0" w:color="auto"/>
                <w:left w:val="none" w:sz="0" w:space="0" w:color="auto"/>
                <w:bottom w:val="none" w:sz="0" w:space="0" w:color="auto"/>
                <w:right w:val="none" w:sz="0" w:space="0" w:color="auto"/>
              </w:divBdr>
              <w:divsChild>
                <w:div w:id="777139264">
                  <w:marLeft w:val="0"/>
                  <w:marRight w:val="0"/>
                  <w:marTop w:val="0"/>
                  <w:marBottom w:val="0"/>
                  <w:divBdr>
                    <w:top w:val="none" w:sz="0" w:space="0" w:color="auto"/>
                    <w:left w:val="none" w:sz="0" w:space="0" w:color="auto"/>
                    <w:bottom w:val="none" w:sz="0" w:space="0" w:color="auto"/>
                    <w:right w:val="none" w:sz="0" w:space="0" w:color="auto"/>
                  </w:divBdr>
                </w:div>
              </w:divsChild>
            </w:div>
            <w:div w:id="2091266984">
              <w:marLeft w:val="240"/>
              <w:marRight w:val="0"/>
              <w:marTop w:val="60"/>
              <w:marBottom w:val="60"/>
              <w:divBdr>
                <w:top w:val="none" w:sz="0" w:space="0" w:color="auto"/>
                <w:left w:val="none" w:sz="0" w:space="0" w:color="auto"/>
                <w:bottom w:val="none" w:sz="0" w:space="0" w:color="auto"/>
                <w:right w:val="none" w:sz="0" w:space="0" w:color="auto"/>
              </w:divBdr>
              <w:divsChild>
                <w:div w:id="140314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433496">
          <w:marLeft w:val="240"/>
          <w:marRight w:val="0"/>
          <w:marTop w:val="60"/>
          <w:marBottom w:val="60"/>
          <w:divBdr>
            <w:top w:val="none" w:sz="0" w:space="0" w:color="auto"/>
            <w:left w:val="none" w:sz="0" w:space="0" w:color="auto"/>
            <w:bottom w:val="none" w:sz="0" w:space="0" w:color="auto"/>
            <w:right w:val="none" w:sz="0" w:space="0" w:color="auto"/>
          </w:divBdr>
          <w:divsChild>
            <w:div w:id="2073917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495740">
      <w:bodyDiv w:val="1"/>
      <w:marLeft w:val="0"/>
      <w:marRight w:val="0"/>
      <w:marTop w:val="0"/>
      <w:marBottom w:val="0"/>
      <w:divBdr>
        <w:top w:val="none" w:sz="0" w:space="0" w:color="auto"/>
        <w:left w:val="none" w:sz="0" w:space="0" w:color="auto"/>
        <w:bottom w:val="none" w:sz="0" w:space="0" w:color="auto"/>
        <w:right w:val="none" w:sz="0" w:space="0" w:color="auto"/>
      </w:divBdr>
      <w:divsChild>
        <w:div w:id="1244487741">
          <w:marLeft w:val="0"/>
          <w:marRight w:val="0"/>
          <w:marTop w:val="0"/>
          <w:marBottom w:val="0"/>
          <w:divBdr>
            <w:top w:val="none" w:sz="0" w:space="0" w:color="auto"/>
            <w:left w:val="none" w:sz="0" w:space="0" w:color="auto"/>
            <w:bottom w:val="none" w:sz="0" w:space="0" w:color="auto"/>
            <w:right w:val="none" w:sz="0" w:space="0" w:color="auto"/>
          </w:divBdr>
          <w:divsChild>
            <w:div w:id="294481599">
              <w:marLeft w:val="0"/>
              <w:marRight w:val="0"/>
              <w:marTop w:val="0"/>
              <w:marBottom w:val="0"/>
              <w:divBdr>
                <w:top w:val="none" w:sz="0" w:space="0" w:color="auto"/>
                <w:left w:val="none" w:sz="0" w:space="0" w:color="auto"/>
                <w:bottom w:val="none" w:sz="0" w:space="0" w:color="auto"/>
                <w:right w:val="none" w:sz="0" w:space="0" w:color="auto"/>
              </w:divBdr>
              <w:divsChild>
                <w:div w:id="91634799">
                  <w:marLeft w:val="0"/>
                  <w:marRight w:val="0"/>
                  <w:marTop w:val="0"/>
                  <w:marBottom w:val="0"/>
                  <w:divBdr>
                    <w:top w:val="none" w:sz="0" w:space="0" w:color="auto"/>
                    <w:left w:val="none" w:sz="0" w:space="0" w:color="auto"/>
                    <w:bottom w:val="none" w:sz="0" w:space="0" w:color="auto"/>
                    <w:right w:val="none" w:sz="0" w:space="0" w:color="auto"/>
                  </w:divBdr>
                  <w:divsChild>
                    <w:div w:id="1501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9804992">
      <w:bodyDiv w:val="1"/>
      <w:marLeft w:val="0"/>
      <w:marRight w:val="0"/>
      <w:marTop w:val="0"/>
      <w:marBottom w:val="0"/>
      <w:divBdr>
        <w:top w:val="none" w:sz="0" w:space="0" w:color="auto"/>
        <w:left w:val="none" w:sz="0" w:space="0" w:color="auto"/>
        <w:bottom w:val="none" w:sz="0" w:space="0" w:color="auto"/>
        <w:right w:val="none" w:sz="0" w:space="0" w:color="auto"/>
      </w:divBdr>
    </w:div>
    <w:div w:id="778335054">
      <w:bodyDiv w:val="1"/>
      <w:marLeft w:val="0"/>
      <w:marRight w:val="0"/>
      <w:marTop w:val="0"/>
      <w:marBottom w:val="0"/>
      <w:divBdr>
        <w:top w:val="none" w:sz="0" w:space="0" w:color="auto"/>
        <w:left w:val="none" w:sz="0" w:space="0" w:color="auto"/>
        <w:bottom w:val="none" w:sz="0" w:space="0" w:color="auto"/>
        <w:right w:val="none" w:sz="0" w:space="0" w:color="auto"/>
      </w:divBdr>
    </w:div>
    <w:div w:id="794175040">
      <w:bodyDiv w:val="1"/>
      <w:marLeft w:val="0"/>
      <w:marRight w:val="0"/>
      <w:marTop w:val="0"/>
      <w:marBottom w:val="0"/>
      <w:divBdr>
        <w:top w:val="none" w:sz="0" w:space="0" w:color="auto"/>
        <w:left w:val="none" w:sz="0" w:space="0" w:color="auto"/>
        <w:bottom w:val="none" w:sz="0" w:space="0" w:color="auto"/>
        <w:right w:val="none" w:sz="0" w:space="0" w:color="auto"/>
      </w:divBdr>
    </w:div>
    <w:div w:id="799108527">
      <w:bodyDiv w:val="1"/>
      <w:marLeft w:val="0"/>
      <w:marRight w:val="0"/>
      <w:marTop w:val="0"/>
      <w:marBottom w:val="0"/>
      <w:divBdr>
        <w:top w:val="none" w:sz="0" w:space="0" w:color="auto"/>
        <w:left w:val="none" w:sz="0" w:space="0" w:color="auto"/>
        <w:bottom w:val="none" w:sz="0" w:space="0" w:color="auto"/>
        <w:right w:val="none" w:sz="0" w:space="0" w:color="auto"/>
      </w:divBdr>
    </w:div>
    <w:div w:id="806708054">
      <w:bodyDiv w:val="1"/>
      <w:marLeft w:val="0"/>
      <w:marRight w:val="0"/>
      <w:marTop w:val="0"/>
      <w:marBottom w:val="0"/>
      <w:divBdr>
        <w:top w:val="none" w:sz="0" w:space="0" w:color="auto"/>
        <w:left w:val="none" w:sz="0" w:space="0" w:color="auto"/>
        <w:bottom w:val="none" w:sz="0" w:space="0" w:color="auto"/>
        <w:right w:val="none" w:sz="0" w:space="0" w:color="auto"/>
      </w:divBdr>
      <w:divsChild>
        <w:div w:id="519053172">
          <w:marLeft w:val="0"/>
          <w:marRight w:val="0"/>
          <w:marTop w:val="0"/>
          <w:marBottom w:val="0"/>
          <w:divBdr>
            <w:top w:val="none" w:sz="0" w:space="0" w:color="auto"/>
            <w:left w:val="none" w:sz="0" w:space="0" w:color="auto"/>
            <w:bottom w:val="none" w:sz="0" w:space="0" w:color="auto"/>
            <w:right w:val="none" w:sz="0" w:space="0" w:color="auto"/>
          </w:divBdr>
          <w:divsChild>
            <w:div w:id="831868998">
              <w:marLeft w:val="0"/>
              <w:marRight w:val="0"/>
              <w:marTop w:val="0"/>
              <w:marBottom w:val="0"/>
              <w:divBdr>
                <w:top w:val="none" w:sz="0" w:space="0" w:color="auto"/>
                <w:left w:val="none" w:sz="0" w:space="0" w:color="auto"/>
                <w:bottom w:val="none" w:sz="0" w:space="0" w:color="auto"/>
                <w:right w:val="none" w:sz="0" w:space="0" w:color="auto"/>
              </w:divBdr>
              <w:divsChild>
                <w:div w:id="21142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556281">
      <w:bodyDiv w:val="1"/>
      <w:marLeft w:val="0"/>
      <w:marRight w:val="0"/>
      <w:marTop w:val="0"/>
      <w:marBottom w:val="0"/>
      <w:divBdr>
        <w:top w:val="none" w:sz="0" w:space="0" w:color="auto"/>
        <w:left w:val="none" w:sz="0" w:space="0" w:color="auto"/>
        <w:bottom w:val="none" w:sz="0" w:space="0" w:color="auto"/>
        <w:right w:val="none" w:sz="0" w:space="0" w:color="auto"/>
      </w:divBdr>
      <w:divsChild>
        <w:div w:id="1176647790">
          <w:marLeft w:val="240"/>
          <w:marRight w:val="0"/>
          <w:marTop w:val="60"/>
          <w:marBottom w:val="60"/>
          <w:divBdr>
            <w:top w:val="none" w:sz="0" w:space="0" w:color="auto"/>
            <w:left w:val="none" w:sz="0" w:space="0" w:color="auto"/>
            <w:bottom w:val="none" w:sz="0" w:space="0" w:color="auto"/>
            <w:right w:val="none" w:sz="0" w:space="0" w:color="auto"/>
          </w:divBdr>
          <w:divsChild>
            <w:div w:id="569266056">
              <w:marLeft w:val="0"/>
              <w:marRight w:val="0"/>
              <w:marTop w:val="0"/>
              <w:marBottom w:val="0"/>
              <w:divBdr>
                <w:top w:val="none" w:sz="0" w:space="0" w:color="auto"/>
                <w:left w:val="none" w:sz="0" w:space="0" w:color="auto"/>
                <w:bottom w:val="none" w:sz="0" w:space="0" w:color="auto"/>
                <w:right w:val="none" w:sz="0" w:space="0" w:color="auto"/>
              </w:divBdr>
            </w:div>
          </w:divsChild>
        </w:div>
        <w:div w:id="1814251606">
          <w:marLeft w:val="240"/>
          <w:marRight w:val="0"/>
          <w:marTop w:val="60"/>
          <w:marBottom w:val="60"/>
          <w:divBdr>
            <w:top w:val="none" w:sz="0" w:space="0" w:color="auto"/>
            <w:left w:val="none" w:sz="0" w:space="0" w:color="auto"/>
            <w:bottom w:val="none" w:sz="0" w:space="0" w:color="auto"/>
            <w:right w:val="none" w:sz="0" w:space="0" w:color="auto"/>
          </w:divBdr>
          <w:divsChild>
            <w:div w:id="1578325691">
              <w:marLeft w:val="240"/>
              <w:marRight w:val="0"/>
              <w:marTop w:val="60"/>
              <w:marBottom w:val="60"/>
              <w:divBdr>
                <w:top w:val="none" w:sz="0" w:space="0" w:color="auto"/>
                <w:left w:val="none" w:sz="0" w:space="0" w:color="auto"/>
                <w:bottom w:val="none" w:sz="0" w:space="0" w:color="auto"/>
                <w:right w:val="none" w:sz="0" w:space="0" w:color="auto"/>
              </w:divBdr>
              <w:divsChild>
                <w:div w:id="1572230716">
                  <w:marLeft w:val="0"/>
                  <w:marRight w:val="0"/>
                  <w:marTop w:val="0"/>
                  <w:marBottom w:val="0"/>
                  <w:divBdr>
                    <w:top w:val="none" w:sz="0" w:space="0" w:color="auto"/>
                    <w:left w:val="none" w:sz="0" w:space="0" w:color="auto"/>
                    <w:bottom w:val="none" w:sz="0" w:space="0" w:color="auto"/>
                    <w:right w:val="none" w:sz="0" w:space="0" w:color="auto"/>
                  </w:divBdr>
                </w:div>
              </w:divsChild>
            </w:div>
            <w:div w:id="604581377">
              <w:marLeft w:val="240"/>
              <w:marRight w:val="0"/>
              <w:marTop w:val="60"/>
              <w:marBottom w:val="60"/>
              <w:divBdr>
                <w:top w:val="none" w:sz="0" w:space="0" w:color="auto"/>
                <w:left w:val="none" w:sz="0" w:space="0" w:color="auto"/>
                <w:bottom w:val="none" w:sz="0" w:space="0" w:color="auto"/>
                <w:right w:val="none" w:sz="0" w:space="0" w:color="auto"/>
              </w:divBdr>
              <w:divsChild>
                <w:div w:id="201957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043185">
      <w:bodyDiv w:val="1"/>
      <w:marLeft w:val="0"/>
      <w:marRight w:val="0"/>
      <w:marTop w:val="0"/>
      <w:marBottom w:val="0"/>
      <w:divBdr>
        <w:top w:val="none" w:sz="0" w:space="0" w:color="auto"/>
        <w:left w:val="none" w:sz="0" w:space="0" w:color="auto"/>
        <w:bottom w:val="none" w:sz="0" w:space="0" w:color="auto"/>
        <w:right w:val="none" w:sz="0" w:space="0" w:color="auto"/>
      </w:divBdr>
    </w:div>
    <w:div w:id="1056274007">
      <w:bodyDiv w:val="1"/>
      <w:marLeft w:val="0"/>
      <w:marRight w:val="0"/>
      <w:marTop w:val="0"/>
      <w:marBottom w:val="0"/>
      <w:divBdr>
        <w:top w:val="none" w:sz="0" w:space="0" w:color="auto"/>
        <w:left w:val="none" w:sz="0" w:space="0" w:color="auto"/>
        <w:bottom w:val="none" w:sz="0" w:space="0" w:color="auto"/>
        <w:right w:val="none" w:sz="0" w:space="0" w:color="auto"/>
      </w:divBdr>
      <w:divsChild>
        <w:div w:id="628585746">
          <w:marLeft w:val="240"/>
          <w:marRight w:val="0"/>
          <w:marTop w:val="60"/>
          <w:marBottom w:val="60"/>
          <w:divBdr>
            <w:top w:val="none" w:sz="0" w:space="0" w:color="auto"/>
            <w:left w:val="none" w:sz="0" w:space="0" w:color="auto"/>
            <w:bottom w:val="none" w:sz="0" w:space="0" w:color="auto"/>
            <w:right w:val="none" w:sz="0" w:space="0" w:color="auto"/>
          </w:divBdr>
          <w:divsChild>
            <w:div w:id="1721241775">
              <w:marLeft w:val="0"/>
              <w:marRight w:val="0"/>
              <w:marTop w:val="0"/>
              <w:marBottom w:val="0"/>
              <w:divBdr>
                <w:top w:val="none" w:sz="0" w:space="0" w:color="auto"/>
                <w:left w:val="none" w:sz="0" w:space="0" w:color="auto"/>
                <w:bottom w:val="none" w:sz="0" w:space="0" w:color="auto"/>
                <w:right w:val="none" w:sz="0" w:space="0" w:color="auto"/>
              </w:divBdr>
            </w:div>
          </w:divsChild>
        </w:div>
        <w:div w:id="1645768220">
          <w:marLeft w:val="240"/>
          <w:marRight w:val="0"/>
          <w:marTop w:val="60"/>
          <w:marBottom w:val="60"/>
          <w:divBdr>
            <w:top w:val="none" w:sz="0" w:space="0" w:color="auto"/>
            <w:left w:val="none" w:sz="0" w:space="0" w:color="auto"/>
            <w:bottom w:val="none" w:sz="0" w:space="0" w:color="auto"/>
            <w:right w:val="none" w:sz="0" w:space="0" w:color="auto"/>
          </w:divBdr>
        </w:div>
      </w:divsChild>
    </w:div>
    <w:div w:id="1059397241">
      <w:bodyDiv w:val="1"/>
      <w:marLeft w:val="0"/>
      <w:marRight w:val="0"/>
      <w:marTop w:val="0"/>
      <w:marBottom w:val="0"/>
      <w:divBdr>
        <w:top w:val="none" w:sz="0" w:space="0" w:color="auto"/>
        <w:left w:val="none" w:sz="0" w:space="0" w:color="auto"/>
        <w:bottom w:val="none" w:sz="0" w:space="0" w:color="auto"/>
        <w:right w:val="none" w:sz="0" w:space="0" w:color="auto"/>
      </w:divBdr>
    </w:div>
    <w:div w:id="1313145630">
      <w:bodyDiv w:val="1"/>
      <w:marLeft w:val="0"/>
      <w:marRight w:val="0"/>
      <w:marTop w:val="0"/>
      <w:marBottom w:val="0"/>
      <w:divBdr>
        <w:top w:val="none" w:sz="0" w:space="0" w:color="auto"/>
        <w:left w:val="none" w:sz="0" w:space="0" w:color="auto"/>
        <w:bottom w:val="none" w:sz="0" w:space="0" w:color="auto"/>
        <w:right w:val="none" w:sz="0" w:space="0" w:color="auto"/>
      </w:divBdr>
    </w:div>
    <w:div w:id="1317220683">
      <w:bodyDiv w:val="1"/>
      <w:marLeft w:val="0"/>
      <w:marRight w:val="0"/>
      <w:marTop w:val="0"/>
      <w:marBottom w:val="0"/>
      <w:divBdr>
        <w:top w:val="none" w:sz="0" w:space="0" w:color="auto"/>
        <w:left w:val="none" w:sz="0" w:space="0" w:color="auto"/>
        <w:bottom w:val="none" w:sz="0" w:space="0" w:color="auto"/>
        <w:right w:val="none" w:sz="0" w:space="0" w:color="auto"/>
      </w:divBdr>
    </w:div>
    <w:div w:id="1415085667">
      <w:bodyDiv w:val="1"/>
      <w:marLeft w:val="0"/>
      <w:marRight w:val="0"/>
      <w:marTop w:val="0"/>
      <w:marBottom w:val="0"/>
      <w:divBdr>
        <w:top w:val="none" w:sz="0" w:space="0" w:color="auto"/>
        <w:left w:val="none" w:sz="0" w:space="0" w:color="auto"/>
        <w:bottom w:val="none" w:sz="0" w:space="0" w:color="auto"/>
        <w:right w:val="none" w:sz="0" w:space="0" w:color="auto"/>
      </w:divBdr>
      <w:divsChild>
        <w:div w:id="1276670174">
          <w:marLeft w:val="240"/>
          <w:marRight w:val="0"/>
          <w:marTop w:val="60"/>
          <w:marBottom w:val="60"/>
          <w:divBdr>
            <w:top w:val="none" w:sz="0" w:space="0" w:color="auto"/>
            <w:left w:val="none" w:sz="0" w:space="0" w:color="auto"/>
            <w:bottom w:val="none" w:sz="0" w:space="0" w:color="auto"/>
            <w:right w:val="none" w:sz="0" w:space="0" w:color="auto"/>
          </w:divBdr>
          <w:divsChild>
            <w:div w:id="816802091">
              <w:marLeft w:val="0"/>
              <w:marRight w:val="0"/>
              <w:marTop w:val="0"/>
              <w:marBottom w:val="0"/>
              <w:divBdr>
                <w:top w:val="none" w:sz="0" w:space="0" w:color="auto"/>
                <w:left w:val="none" w:sz="0" w:space="0" w:color="auto"/>
                <w:bottom w:val="none" w:sz="0" w:space="0" w:color="auto"/>
                <w:right w:val="none" w:sz="0" w:space="0" w:color="auto"/>
              </w:divBdr>
            </w:div>
          </w:divsChild>
        </w:div>
        <w:div w:id="1477920183">
          <w:marLeft w:val="240"/>
          <w:marRight w:val="0"/>
          <w:marTop w:val="60"/>
          <w:marBottom w:val="60"/>
          <w:divBdr>
            <w:top w:val="none" w:sz="0" w:space="0" w:color="auto"/>
            <w:left w:val="none" w:sz="0" w:space="0" w:color="auto"/>
            <w:bottom w:val="none" w:sz="0" w:space="0" w:color="auto"/>
            <w:right w:val="none" w:sz="0" w:space="0" w:color="auto"/>
          </w:divBdr>
          <w:divsChild>
            <w:div w:id="740521567">
              <w:marLeft w:val="0"/>
              <w:marRight w:val="0"/>
              <w:marTop w:val="0"/>
              <w:marBottom w:val="0"/>
              <w:divBdr>
                <w:top w:val="none" w:sz="0" w:space="0" w:color="auto"/>
                <w:left w:val="none" w:sz="0" w:space="0" w:color="auto"/>
                <w:bottom w:val="none" w:sz="0" w:space="0" w:color="auto"/>
                <w:right w:val="none" w:sz="0" w:space="0" w:color="auto"/>
              </w:divBdr>
            </w:div>
          </w:divsChild>
        </w:div>
        <w:div w:id="1500073908">
          <w:marLeft w:val="240"/>
          <w:marRight w:val="0"/>
          <w:marTop w:val="60"/>
          <w:marBottom w:val="60"/>
          <w:divBdr>
            <w:top w:val="none" w:sz="0" w:space="0" w:color="auto"/>
            <w:left w:val="none" w:sz="0" w:space="0" w:color="auto"/>
            <w:bottom w:val="none" w:sz="0" w:space="0" w:color="auto"/>
            <w:right w:val="none" w:sz="0" w:space="0" w:color="auto"/>
          </w:divBdr>
          <w:divsChild>
            <w:div w:id="265163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794012">
      <w:bodyDiv w:val="1"/>
      <w:marLeft w:val="0"/>
      <w:marRight w:val="0"/>
      <w:marTop w:val="0"/>
      <w:marBottom w:val="0"/>
      <w:divBdr>
        <w:top w:val="none" w:sz="0" w:space="0" w:color="auto"/>
        <w:left w:val="none" w:sz="0" w:space="0" w:color="auto"/>
        <w:bottom w:val="none" w:sz="0" w:space="0" w:color="auto"/>
        <w:right w:val="none" w:sz="0" w:space="0" w:color="auto"/>
      </w:divBdr>
    </w:div>
    <w:div w:id="1508910287">
      <w:bodyDiv w:val="1"/>
      <w:marLeft w:val="0"/>
      <w:marRight w:val="0"/>
      <w:marTop w:val="0"/>
      <w:marBottom w:val="0"/>
      <w:divBdr>
        <w:top w:val="none" w:sz="0" w:space="0" w:color="auto"/>
        <w:left w:val="none" w:sz="0" w:space="0" w:color="auto"/>
        <w:bottom w:val="none" w:sz="0" w:space="0" w:color="auto"/>
        <w:right w:val="none" w:sz="0" w:space="0" w:color="auto"/>
      </w:divBdr>
    </w:div>
    <w:div w:id="1621034774">
      <w:bodyDiv w:val="1"/>
      <w:marLeft w:val="0"/>
      <w:marRight w:val="0"/>
      <w:marTop w:val="0"/>
      <w:marBottom w:val="0"/>
      <w:divBdr>
        <w:top w:val="none" w:sz="0" w:space="0" w:color="auto"/>
        <w:left w:val="none" w:sz="0" w:space="0" w:color="auto"/>
        <w:bottom w:val="none" w:sz="0" w:space="0" w:color="auto"/>
        <w:right w:val="none" w:sz="0" w:space="0" w:color="auto"/>
      </w:divBdr>
    </w:div>
    <w:div w:id="1625427951">
      <w:bodyDiv w:val="1"/>
      <w:marLeft w:val="0"/>
      <w:marRight w:val="0"/>
      <w:marTop w:val="0"/>
      <w:marBottom w:val="0"/>
      <w:divBdr>
        <w:top w:val="none" w:sz="0" w:space="0" w:color="auto"/>
        <w:left w:val="none" w:sz="0" w:space="0" w:color="auto"/>
        <w:bottom w:val="none" w:sz="0" w:space="0" w:color="auto"/>
        <w:right w:val="none" w:sz="0" w:space="0" w:color="auto"/>
      </w:divBdr>
      <w:divsChild>
        <w:div w:id="2099016344">
          <w:marLeft w:val="0"/>
          <w:marRight w:val="0"/>
          <w:marTop w:val="0"/>
          <w:marBottom w:val="0"/>
          <w:divBdr>
            <w:top w:val="none" w:sz="0" w:space="0" w:color="auto"/>
            <w:left w:val="none" w:sz="0" w:space="0" w:color="auto"/>
            <w:bottom w:val="none" w:sz="0" w:space="0" w:color="auto"/>
            <w:right w:val="none" w:sz="0" w:space="0" w:color="auto"/>
          </w:divBdr>
        </w:div>
      </w:divsChild>
    </w:div>
    <w:div w:id="1629699502">
      <w:bodyDiv w:val="1"/>
      <w:marLeft w:val="0"/>
      <w:marRight w:val="0"/>
      <w:marTop w:val="0"/>
      <w:marBottom w:val="0"/>
      <w:divBdr>
        <w:top w:val="none" w:sz="0" w:space="0" w:color="auto"/>
        <w:left w:val="none" w:sz="0" w:space="0" w:color="auto"/>
        <w:bottom w:val="none" w:sz="0" w:space="0" w:color="auto"/>
        <w:right w:val="none" w:sz="0" w:space="0" w:color="auto"/>
      </w:divBdr>
    </w:div>
    <w:div w:id="1667250340">
      <w:bodyDiv w:val="1"/>
      <w:marLeft w:val="0"/>
      <w:marRight w:val="0"/>
      <w:marTop w:val="0"/>
      <w:marBottom w:val="0"/>
      <w:divBdr>
        <w:top w:val="none" w:sz="0" w:space="0" w:color="auto"/>
        <w:left w:val="none" w:sz="0" w:space="0" w:color="auto"/>
        <w:bottom w:val="none" w:sz="0" w:space="0" w:color="auto"/>
        <w:right w:val="none" w:sz="0" w:space="0" w:color="auto"/>
      </w:divBdr>
    </w:div>
    <w:div w:id="1686396165">
      <w:bodyDiv w:val="1"/>
      <w:marLeft w:val="0"/>
      <w:marRight w:val="0"/>
      <w:marTop w:val="0"/>
      <w:marBottom w:val="0"/>
      <w:divBdr>
        <w:top w:val="none" w:sz="0" w:space="0" w:color="auto"/>
        <w:left w:val="none" w:sz="0" w:space="0" w:color="auto"/>
        <w:bottom w:val="none" w:sz="0" w:space="0" w:color="auto"/>
        <w:right w:val="none" w:sz="0" w:space="0" w:color="auto"/>
      </w:divBdr>
    </w:div>
    <w:div w:id="1712612557">
      <w:bodyDiv w:val="1"/>
      <w:marLeft w:val="0"/>
      <w:marRight w:val="0"/>
      <w:marTop w:val="0"/>
      <w:marBottom w:val="0"/>
      <w:divBdr>
        <w:top w:val="none" w:sz="0" w:space="0" w:color="auto"/>
        <w:left w:val="none" w:sz="0" w:space="0" w:color="auto"/>
        <w:bottom w:val="none" w:sz="0" w:space="0" w:color="auto"/>
        <w:right w:val="none" w:sz="0" w:space="0" w:color="auto"/>
      </w:divBdr>
    </w:div>
    <w:div w:id="1745296065">
      <w:bodyDiv w:val="1"/>
      <w:marLeft w:val="0"/>
      <w:marRight w:val="0"/>
      <w:marTop w:val="0"/>
      <w:marBottom w:val="0"/>
      <w:divBdr>
        <w:top w:val="none" w:sz="0" w:space="0" w:color="auto"/>
        <w:left w:val="none" w:sz="0" w:space="0" w:color="auto"/>
        <w:bottom w:val="none" w:sz="0" w:space="0" w:color="auto"/>
        <w:right w:val="none" w:sz="0" w:space="0" w:color="auto"/>
      </w:divBdr>
    </w:div>
    <w:div w:id="1750153625">
      <w:bodyDiv w:val="1"/>
      <w:marLeft w:val="0"/>
      <w:marRight w:val="0"/>
      <w:marTop w:val="0"/>
      <w:marBottom w:val="0"/>
      <w:divBdr>
        <w:top w:val="none" w:sz="0" w:space="0" w:color="auto"/>
        <w:left w:val="none" w:sz="0" w:space="0" w:color="auto"/>
        <w:bottom w:val="none" w:sz="0" w:space="0" w:color="auto"/>
        <w:right w:val="none" w:sz="0" w:space="0" w:color="auto"/>
      </w:divBdr>
    </w:div>
    <w:div w:id="1756199830">
      <w:bodyDiv w:val="1"/>
      <w:marLeft w:val="0"/>
      <w:marRight w:val="0"/>
      <w:marTop w:val="0"/>
      <w:marBottom w:val="0"/>
      <w:divBdr>
        <w:top w:val="none" w:sz="0" w:space="0" w:color="auto"/>
        <w:left w:val="none" w:sz="0" w:space="0" w:color="auto"/>
        <w:bottom w:val="none" w:sz="0" w:space="0" w:color="auto"/>
        <w:right w:val="none" w:sz="0" w:space="0" w:color="auto"/>
      </w:divBdr>
      <w:divsChild>
        <w:div w:id="628823628">
          <w:marLeft w:val="0"/>
          <w:marRight w:val="0"/>
          <w:marTop w:val="0"/>
          <w:marBottom w:val="0"/>
          <w:divBdr>
            <w:top w:val="none" w:sz="0" w:space="0" w:color="auto"/>
            <w:left w:val="none" w:sz="0" w:space="0" w:color="auto"/>
            <w:bottom w:val="none" w:sz="0" w:space="0" w:color="auto"/>
            <w:right w:val="none" w:sz="0" w:space="0" w:color="auto"/>
          </w:divBdr>
          <w:divsChild>
            <w:div w:id="655765995">
              <w:marLeft w:val="0"/>
              <w:marRight w:val="0"/>
              <w:marTop w:val="0"/>
              <w:marBottom w:val="0"/>
              <w:divBdr>
                <w:top w:val="none" w:sz="0" w:space="0" w:color="auto"/>
                <w:left w:val="none" w:sz="0" w:space="0" w:color="auto"/>
                <w:bottom w:val="none" w:sz="0" w:space="0" w:color="auto"/>
                <w:right w:val="none" w:sz="0" w:space="0" w:color="auto"/>
              </w:divBdr>
              <w:divsChild>
                <w:div w:id="602154191">
                  <w:marLeft w:val="0"/>
                  <w:marRight w:val="0"/>
                  <w:marTop w:val="0"/>
                  <w:marBottom w:val="0"/>
                  <w:divBdr>
                    <w:top w:val="none" w:sz="0" w:space="0" w:color="auto"/>
                    <w:left w:val="none" w:sz="0" w:space="0" w:color="auto"/>
                    <w:bottom w:val="none" w:sz="0" w:space="0" w:color="auto"/>
                    <w:right w:val="none" w:sz="0" w:space="0" w:color="auto"/>
                  </w:divBdr>
                  <w:divsChild>
                    <w:div w:id="113502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017022">
      <w:bodyDiv w:val="1"/>
      <w:marLeft w:val="0"/>
      <w:marRight w:val="0"/>
      <w:marTop w:val="0"/>
      <w:marBottom w:val="0"/>
      <w:divBdr>
        <w:top w:val="none" w:sz="0" w:space="0" w:color="auto"/>
        <w:left w:val="none" w:sz="0" w:space="0" w:color="auto"/>
        <w:bottom w:val="none" w:sz="0" w:space="0" w:color="auto"/>
        <w:right w:val="none" w:sz="0" w:space="0" w:color="auto"/>
      </w:divBdr>
      <w:divsChild>
        <w:div w:id="824471576">
          <w:marLeft w:val="0"/>
          <w:marRight w:val="0"/>
          <w:marTop w:val="0"/>
          <w:marBottom w:val="0"/>
          <w:divBdr>
            <w:top w:val="none" w:sz="0" w:space="0" w:color="auto"/>
            <w:left w:val="none" w:sz="0" w:space="0" w:color="auto"/>
            <w:bottom w:val="none" w:sz="0" w:space="0" w:color="auto"/>
            <w:right w:val="none" w:sz="0" w:space="0" w:color="auto"/>
          </w:divBdr>
          <w:divsChild>
            <w:div w:id="2103453493">
              <w:marLeft w:val="0"/>
              <w:marRight w:val="0"/>
              <w:marTop w:val="0"/>
              <w:marBottom w:val="0"/>
              <w:divBdr>
                <w:top w:val="none" w:sz="0" w:space="0" w:color="auto"/>
                <w:left w:val="none" w:sz="0" w:space="0" w:color="auto"/>
                <w:bottom w:val="none" w:sz="0" w:space="0" w:color="auto"/>
                <w:right w:val="none" w:sz="0" w:space="0" w:color="auto"/>
              </w:divBdr>
              <w:divsChild>
                <w:div w:id="2130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368242">
      <w:bodyDiv w:val="1"/>
      <w:marLeft w:val="0"/>
      <w:marRight w:val="0"/>
      <w:marTop w:val="0"/>
      <w:marBottom w:val="0"/>
      <w:divBdr>
        <w:top w:val="none" w:sz="0" w:space="0" w:color="auto"/>
        <w:left w:val="none" w:sz="0" w:space="0" w:color="auto"/>
        <w:bottom w:val="none" w:sz="0" w:space="0" w:color="auto"/>
        <w:right w:val="none" w:sz="0" w:space="0" w:color="auto"/>
      </w:divBdr>
      <w:divsChild>
        <w:div w:id="472256099">
          <w:marLeft w:val="0"/>
          <w:marRight w:val="0"/>
          <w:marTop w:val="0"/>
          <w:marBottom w:val="0"/>
          <w:divBdr>
            <w:top w:val="none" w:sz="0" w:space="0" w:color="auto"/>
            <w:left w:val="none" w:sz="0" w:space="0" w:color="auto"/>
            <w:bottom w:val="none" w:sz="0" w:space="0" w:color="auto"/>
            <w:right w:val="none" w:sz="0" w:space="0" w:color="auto"/>
          </w:divBdr>
        </w:div>
      </w:divsChild>
    </w:div>
    <w:div w:id="1885559460">
      <w:bodyDiv w:val="1"/>
      <w:marLeft w:val="0"/>
      <w:marRight w:val="0"/>
      <w:marTop w:val="0"/>
      <w:marBottom w:val="0"/>
      <w:divBdr>
        <w:top w:val="none" w:sz="0" w:space="0" w:color="auto"/>
        <w:left w:val="none" w:sz="0" w:space="0" w:color="auto"/>
        <w:bottom w:val="none" w:sz="0" w:space="0" w:color="auto"/>
        <w:right w:val="none" w:sz="0" w:space="0" w:color="auto"/>
      </w:divBdr>
    </w:div>
    <w:div w:id="1893076709">
      <w:bodyDiv w:val="1"/>
      <w:marLeft w:val="0"/>
      <w:marRight w:val="0"/>
      <w:marTop w:val="0"/>
      <w:marBottom w:val="0"/>
      <w:divBdr>
        <w:top w:val="none" w:sz="0" w:space="0" w:color="auto"/>
        <w:left w:val="none" w:sz="0" w:space="0" w:color="auto"/>
        <w:bottom w:val="none" w:sz="0" w:space="0" w:color="auto"/>
        <w:right w:val="none" w:sz="0" w:space="0" w:color="auto"/>
      </w:divBdr>
    </w:div>
    <w:div w:id="1901016733">
      <w:bodyDiv w:val="1"/>
      <w:marLeft w:val="0"/>
      <w:marRight w:val="0"/>
      <w:marTop w:val="0"/>
      <w:marBottom w:val="0"/>
      <w:divBdr>
        <w:top w:val="none" w:sz="0" w:space="0" w:color="auto"/>
        <w:left w:val="none" w:sz="0" w:space="0" w:color="auto"/>
        <w:bottom w:val="none" w:sz="0" w:space="0" w:color="auto"/>
        <w:right w:val="none" w:sz="0" w:space="0" w:color="auto"/>
      </w:divBdr>
      <w:divsChild>
        <w:div w:id="538130716">
          <w:marLeft w:val="240"/>
          <w:marRight w:val="0"/>
          <w:marTop w:val="60"/>
          <w:marBottom w:val="60"/>
          <w:divBdr>
            <w:top w:val="none" w:sz="0" w:space="0" w:color="auto"/>
            <w:left w:val="none" w:sz="0" w:space="0" w:color="auto"/>
            <w:bottom w:val="none" w:sz="0" w:space="0" w:color="auto"/>
            <w:right w:val="none" w:sz="0" w:space="0" w:color="auto"/>
          </w:divBdr>
          <w:divsChild>
            <w:div w:id="1550604261">
              <w:marLeft w:val="240"/>
              <w:marRight w:val="0"/>
              <w:marTop w:val="60"/>
              <w:marBottom w:val="60"/>
              <w:divBdr>
                <w:top w:val="none" w:sz="0" w:space="0" w:color="auto"/>
                <w:left w:val="none" w:sz="0" w:space="0" w:color="auto"/>
                <w:bottom w:val="none" w:sz="0" w:space="0" w:color="auto"/>
                <w:right w:val="none" w:sz="0" w:space="0" w:color="auto"/>
              </w:divBdr>
              <w:divsChild>
                <w:div w:id="521089503">
                  <w:marLeft w:val="0"/>
                  <w:marRight w:val="0"/>
                  <w:marTop w:val="0"/>
                  <w:marBottom w:val="0"/>
                  <w:divBdr>
                    <w:top w:val="none" w:sz="0" w:space="0" w:color="auto"/>
                    <w:left w:val="none" w:sz="0" w:space="0" w:color="auto"/>
                    <w:bottom w:val="none" w:sz="0" w:space="0" w:color="auto"/>
                    <w:right w:val="none" w:sz="0" w:space="0" w:color="auto"/>
                  </w:divBdr>
                </w:div>
              </w:divsChild>
            </w:div>
            <w:div w:id="585580929">
              <w:marLeft w:val="240"/>
              <w:marRight w:val="0"/>
              <w:marTop w:val="60"/>
              <w:marBottom w:val="60"/>
              <w:divBdr>
                <w:top w:val="none" w:sz="0" w:space="0" w:color="auto"/>
                <w:left w:val="none" w:sz="0" w:space="0" w:color="auto"/>
                <w:bottom w:val="none" w:sz="0" w:space="0" w:color="auto"/>
                <w:right w:val="none" w:sz="0" w:space="0" w:color="auto"/>
              </w:divBdr>
              <w:divsChild>
                <w:div w:id="11568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96776">
      <w:bodyDiv w:val="1"/>
      <w:marLeft w:val="0"/>
      <w:marRight w:val="0"/>
      <w:marTop w:val="0"/>
      <w:marBottom w:val="0"/>
      <w:divBdr>
        <w:top w:val="none" w:sz="0" w:space="0" w:color="auto"/>
        <w:left w:val="none" w:sz="0" w:space="0" w:color="auto"/>
        <w:bottom w:val="none" w:sz="0" w:space="0" w:color="auto"/>
        <w:right w:val="none" w:sz="0" w:space="0" w:color="auto"/>
      </w:divBdr>
    </w:div>
    <w:div w:id="1997368557">
      <w:bodyDiv w:val="1"/>
      <w:marLeft w:val="0"/>
      <w:marRight w:val="0"/>
      <w:marTop w:val="0"/>
      <w:marBottom w:val="0"/>
      <w:divBdr>
        <w:top w:val="none" w:sz="0" w:space="0" w:color="auto"/>
        <w:left w:val="none" w:sz="0" w:space="0" w:color="auto"/>
        <w:bottom w:val="none" w:sz="0" w:space="0" w:color="auto"/>
        <w:right w:val="none" w:sz="0" w:space="0" w:color="auto"/>
      </w:divBdr>
      <w:divsChild>
        <w:div w:id="2140413160">
          <w:marLeft w:val="0"/>
          <w:marRight w:val="0"/>
          <w:marTop w:val="0"/>
          <w:marBottom w:val="0"/>
          <w:divBdr>
            <w:top w:val="none" w:sz="0" w:space="0" w:color="auto"/>
            <w:left w:val="none" w:sz="0" w:space="0" w:color="auto"/>
            <w:bottom w:val="none" w:sz="0" w:space="0" w:color="auto"/>
            <w:right w:val="none" w:sz="0" w:space="0" w:color="auto"/>
          </w:divBdr>
        </w:div>
      </w:divsChild>
    </w:div>
    <w:div w:id="2067604433">
      <w:bodyDiv w:val="1"/>
      <w:marLeft w:val="0"/>
      <w:marRight w:val="0"/>
      <w:marTop w:val="0"/>
      <w:marBottom w:val="0"/>
      <w:divBdr>
        <w:top w:val="none" w:sz="0" w:space="0" w:color="auto"/>
        <w:left w:val="none" w:sz="0" w:space="0" w:color="auto"/>
        <w:bottom w:val="none" w:sz="0" w:space="0" w:color="auto"/>
        <w:right w:val="none" w:sz="0" w:space="0" w:color="auto"/>
      </w:divBdr>
      <w:divsChild>
        <w:div w:id="1497529182">
          <w:marLeft w:val="0"/>
          <w:marRight w:val="0"/>
          <w:marTop w:val="0"/>
          <w:marBottom w:val="0"/>
          <w:divBdr>
            <w:top w:val="none" w:sz="0" w:space="0" w:color="auto"/>
            <w:left w:val="none" w:sz="0" w:space="0" w:color="auto"/>
            <w:bottom w:val="none" w:sz="0" w:space="0" w:color="auto"/>
            <w:right w:val="none" w:sz="0" w:space="0" w:color="auto"/>
          </w:divBdr>
          <w:divsChild>
            <w:div w:id="1428380247">
              <w:marLeft w:val="0"/>
              <w:marRight w:val="0"/>
              <w:marTop w:val="0"/>
              <w:marBottom w:val="0"/>
              <w:divBdr>
                <w:top w:val="none" w:sz="0" w:space="0" w:color="auto"/>
                <w:left w:val="none" w:sz="0" w:space="0" w:color="auto"/>
                <w:bottom w:val="none" w:sz="0" w:space="0" w:color="auto"/>
                <w:right w:val="none" w:sz="0" w:space="0" w:color="auto"/>
              </w:divBdr>
              <w:divsChild>
                <w:div w:id="1530139401">
                  <w:marLeft w:val="0"/>
                  <w:marRight w:val="0"/>
                  <w:marTop w:val="0"/>
                  <w:marBottom w:val="0"/>
                  <w:divBdr>
                    <w:top w:val="none" w:sz="0" w:space="0" w:color="auto"/>
                    <w:left w:val="none" w:sz="0" w:space="0" w:color="auto"/>
                    <w:bottom w:val="none" w:sz="0" w:space="0" w:color="auto"/>
                    <w:right w:val="none" w:sz="0" w:space="0" w:color="auto"/>
                  </w:divBdr>
                  <w:divsChild>
                    <w:div w:id="112488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7895558">
      <w:bodyDiv w:val="1"/>
      <w:marLeft w:val="0"/>
      <w:marRight w:val="0"/>
      <w:marTop w:val="0"/>
      <w:marBottom w:val="0"/>
      <w:divBdr>
        <w:top w:val="none" w:sz="0" w:space="0" w:color="auto"/>
        <w:left w:val="none" w:sz="0" w:space="0" w:color="auto"/>
        <w:bottom w:val="none" w:sz="0" w:space="0" w:color="auto"/>
        <w:right w:val="none" w:sz="0" w:space="0" w:color="auto"/>
      </w:divBdr>
      <w:divsChild>
        <w:div w:id="782918166">
          <w:marLeft w:val="0"/>
          <w:marRight w:val="0"/>
          <w:marTop w:val="0"/>
          <w:marBottom w:val="0"/>
          <w:divBdr>
            <w:top w:val="none" w:sz="0" w:space="0" w:color="auto"/>
            <w:left w:val="none" w:sz="0" w:space="0" w:color="auto"/>
            <w:bottom w:val="none" w:sz="0" w:space="0" w:color="auto"/>
            <w:right w:val="none" w:sz="0" w:space="0" w:color="auto"/>
          </w:divBdr>
          <w:divsChild>
            <w:div w:id="129444044">
              <w:marLeft w:val="0"/>
              <w:marRight w:val="0"/>
              <w:marTop w:val="0"/>
              <w:marBottom w:val="0"/>
              <w:divBdr>
                <w:top w:val="none" w:sz="0" w:space="0" w:color="auto"/>
                <w:left w:val="none" w:sz="0" w:space="0" w:color="auto"/>
                <w:bottom w:val="none" w:sz="0" w:space="0" w:color="auto"/>
                <w:right w:val="none" w:sz="0" w:space="0" w:color="auto"/>
              </w:divBdr>
              <w:divsChild>
                <w:div w:id="1594122597">
                  <w:marLeft w:val="0"/>
                  <w:marRight w:val="0"/>
                  <w:marTop w:val="0"/>
                  <w:marBottom w:val="0"/>
                  <w:divBdr>
                    <w:top w:val="none" w:sz="0" w:space="0" w:color="auto"/>
                    <w:left w:val="none" w:sz="0" w:space="0" w:color="auto"/>
                    <w:bottom w:val="none" w:sz="0" w:space="0" w:color="auto"/>
                    <w:right w:val="none" w:sz="0" w:space="0" w:color="auto"/>
                  </w:divBdr>
                  <w:divsChild>
                    <w:div w:id="194923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453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d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345A4F6-68C1-BD41-B03A-A97A586F8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2872</Words>
  <Characters>16371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CAPDEVILLE Mary</dc:creator>
  <cp:keywords/>
  <dc:description/>
  <cp:lastModifiedBy>Jordan Gerow</cp:lastModifiedBy>
  <cp:revision>2</cp:revision>
  <dcterms:created xsi:type="dcterms:W3CDTF">2021-05-02T19:29:00Z</dcterms:created>
  <dcterms:modified xsi:type="dcterms:W3CDTF">2021-05-02T19:29:00Z</dcterms:modified>
</cp:coreProperties>
</file>