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1771" w14:textId="69D66E63" w:rsidR="00692B91" w:rsidRPr="001B4BC1" w:rsidRDefault="0067504F" w:rsidP="00820701">
      <w:pPr>
        <w:jc w:val="both"/>
        <w:rPr>
          <w:rFonts w:ascii="Times New Roman" w:hAnsi="Times New Roman" w:cs="Times New Roman"/>
          <w:b/>
          <w:u w:val="single"/>
        </w:rPr>
      </w:pPr>
      <w:r w:rsidRPr="0067504F">
        <w:rPr>
          <w:rFonts w:ascii="Times New Roman" w:hAnsi="Times New Roman" w:cs="Times New Roman"/>
          <w:b/>
          <w:u w:val="single"/>
        </w:rPr>
        <w:t xml:space="preserve">This document has been prepared as part of the implementation project of Legal Pathways to Deep Decarbonization (Michael B. Gerrard and John C. </w:t>
      </w:r>
      <w:proofErr w:type="spellStart"/>
      <w:r w:rsidRPr="0067504F">
        <w:rPr>
          <w:rFonts w:ascii="Times New Roman" w:hAnsi="Times New Roman" w:cs="Times New Roman"/>
          <w:b/>
          <w:u w:val="single"/>
        </w:rPr>
        <w:t>Dernbach</w:t>
      </w:r>
      <w:proofErr w:type="spellEnd"/>
      <w:r w:rsidRPr="0067504F">
        <w:rPr>
          <w:rFonts w:ascii="Times New Roman" w:hAnsi="Times New Roman" w:cs="Times New Roman"/>
          <w:b/>
          <w:u w:val="single"/>
        </w:rPr>
        <w:t>, eds. Environmental Law Institute [2019]) (LPDD).  For background information on the project, see https://lpdd.org</w:t>
      </w:r>
    </w:p>
    <w:p w14:paraId="2A471834" w14:textId="77777777" w:rsidR="00692B91" w:rsidRPr="00AD3698" w:rsidRDefault="00546214" w:rsidP="00E4369B">
      <w:pPr>
        <w:jc w:val="center"/>
        <w:rPr>
          <w:rFonts w:ascii="Times New Roman" w:hAnsi="Times New Roman" w:cs="Times New Roman"/>
          <w:b/>
          <w:sz w:val="28"/>
          <w:szCs w:val="28"/>
        </w:rPr>
      </w:pPr>
      <w:r w:rsidRPr="00AD3698">
        <w:rPr>
          <w:rFonts w:ascii="Times New Roman" w:hAnsi="Times New Roman" w:cs="Times New Roman"/>
          <w:b/>
          <w:sz w:val="28"/>
          <w:szCs w:val="28"/>
        </w:rPr>
        <w:t xml:space="preserve">Memorandum </w:t>
      </w:r>
      <w:r w:rsidR="00001DCA">
        <w:rPr>
          <w:rFonts w:ascii="Times New Roman" w:hAnsi="Times New Roman" w:cs="Times New Roman"/>
          <w:b/>
          <w:sz w:val="28"/>
          <w:szCs w:val="28"/>
        </w:rPr>
        <w:t>t</w:t>
      </w:r>
      <w:r w:rsidRPr="00AD3698">
        <w:rPr>
          <w:rFonts w:ascii="Times New Roman" w:hAnsi="Times New Roman" w:cs="Times New Roman"/>
          <w:b/>
          <w:sz w:val="28"/>
          <w:szCs w:val="28"/>
        </w:rPr>
        <w:t xml:space="preserve">o Accompany </w:t>
      </w:r>
      <w:r w:rsidR="00E4369B">
        <w:rPr>
          <w:rFonts w:ascii="Times New Roman" w:hAnsi="Times New Roman" w:cs="Times New Roman"/>
          <w:b/>
          <w:sz w:val="28"/>
          <w:szCs w:val="28"/>
        </w:rPr>
        <w:t>Interoperability Provisions</w:t>
      </w:r>
    </w:p>
    <w:p w14:paraId="047847AE" w14:textId="77777777" w:rsidR="00F2694C" w:rsidRPr="001B4BC1" w:rsidRDefault="00F2694C" w:rsidP="00F2694C">
      <w:pPr>
        <w:jc w:val="center"/>
        <w:rPr>
          <w:rFonts w:ascii="Times New Roman" w:hAnsi="Times New Roman" w:cs="Times New Roman"/>
          <w:b/>
          <w:u w:val="single"/>
        </w:rPr>
      </w:pPr>
    </w:p>
    <w:p w14:paraId="156287F3" w14:textId="77777777" w:rsidR="008116B3" w:rsidRPr="0057243A" w:rsidRDefault="00546214" w:rsidP="00A01522">
      <w:pPr>
        <w:pStyle w:val="BodyText"/>
        <w:spacing w:line="276" w:lineRule="auto"/>
        <w:ind w:left="0" w:firstLine="720"/>
        <w:jc w:val="both"/>
        <w:rPr>
          <w:rFonts w:asciiTheme="majorBidi" w:eastAsiaTheme="minorHAnsi" w:hAnsiTheme="majorBidi" w:cstheme="majorBidi"/>
          <w:sz w:val="24"/>
          <w:szCs w:val="24"/>
          <w:lang w:val="en-US" w:eastAsia="en-US"/>
        </w:rPr>
      </w:pPr>
      <w:r w:rsidRPr="0057243A">
        <w:rPr>
          <w:rFonts w:asciiTheme="majorBidi" w:eastAsiaTheme="minorHAnsi" w:hAnsiTheme="majorBidi" w:cstheme="majorBidi"/>
          <w:sz w:val="24"/>
          <w:szCs w:val="24"/>
          <w:lang w:val="en-US" w:eastAsia="en-US"/>
        </w:rPr>
        <w:t xml:space="preserve">A book published by the Environmental Law Institute, entitled </w:t>
      </w:r>
      <w:r w:rsidRPr="0057243A">
        <w:rPr>
          <w:rFonts w:asciiTheme="majorBidi" w:eastAsiaTheme="minorHAnsi" w:hAnsiTheme="majorBidi" w:cstheme="majorBidi"/>
          <w:i/>
          <w:iCs/>
          <w:sz w:val="24"/>
          <w:szCs w:val="24"/>
          <w:lang w:val="en-US" w:eastAsia="en-US"/>
        </w:rPr>
        <w:t>Legal Pathways to Deep Decarbonization in the United States</w:t>
      </w:r>
      <w:r w:rsidRPr="0057243A">
        <w:rPr>
          <w:rFonts w:asciiTheme="majorBidi" w:eastAsiaTheme="minorHAnsi" w:hAnsiTheme="majorBidi" w:cstheme="majorBidi"/>
          <w:sz w:val="24"/>
          <w:szCs w:val="24"/>
          <w:lang w:val="en-US" w:eastAsia="en-US"/>
        </w:rPr>
        <w:t xml:space="preserve"> (Michael Gerrard &amp; John </w:t>
      </w:r>
      <w:proofErr w:type="spellStart"/>
      <w:r w:rsidRPr="0057243A">
        <w:rPr>
          <w:rFonts w:asciiTheme="majorBidi" w:eastAsiaTheme="minorHAnsi" w:hAnsiTheme="majorBidi" w:cstheme="majorBidi"/>
          <w:sz w:val="24"/>
          <w:szCs w:val="24"/>
          <w:lang w:val="en-US" w:eastAsia="en-US"/>
        </w:rPr>
        <w:t>Dernbach</w:t>
      </w:r>
      <w:proofErr w:type="spellEnd"/>
      <w:r w:rsidRPr="0057243A">
        <w:rPr>
          <w:rFonts w:asciiTheme="majorBidi" w:eastAsiaTheme="minorHAnsi" w:hAnsiTheme="majorBidi" w:cstheme="majorBidi"/>
          <w:sz w:val="24"/>
          <w:szCs w:val="24"/>
          <w:lang w:val="en-US" w:eastAsia="en-US"/>
        </w:rPr>
        <w:t>, Eds., ELI 2019) (“LPDD”)</w:t>
      </w:r>
      <w:r>
        <w:rPr>
          <w:rStyle w:val="FootnoteReference"/>
          <w:rFonts w:asciiTheme="majorBidi" w:eastAsiaTheme="minorHAnsi" w:hAnsiTheme="majorBidi" w:cstheme="majorBidi"/>
          <w:sz w:val="24"/>
          <w:szCs w:val="24"/>
          <w:lang w:val="en-US" w:eastAsia="en-US"/>
        </w:rPr>
        <w:footnoteReference w:id="1"/>
      </w:r>
      <w:r w:rsidRPr="0057243A">
        <w:rPr>
          <w:rFonts w:asciiTheme="majorBidi" w:eastAsiaTheme="minorHAnsi" w:hAnsiTheme="majorBidi" w:cstheme="majorBidi"/>
          <w:sz w:val="24"/>
          <w:szCs w:val="24"/>
          <w:lang w:val="en-US" w:eastAsia="en-US"/>
        </w:rPr>
        <w:t>, has identified more than 1000 legal strategies that can be taken to achieve dramatic greenhouse gas emission reductions in the United States. Many of those pathways are focused on shifting transportation fuel sources in the U.S. away from fossil fuels, at a level that would result in the deployment of approximately 300 million alternative fuel vehicles</w:t>
      </w:r>
      <w:r w:rsidR="00887E08" w:rsidRPr="0057243A">
        <w:rPr>
          <w:rFonts w:asciiTheme="majorBidi" w:eastAsiaTheme="minorHAnsi" w:hAnsiTheme="majorBidi" w:cstheme="majorBidi"/>
          <w:sz w:val="24"/>
          <w:szCs w:val="24"/>
          <w:lang w:val="en-US" w:eastAsia="en-US"/>
        </w:rPr>
        <w:t xml:space="preserve"> (“AFVs”)</w:t>
      </w:r>
      <w:r w:rsidRPr="0057243A">
        <w:rPr>
          <w:rFonts w:asciiTheme="majorBidi" w:eastAsiaTheme="minorHAnsi" w:hAnsiTheme="majorBidi" w:cstheme="majorBidi"/>
          <w:sz w:val="24"/>
          <w:szCs w:val="24"/>
          <w:lang w:val="en-US" w:eastAsia="en-US"/>
        </w:rPr>
        <w:t xml:space="preserve"> – particularly electric vehicles (“EVs”), plug-in h</w:t>
      </w:r>
      <w:r w:rsidR="00167CB5" w:rsidRPr="0057243A">
        <w:rPr>
          <w:rFonts w:asciiTheme="majorBidi" w:eastAsiaTheme="minorHAnsi" w:hAnsiTheme="majorBidi" w:cstheme="majorBidi"/>
          <w:sz w:val="24"/>
          <w:szCs w:val="24"/>
          <w:lang w:val="en-US" w:eastAsia="en-US"/>
        </w:rPr>
        <w:t>ybrid electric vehicles (“PHEVs”</w:t>
      </w:r>
      <w:r w:rsidRPr="0057243A">
        <w:rPr>
          <w:rFonts w:asciiTheme="majorBidi" w:eastAsiaTheme="minorHAnsi" w:hAnsiTheme="majorBidi" w:cstheme="majorBidi"/>
          <w:sz w:val="24"/>
          <w:szCs w:val="24"/>
          <w:lang w:val="en-US" w:eastAsia="en-US"/>
        </w:rPr>
        <w:t xml:space="preserve">) and hydrogen fuel cell vehicles (HFCVs”). </w:t>
      </w:r>
      <w:r w:rsidRPr="00486763">
        <w:rPr>
          <w:rFonts w:ascii="Times New Roman" w:hAnsi="Times New Roman" w:cs="Times New Roman"/>
          <w:iCs/>
          <w:sz w:val="24"/>
          <w:szCs w:val="24"/>
        </w:rPr>
        <w:t>"The goal is to shift 80%-95% of the miles driven from gasoline to lower carbon energy sources like electricity and hydrogen."</w:t>
      </w:r>
      <w:r w:rsidRPr="0057243A">
        <w:rPr>
          <w:rFonts w:ascii="Times New Roman" w:hAnsi="Times New Roman" w:cs="Times New Roman"/>
          <w:iCs/>
          <w:sz w:val="24"/>
          <w:szCs w:val="24"/>
        </w:rPr>
        <w:t xml:space="preserve"> </w:t>
      </w:r>
      <w:r>
        <w:rPr>
          <w:rStyle w:val="FootnoteReference"/>
          <w:rFonts w:ascii="Times New Roman" w:hAnsi="Times New Roman" w:cs="Times New Roman"/>
          <w:iCs/>
          <w:sz w:val="24"/>
          <w:szCs w:val="24"/>
        </w:rPr>
        <w:footnoteReference w:id="2"/>
      </w:r>
    </w:p>
    <w:p w14:paraId="00062F6D" w14:textId="77777777" w:rsidR="00887E08" w:rsidRPr="00486763" w:rsidRDefault="00546214" w:rsidP="00486763">
      <w:pPr>
        <w:pStyle w:val="BodyText"/>
        <w:spacing w:line="276" w:lineRule="auto"/>
        <w:ind w:left="0" w:firstLine="720"/>
        <w:jc w:val="both"/>
        <w:rPr>
          <w:rFonts w:ascii="Times New Roman" w:hAnsi="Times New Roman" w:cs="Times New Roman"/>
          <w:iCs/>
          <w:sz w:val="24"/>
          <w:szCs w:val="24"/>
        </w:rPr>
      </w:pPr>
      <w:r w:rsidRPr="00486763">
        <w:rPr>
          <w:rFonts w:asciiTheme="majorBidi" w:eastAsiaTheme="minorHAnsi" w:hAnsiTheme="majorBidi" w:cstheme="majorBidi"/>
          <w:sz w:val="24"/>
          <w:szCs w:val="24"/>
          <w:lang w:val="en-US" w:eastAsia="en-US"/>
        </w:rPr>
        <w:t xml:space="preserve">The importance of achieving this goal is readily apparent: in </w:t>
      </w:r>
      <w:r w:rsidR="005410E0" w:rsidRPr="00486763">
        <w:rPr>
          <w:rFonts w:ascii="Times New Roman" w:hAnsi="Times New Roman" w:cs="Times New Roman"/>
          <w:iCs/>
          <w:sz w:val="24"/>
          <w:szCs w:val="24"/>
        </w:rPr>
        <w:t>the United States the transportation sector accounts for 28% of the total energy consumed, 72% of petroleum usage and about a third of GHG emissions.</w:t>
      </w:r>
      <w:r>
        <w:rPr>
          <w:rStyle w:val="FootnoteReference"/>
          <w:rFonts w:ascii="Times New Roman" w:hAnsi="Times New Roman" w:cs="Times New Roman"/>
          <w:iCs/>
          <w:sz w:val="24"/>
          <w:szCs w:val="24"/>
        </w:rPr>
        <w:footnoteReference w:id="3"/>
      </w:r>
      <w:r w:rsidR="005410E0" w:rsidRPr="00486763">
        <w:rPr>
          <w:rFonts w:ascii="Times New Roman" w:hAnsi="Times New Roman" w:cs="Times New Roman"/>
          <w:iCs/>
          <w:sz w:val="24"/>
          <w:szCs w:val="24"/>
        </w:rPr>
        <w:t xml:space="preserve"> Cars and trucks use about half the total energy consumed by the transportation sector, which also includes trains, subways</w:t>
      </w:r>
      <w:r w:rsidR="00DC1587" w:rsidRPr="00486763">
        <w:rPr>
          <w:rFonts w:ascii="Times New Roman" w:hAnsi="Times New Roman" w:cs="Times New Roman"/>
          <w:iCs/>
          <w:sz w:val="24"/>
          <w:szCs w:val="24"/>
        </w:rPr>
        <w:t>, planes, ships and other water</w:t>
      </w:r>
      <w:r w:rsidR="005410E0" w:rsidRPr="00486763">
        <w:rPr>
          <w:rFonts w:ascii="Times New Roman" w:hAnsi="Times New Roman" w:cs="Times New Roman"/>
          <w:iCs/>
          <w:sz w:val="24"/>
          <w:szCs w:val="24"/>
        </w:rPr>
        <w:t>craft.</w:t>
      </w:r>
      <w:r w:rsidRPr="00486763">
        <w:rPr>
          <w:rFonts w:ascii="Times New Roman" w:hAnsi="Times New Roman" w:cs="Times New Roman"/>
          <w:iCs/>
          <w:sz w:val="24"/>
          <w:szCs w:val="24"/>
        </w:rPr>
        <w:t xml:space="preserve"> </w:t>
      </w:r>
    </w:p>
    <w:p w14:paraId="08561A47" w14:textId="77777777" w:rsidR="00D76C05" w:rsidRPr="0057243A" w:rsidRDefault="00546214" w:rsidP="00C539F4">
      <w:pPr>
        <w:pStyle w:val="BodyText"/>
        <w:spacing w:line="276" w:lineRule="auto"/>
        <w:ind w:left="0" w:firstLine="720"/>
        <w:jc w:val="both"/>
        <w:rPr>
          <w:rFonts w:asciiTheme="majorBidi" w:eastAsiaTheme="minorHAnsi" w:hAnsiTheme="majorBidi" w:cstheme="majorBidi"/>
          <w:sz w:val="24"/>
          <w:szCs w:val="24"/>
          <w:lang w:val="en-US" w:eastAsia="en-US"/>
        </w:rPr>
      </w:pPr>
      <w:r w:rsidRPr="0057243A">
        <w:rPr>
          <w:rFonts w:asciiTheme="majorBidi" w:eastAsiaTheme="minorHAnsi" w:hAnsiTheme="majorBidi" w:cstheme="majorBidi"/>
          <w:sz w:val="24"/>
          <w:szCs w:val="24"/>
          <w:lang w:val="en-US" w:eastAsia="en-US"/>
        </w:rPr>
        <w:t>Although most EV charging takes place at home or work,</w:t>
      </w:r>
      <w:r w:rsidR="00C539F4" w:rsidRPr="0057243A">
        <w:rPr>
          <w:rFonts w:asciiTheme="majorBidi" w:eastAsiaTheme="minorHAnsi" w:hAnsiTheme="majorBidi" w:cstheme="majorBidi"/>
          <w:sz w:val="24"/>
          <w:szCs w:val="24"/>
          <w:lang w:val="en-US" w:eastAsia="en-US"/>
        </w:rPr>
        <w:t xml:space="preserve"> consumers</w:t>
      </w:r>
      <w:r w:rsidR="00E558B0" w:rsidRPr="0057243A">
        <w:rPr>
          <w:rFonts w:asciiTheme="majorBidi" w:eastAsiaTheme="minorHAnsi" w:hAnsiTheme="majorBidi" w:cstheme="majorBidi"/>
          <w:sz w:val="24"/>
          <w:szCs w:val="24"/>
          <w:lang w:val="en-US" w:eastAsia="en-US"/>
        </w:rPr>
        <w:t xml:space="preserve"> expect to be able to use the vehicles</w:t>
      </w:r>
      <w:r w:rsidR="00C539F4" w:rsidRPr="0057243A">
        <w:rPr>
          <w:rFonts w:asciiTheme="majorBidi" w:eastAsiaTheme="minorHAnsi" w:hAnsiTheme="majorBidi" w:cstheme="majorBidi"/>
          <w:sz w:val="24"/>
          <w:szCs w:val="24"/>
          <w:lang w:val="en-US" w:eastAsia="en-US"/>
        </w:rPr>
        <w:t xml:space="preserve"> they purchase</w:t>
      </w:r>
      <w:r w:rsidR="00E558B0" w:rsidRPr="0057243A">
        <w:rPr>
          <w:rFonts w:asciiTheme="majorBidi" w:eastAsiaTheme="minorHAnsi" w:hAnsiTheme="majorBidi" w:cstheme="majorBidi"/>
          <w:sz w:val="24"/>
          <w:szCs w:val="24"/>
          <w:lang w:val="en-US" w:eastAsia="en-US"/>
        </w:rPr>
        <w:t xml:space="preserve"> for extended trips. For that reason, the </w:t>
      </w:r>
      <w:r w:rsidR="00C539F4" w:rsidRPr="0057243A">
        <w:rPr>
          <w:rFonts w:asciiTheme="majorBidi" w:eastAsiaTheme="minorHAnsi" w:hAnsiTheme="majorBidi" w:cstheme="majorBidi"/>
          <w:sz w:val="24"/>
          <w:szCs w:val="24"/>
          <w:lang w:val="en-US" w:eastAsia="en-US"/>
        </w:rPr>
        <w:t xml:space="preserve">limited range of EVs, combined with the </w:t>
      </w:r>
      <w:r w:rsidR="00E558B0" w:rsidRPr="0057243A">
        <w:rPr>
          <w:rFonts w:asciiTheme="majorBidi" w:eastAsiaTheme="minorHAnsi" w:hAnsiTheme="majorBidi" w:cstheme="majorBidi"/>
          <w:sz w:val="24"/>
          <w:szCs w:val="24"/>
          <w:lang w:val="en-US" w:eastAsia="en-US"/>
        </w:rPr>
        <w:t xml:space="preserve">lack of adequate charging infrastructure along longer distance travel corridors </w:t>
      </w:r>
      <w:proofErr w:type="gramStart"/>
      <w:r w:rsidR="00E558B0" w:rsidRPr="0057243A">
        <w:rPr>
          <w:rFonts w:asciiTheme="majorBidi" w:eastAsiaTheme="minorHAnsi" w:hAnsiTheme="majorBidi" w:cstheme="majorBidi"/>
          <w:sz w:val="24"/>
          <w:szCs w:val="24"/>
          <w:lang w:val="en-US" w:eastAsia="en-US"/>
        </w:rPr>
        <w:t>stands</w:t>
      </w:r>
      <w:proofErr w:type="gramEnd"/>
      <w:r w:rsidR="00E558B0" w:rsidRPr="0057243A">
        <w:rPr>
          <w:rFonts w:asciiTheme="majorBidi" w:eastAsiaTheme="minorHAnsi" w:hAnsiTheme="majorBidi" w:cstheme="majorBidi"/>
          <w:sz w:val="24"/>
          <w:szCs w:val="24"/>
          <w:lang w:val="en-US" w:eastAsia="en-US"/>
        </w:rPr>
        <w:t xml:space="preserve"> as a major impediment to the widespread adoption of this technology. </w:t>
      </w:r>
      <w:r w:rsidR="00336B9A" w:rsidRPr="0057243A">
        <w:rPr>
          <w:rFonts w:asciiTheme="majorBidi" w:eastAsiaTheme="minorHAnsi" w:hAnsiTheme="majorBidi" w:cstheme="majorBidi"/>
          <w:sz w:val="24"/>
          <w:szCs w:val="24"/>
          <w:lang w:val="en-US" w:eastAsia="en-US"/>
        </w:rPr>
        <w:t xml:space="preserve">According to </w:t>
      </w:r>
      <w:r w:rsidR="00296688" w:rsidRPr="0057243A">
        <w:rPr>
          <w:rFonts w:asciiTheme="majorBidi" w:eastAsiaTheme="minorHAnsi" w:hAnsiTheme="majorBidi" w:cstheme="majorBidi"/>
          <w:sz w:val="24"/>
          <w:szCs w:val="24"/>
          <w:lang w:val="en-US" w:eastAsia="en-US"/>
        </w:rPr>
        <w:t>experts,</w:t>
      </w:r>
      <w:r w:rsidR="00336B9A" w:rsidRPr="0057243A">
        <w:rPr>
          <w:rFonts w:asciiTheme="majorBidi" w:eastAsiaTheme="minorHAnsi" w:hAnsiTheme="majorBidi" w:cstheme="majorBidi"/>
          <w:sz w:val="24"/>
          <w:szCs w:val="24"/>
          <w:lang w:val="en-US" w:eastAsia="en-US"/>
        </w:rPr>
        <w:t xml:space="preserve"> “[c]</w:t>
      </w:r>
      <w:proofErr w:type="spellStart"/>
      <w:r w:rsidR="00336B9A" w:rsidRPr="0057243A">
        <w:rPr>
          <w:rFonts w:asciiTheme="majorBidi" w:eastAsiaTheme="minorHAnsi" w:hAnsiTheme="majorBidi" w:cstheme="majorBidi"/>
          <w:sz w:val="24"/>
          <w:szCs w:val="24"/>
          <w:lang w:val="en-US" w:eastAsia="en-US"/>
        </w:rPr>
        <w:t>onsumer</w:t>
      </w:r>
      <w:proofErr w:type="spellEnd"/>
      <w:r w:rsidR="00336B9A" w:rsidRPr="0057243A">
        <w:rPr>
          <w:rFonts w:asciiTheme="majorBidi" w:eastAsiaTheme="minorHAnsi" w:hAnsiTheme="majorBidi" w:cstheme="majorBidi"/>
          <w:sz w:val="24"/>
          <w:szCs w:val="24"/>
          <w:lang w:val="en-US" w:eastAsia="en-US"/>
        </w:rPr>
        <w:t xml:space="preserve"> reluctance towards EVs . . .  arises from the limited range of the battery pack. The nearest charging station may be prohibitively far, or its wait time far too long. With no charging nearby. . . EV drivers could become stranded.”</w:t>
      </w:r>
      <w:r>
        <w:rPr>
          <w:rFonts w:asciiTheme="majorBidi" w:eastAsiaTheme="minorHAnsi" w:hAnsiTheme="majorBidi" w:cstheme="majorBidi"/>
          <w:sz w:val="24"/>
          <w:szCs w:val="24"/>
          <w:vertAlign w:val="superscript"/>
          <w:lang w:val="en-US" w:eastAsia="en-US"/>
        </w:rPr>
        <w:footnoteReference w:id="4"/>
      </w:r>
      <w:r w:rsidR="00336B9A" w:rsidRPr="0057243A">
        <w:rPr>
          <w:rFonts w:asciiTheme="majorBidi" w:eastAsiaTheme="minorHAnsi" w:hAnsiTheme="majorBidi" w:cstheme="majorBidi"/>
          <w:sz w:val="24"/>
          <w:szCs w:val="24"/>
          <w:lang w:val="en-US" w:eastAsia="en-US"/>
        </w:rPr>
        <w:t xml:space="preserve"> </w:t>
      </w:r>
    </w:p>
    <w:p w14:paraId="6A3AD9AD" w14:textId="77777777" w:rsidR="00ED4DB7" w:rsidRDefault="00546214" w:rsidP="00D177A0">
      <w:pPr>
        <w:pStyle w:val="BodyText"/>
        <w:spacing w:line="276" w:lineRule="auto"/>
        <w:ind w:left="0" w:firstLine="720"/>
        <w:jc w:val="both"/>
        <w:rPr>
          <w:rFonts w:asciiTheme="majorBidi" w:eastAsiaTheme="minorHAnsi" w:hAnsiTheme="majorBidi" w:cstheme="majorBidi"/>
          <w:sz w:val="24"/>
          <w:szCs w:val="24"/>
          <w:lang w:val="en-US" w:eastAsia="en-US"/>
        </w:rPr>
      </w:pPr>
      <w:r w:rsidRPr="0057243A">
        <w:rPr>
          <w:rFonts w:asciiTheme="majorBidi" w:eastAsiaTheme="minorHAnsi" w:hAnsiTheme="majorBidi" w:cstheme="majorBidi"/>
          <w:sz w:val="24"/>
          <w:szCs w:val="24"/>
          <w:lang w:val="en-US" w:eastAsia="en-US"/>
        </w:rPr>
        <w:t>Thus, the</w:t>
      </w:r>
      <w:r w:rsidR="00336B9A" w:rsidRPr="0057243A">
        <w:rPr>
          <w:rFonts w:asciiTheme="majorBidi" w:eastAsiaTheme="minorHAnsi" w:hAnsiTheme="majorBidi" w:cstheme="majorBidi"/>
          <w:sz w:val="24"/>
          <w:szCs w:val="24"/>
          <w:lang w:val="en-US" w:eastAsia="en-US"/>
        </w:rPr>
        <w:t xml:space="preserve"> proliferation of </w:t>
      </w:r>
      <w:r w:rsidR="00180133" w:rsidRPr="0057243A">
        <w:rPr>
          <w:rFonts w:asciiTheme="majorBidi" w:eastAsiaTheme="minorHAnsi" w:hAnsiTheme="majorBidi" w:cstheme="majorBidi"/>
          <w:sz w:val="24"/>
          <w:szCs w:val="24"/>
          <w:lang w:val="en-US" w:eastAsia="en-US"/>
        </w:rPr>
        <w:t>publicly accessible</w:t>
      </w:r>
      <w:r>
        <w:rPr>
          <w:rFonts w:asciiTheme="majorBidi" w:eastAsiaTheme="minorHAnsi" w:hAnsiTheme="majorBidi" w:cstheme="majorBidi"/>
          <w:sz w:val="24"/>
          <w:szCs w:val="24"/>
          <w:lang w:val="en-US" w:eastAsia="en-US"/>
        </w:rPr>
        <w:t xml:space="preserve"> and convenient</w:t>
      </w:r>
      <w:r w:rsidR="00180133" w:rsidRPr="0057243A">
        <w:rPr>
          <w:rFonts w:asciiTheme="majorBidi" w:eastAsiaTheme="minorHAnsi" w:hAnsiTheme="majorBidi" w:cstheme="majorBidi"/>
          <w:sz w:val="24"/>
          <w:szCs w:val="24"/>
          <w:lang w:val="en-US" w:eastAsia="en-US"/>
        </w:rPr>
        <w:t xml:space="preserve"> </w:t>
      </w:r>
      <w:r w:rsidR="00336B9A" w:rsidRPr="0057243A">
        <w:rPr>
          <w:rFonts w:asciiTheme="majorBidi" w:eastAsiaTheme="minorHAnsi" w:hAnsiTheme="majorBidi" w:cstheme="majorBidi"/>
          <w:sz w:val="24"/>
          <w:szCs w:val="24"/>
          <w:lang w:val="en-US" w:eastAsia="en-US"/>
        </w:rPr>
        <w:t>electric vehicle charging stations</w:t>
      </w:r>
      <w:r w:rsidR="00B93FD8" w:rsidRPr="0057243A">
        <w:rPr>
          <w:rFonts w:asciiTheme="majorBidi" w:eastAsiaTheme="minorHAnsi" w:hAnsiTheme="majorBidi" w:cstheme="majorBidi"/>
          <w:sz w:val="24"/>
          <w:szCs w:val="24"/>
          <w:lang w:val="en-US" w:eastAsia="en-US"/>
        </w:rPr>
        <w:t xml:space="preserve"> </w:t>
      </w:r>
      <w:r w:rsidRPr="0057243A">
        <w:rPr>
          <w:rFonts w:asciiTheme="majorBidi" w:eastAsiaTheme="minorHAnsi" w:hAnsiTheme="majorBidi" w:cstheme="majorBidi"/>
          <w:sz w:val="24"/>
          <w:szCs w:val="24"/>
          <w:lang w:val="en-US" w:eastAsia="en-US"/>
        </w:rPr>
        <w:t>--</w:t>
      </w:r>
      <w:r w:rsidR="00B93FD8" w:rsidRPr="0057243A">
        <w:rPr>
          <w:rFonts w:asciiTheme="majorBidi" w:eastAsiaTheme="minorHAnsi" w:hAnsiTheme="majorBidi" w:cstheme="majorBidi"/>
          <w:sz w:val="24"/>
          <w:szCs w:val="24"/>
          <w:lang w:val="en-US" w:eastAsia="en-US"/>
        </w:rPr>
        <w:t xml:space="preserve"> capable of providing </w:t>
      </w:r>
      <w:r w:rsidR="00486763">
        <w:rPr>
          <w:rFonts w:asciiTheme="majorBidi" w:eastAsiaTheme="minorHAnsi" w:hAnsiTheme="majorBidi" w:cstheme="majorBidi"/>
          <w:sz w:val="24"/>
          <w:szCs w:val="24"/>
          <w:lang w:val="en-US" w:eastAsia="en-US"/>
        </w:rPr>
        <w:t xml:space="preserve">Level 2 or </w:t>
      </w:r>
      <w:r w:rsidR="00B93FD8" w:rsidRPr="0057243A">
        <w:rPr>
          <w:rFonts w:asciiTheme="majorBidi" w:eastAsiaTheme="minorHAnsi" w:hAnsiTheme="majorBidi" w:cstheme="majorBidi"/>
          <w:sz w:val="24"/>
          <w:szCs w:val="24"/>
          <w:lang w:val="en-US" w:eastAsia="en-US"/>
        </w:rPr>
        <w:t>direct current (“DC”) fast charging service</w:t>
      </w:r>
      <w:r>
        <w:rPr>
          <w:rStyle w:val="FootnoteReference"/>
          <w:rFonts w:asciiTheme="majorBidi" w:eastAsiaTheme="minorHAnsi" w:hAnsiTheme="majorBidi" w:cstheme="majorBidi"/>
          <w:sz w:val="24"/>
          <w:szCs w:val="24"/>
          <w:lang w:val="en-US" w:eastAsia="en-US"/>
        </w:rPr>
        <w:footnoteReference w:id="5"/>
      </w:r>
      <w:r w:rsidR="00336B9A" w:rsidRPr="0057243A">
        <w:rPr>
          <w:rFonts w:asciiTheme="majorBidi" w:eastAsiaTheme="minorHAnsi" w:hAnsiTheme="majorBidi" w:cstheme="majorBidi"/>
          <w:sz w:val="24"/>
          <w:szCs w:val="24"/>
          <w:lang w:val="en-US" w:eastAsia="en-US"/>
        </w:rPr>
        <w:t xml:space="preserve"> </w:t>
      </w:r>
      <w:r w:rsidRPr="0057243A">
        <w:rPr>
          <w:rFonts w:asciiTheme="majorBidi" w:eastAsiaTheme="minorHAnsi" w:hAnsiTheme="majorBidi" w:cstheme="majorBidi"/>
          <w:sz w:val="24"/>
          <w:szCs w:val="24"/>
          <w:lang w:val="en-US" w:eastAsia="en-US"/>
        </w:rPr>
        <w:t xml:space="preserve">-- </w:t>
      </w:r>
      <w:r w:rsidR="00336B9A" w:rsidRPr="0057243A">
        <w:rPr>
          <w:rFonts w:asciiTheme="majorBidi" w:eastAsiaTheme="minorHAnsi" w:hAnsiTheme="majorBidi" w:cstheme="majorBidi"/>
          <w:sz w:val="24"/>
          <w:szCs w:val="24"/>
          <w:lang w:val="en-US" w:eastAsia="en-US"/>
        </w:rPr>
        <w:t xml:space="preserve">is </w:t>
      </w:r>
      <w:r w:rsidR="00336B9A" w:rsidRPr="0057243A">
        <w:rPr>
          <w:rFonts w:asciiTheme="majorBidi" w:eastAsiaTheme="minorHAnsi" w:hAnsiTheme="majorBidi" w:cstheme="majorBidi"/>
          <w:sz w:val="24"/>
          <w:szCs w:val="24"/>
          <w:lang w:val="en-US" w:eastAsia="en-US"/>
        </w:rPr>
        <w:lastRenderedPageBreak/>
        <w:t xml:space="preserve">essential to addressing </w:t>
      </w:r>
      <w:r w:rsidR="00C539F4" w:rsidRPr="0057243A">
        <w:rPr>
          <w:rFonts w:asciiTheme="majorBidi" w:eastAsiaTheme="minorHAnsi" w:hAnsiTheme="majorBidi" w:cstheme="majorBidi"/>
          <w:sz w:val="24"/>
          <w:szCs w:val="24"/>
          <w:lang w:val="en-US" w:eastAsia="en-US"/>
        </w:rPr>
        <w:t xml:space="preserve">these </w:t>
      </w:r>
      <w:r w:rsidR="00336B9A" w:rsidRPr="0057243A">
        <w:rPr>
          <w:rFonts w:asciiTheme="majorBidi" w:eastAsiaTheme="minorHAnsi" w:hAnsiTheme="majorBidi" w:cstheme="majorBidi"/>
          <w:sz w:val="24"/>
          <w:szCs w:val="24"/>
          <w:lang w:val="en-US" w:eastAsia="en-US"/>
        </w:rPr>
        <w:t>“range anxiety” issues and promoting the expanded consumer acceptance of electric vehicles.</w:t>
      </w:r>
    </w:p>
    <w:p w14:paraId="6EBDBF12" w14:textId="77777777" w:rsidR="00180133" w:rsidRDefault="00546214" w:rsidP="00AE5624">
      <w:pPr>
        <w:pStyle w:val="BodyText"/>
        <w:spacing w:line="276" w:lineRule="auto"/>
        <w:ind w:left="0" w:firstLine="72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One obstacle to the widespread availability of publicly accessible, convenient</w:t>
      </w:r>
      <w:r w:rsidR="00AE5624">
        <w:rPr>
          <w:rFonts w:asciiTheme="majorBidi" w:eastAsiaTheme="minorHAnsi" w:hAnsiTheme="majorBidi" w:cstheme="majorBidi"/>
          <w:sz w:val="24"/>
          <w:szCs w:val="24"/>
          <w:lang w:val="en-US" w:eastAsia="en-US"/>
        </w:rPr>
        <w:t xml:space="preserve"> Level 2 charging equipment and</w:t>
      </w:r>
      <w:r>
        <w:rPr>
          <w:rFonts w:asciiTheme="majorBidi" w:eastAsiaTheme="minorHAnsi" w:hAnsiTheme="majorBidi" w:cstheme="majorBidi"/>
          <w:sz w:val="24"/>
          <w:szCs w:val="24"/>
          <w:lang w:val="en-US" w:eastAsia="en-US"/>
        </w:rPr>
        <w:t xml:space="preserve"> DC fast chargers is the inadequate interoperability that currently exists among the various charging networks. </w:t>
      </w:r>
      <w:r w:rsidR="00AE5624">
        <w:rPr>
          <w:rFonts w:asciiTheme="majorBidi" w:eastAsiaTheme="minorHAnsi" w:hAnsiTheme="majorBidi" w:cstheme="majorBidi"/>
          <w:sz w:val="24"/>
          <w:szCs w:val="24"/>
          <w:lang w:val="en-US" w:eastAsia="en-US"/>
        </w:rPr>
        <w:t>Such</w:t>
      </w:r>
      <w:r w:rsidR="00B11F17">
        <w:rPr>
          <w:rFonts w:asciiTheme="majorBidi" w:eastAsiaTheme="minorHAnsi" w:hAnsiTheme="majorBidi" w:cstheme="majorBidi"/>
          <w:sz w:val="24"/>
          <w:szCs w:val="24"/>
          <w:lang w:val="en-US" w:eastAsia="en-US"/>
        </w:rPr>
        <w:t xml:space="preserve"> equipment</w:t>
      </w:r>
      <w:r w:rsidR="00ED4DB7">
        <w:rPr>
          <w:rFonts w:asciiTheme="majorBidi" w:eastAsiaTheme="minorHAnsi" w:hAnsiTheme="majorBidi" w:cstheme="majorBidi"/>
          <w:sz w:val="24"/>
          <w:szCs w:val="24"/>
          <w:lang w:val="en-US" w:eastAsia="en-US"/>
        </w:rPr>
        <w:t xml:space="preserve"> is provided by</w:t>
      </w:r>
      <w:r w:rsidR="00BA342C">
        <w:rPr>
          <w:rFonts w:asciiTheme="majorBidi" w:eastAsiaTheme="minorHAnsi" w:hAnsiTheme="majorBidi" w:cstheme="majorBidi"/>
          <w:sz w:val="24"/>
          <w:szCs w:val="24"/>
          <w:lang w:val="en-US" w:eastAsia="en-US"/>
        </w:rPr>
        <w:t xml:space="preserve"> </w:t>
      </w:r>
      <w:r w:rsidR="002C7472">
        <w:rPr>
          <w:rFonts w:asciiTheme="majorBidi" w:eastAsiaTheme="minorHAnsi" w:hAnsiTheme="majorBidi" w:cstheme="majorBidi"/>
          <w:sz w:val="24"/>
          <w:szCs w:val="24"/>
          <w:lang w:val="en-US" w:eastAsia="en-US"/>
        </w:rPr>
        <w:t>“</w:t>
      </w:r>
      <w:r w:rsidR="00ED4DB7">
        <w:rPr>
          <w:rFonts w:asciiTheme="majorBidi" w:eastAsiaTheme="minorHAnsi" w:hAnsiTheme="majorBidi" w:cstheme="majorBidi"/>
          <w:sz w:val="24"/>
          <w:szCs w:val="24"/>
          <w:lang w:val="en-US" w:eastAsia="en-US"/>
        </w:rPr>
        <w:t>electric vehicle service providers</w:t>
      </w:r>
      <w:r w:rsidR="002C7472">
        <w:rPr>
          <w:rFonts w:asciiTheme="majorBidi" w:eastAsiaTheme="minorHAnsi" w:hAnsiTheme="majorBidi" w:cstheme="majorBidi"/>
          <w:sz w:val="24"/>
          <w:szCs w:val="24"/>
          <w:lang w:val="en-US" w:eastAsia="en-US"/>
        </w:rPr>
        <w:t>”</w:t>
      </w:r>
      <w:r w:rsidR="00AE5624">
        <w:rPr>
          <w:rFonts w:asciiTheme="majorBidi" w:eastAsiaTheme="minorHAnsi" w:hAnsiTheme="majorBidi" w:cstheme="majorBidi"/>
          <w:sz w:val="24"/>
          <w:szCs w:val="24"/>
          <w:lang w:val="en-US" w:eastAsia="en-US"/>
        </w:rPr>
        <w:t xml:space="preserve"> (“EVSPs”)</w:t>
      </w:r>
      <w:r w:rsidR="00764C74">
        <w:rPr>
          <w:rFonts w:asciiTheme="majorBidi" w:eastAsiaTheme="minorHAnsi" w:hAnsiTheme="majorBidi" w:cstheme="majorBidi"/>
          <w:sz w:val="24"/>
          <w:szCs w:val="24"/>
          <w:lang w:val="en-US" w:eastAsia="en-US"/>
        </w:rPr>
        <w:t xml:space="preserve"> </w:t>
      </w:r>
      <w:r w:rsidR="008D7B41">
        <w:rPr>
          <w:rFonts w:asciiTheme="majorBidi" w:eastAsiaTheme="minorHAnsi" w:hAnsiTheme="majorBidi" w:cstheme="majorBidi"/>
          <w:sz w:val="24"/>
          <w:szCs w:val="24"/>
          <w:lang w:val="en-US" w:eastAsia="en-US"/>
        </w:rPr>
        <w:t>operating under</w:t>
      </w:r>
      <w:r w:rsidR="00ED4DB7">
        <w:rPr>
          <w:rFonts w:asciiTheme="majorBidi" w:eastAsiaTheme="minorHAnsi" w:hAnsiTheme="majorBidi" w:cstheme="majorBidi"/>
          <w:sz w:val="24"/>
          <w:szCs w:val="24"/>
          <w:lang w:val="en-US" w:eastAsia="en-US"/>
        </w:rPr>
        <w:t xml:space="preserve"> a variety of business models </w:t>
      </w:r>
      <w:r w:rsidR="002C7472">
        <w:rPr>
          <w:rFonts w:asciiTheme="majorBidi" w:eastAsiaTheme="minorHAnsi" w:hAnsiTheme="majorBidi" w:cstheme="majorBidi"/>
          <w:sz w:val="24"/>
          <w:szCs w:val="24"/>
          <w:lang w:val="en-US" w:eastAsia="en-US"/>
        </w:rPr>
        <w:t>that rely</w:t>
      </w:r>
      <w:r w:rsidR="00ED4DB7">
        <w:rPr>
          <w:rFonts w:asciiTheme="majorBidi" w:eastAsiaTheme="minorHAnsi" w:hAnsiTheme="majorBidi" w:cstheme="majorBidi"/>
          <w:sz w:val="24"/>
          <w:szCs w:val="24"/>
          <w:lang w:val="en-US" w:eastAsia="en-US"/>
        </w:rPr>
        <w:t xml:space="preserve"> on proprietary software and subscriber service </w:t>
      </w:r>
      <w:r w:rsidR="008D7B41">
        <w:rPr>
          <w:rFonts w:asciiTheme="majorBidi" w:eastAsiaTheme="minorHAnsi" w:hAnsiTheme="majorBidi" w:cstheme="majorBidi"/>
          <w:sz w:val="24"/>
          <w:szCs w:val="24"/>
          <w:lang w:val="en-US" w:eastAsia="en-US"/>
        </w:rPr>
        <w:t>arrangements</w:t>
      </w:r>
      <w:r w:rsidR="00ED4DB7">
        <w:rPr>
          <w:rFonts w:asciiTheme="majorBidi" w:eastAsiaTheme="minorHAnsi" w:hAnsiTheme="majorBidi" w:cstheme="majorBidi"/>
          <w:sz w:val="24"/>
          <w:szCs w:val="24"/>
          <w:lang w:val="en-US" w:eastAsia="en-US"/>
        </w:rPr>
        <w:t>.</w:t>
      </w:r>
      <w:r>
        <w:rPr>
          <w:rStyle w:val="FootnoteReference"/>
          <w:rFonts w:asciiTheme="majorBidi" w:eastAsiaTheme="minorHAnsi" w:hAnsiTheme="majorBidi" w:cstheme="majorBidi"/>
          <w:sz w:val="24"/>
          <w:szCs w:val="24"/>
          <w:lang w:val="en-US" w:eastAsia="en-US"/>
        </w:rPr>
        <w:footnoteReference w:id="6"/>
      </w:r>
      <w:r w:rsidR="00336B9A" w:rsidRPr="0057243A">
        <w:rPr>
          <w:rFonts w:asciiTheme="majorBidi" w:eastAsiaTheme="minorHAnsi" w:hAnsiTheme="majorBidi" w:cstheme="majorBidi"/>
          <w:sz w:val="24"/>
          <w:szCs w:val="24"/>
          <w:lang w:val="en-US" w:eastAsia="en-US"/>
        </w:rPr>
        <w:t xml:space="preserve"> </w:t>
      </w:r>
      <w:r w:rsidR="0064063F">
        <w:rPr>
          <w:rFonts w:asciiTheme="majorBidi" w:eastAsiaTheme="minorHAnsi" w:hAnsiTheme="majorBidi" w:cstheme="majorBidi"/>
          <w:sz w:val="24"/>
          <w:szCs w:val="24"/>
          <w:lang w:val="en-US" w:eastAsia="en-US"/>
        </w:rPr>
        <w:t>As a re</w:t>
      </w:r>
      <w:r w:rsidR="002C7472">
        <w:rPr>
          <w:rFonts w:asciiTheme="majorBidi" w:eastAsiaTheme="minorHAnsi" w:hAnsiTheme="majorBidi" w:cstheme="majorBidi"/>
          <w:sz w:val="24"/>
          <w:szCs w:val="24"/>
          <w:lang w:val="en-US" w:eastAsia="en-US"/>
        </w:rPr>
        <w:t xml:space="preserve">sult, charging </w:t>
      </w:r>
      <w:r w:rsidR="008D7B41">
        <w:rPr>
          <w:rFonts w:asciiTheme="majorBidi" w:eastAsiaTheme="minorHAnsi" w:hAnsiTheme="majorBidi" w:cstheme="majorBidi"/>
          <w:sz w:val="24"/>
          <w:szCs w:val="24"/>
          <w:lang w:val="en-US" w:eastAsia="en-US"/>
        </w:rPr>
        <w:t>services are</w:t>
      </w:r>
      <w:r w:rsidR="002C7472">
        <w:rPr>
          <w:rFonts w:asciiTheme="majorBidi" w:eastAsiaTheme="minorHAnsi" w:hAnsiTheme="majorBidi" w:cstheme="majorBidi"/>
          <w:sz w:val="24"/>
          <w:szCs w:val="24"/>
          <w:lang w:val="en-US" w:eastAsia="en-US"/>
        </w:rPr>
        <w:t xml:space="preserve"> provided under </w:t>
      </w:r>
      <w:r w:rsidR="0064063F">
        <w:rPr>
          <w:rFonts w:asciiTheme="majorBidi" w:eastAsiaTheme="minorHAnsi" w:hAnsiTheme="majorBidi" w:cstheme="majorBidi"/>
          <w:sz w:val="24"/>
          <w:szCs w:val="24"/>
          <w:lang w:val="en-US" w:eastAsia="en-US"/>
        </w:rPr>
        <w:t xml:space="preserve">different pricing structures and </w:t>
      </w:r>
      <w:r w:rsidR="0027669E">
        <w:rPr>
          <w:rFonts w:asciiTheme="majorBidi" w:eastAsiaTheme="minorHAnsi" w:hAnsiTheme="majorBidi" w:cstheme="majorBidi"/>
          <w:sz w:val="24"/>
          <w:szCs w:val="24"/>
          <w:lang w:val="en-US" w:eastAsia="en-US"/>
        </w:rPr>
        <w:t>terms of service</w:t>
      </w:r>
      <w:r w:rsidR="0064063F">
        <w:rPr>
          <w:rFonts w:asciiTheme="majorBidi" w:eastAsiaTheme="minorHAnsi" w:hAnsiTheme="majorBidi" w:cstheme="majorBidi"/>
          <w:sz w:val="24"/>
          <w:szCs w:val="24"/>
          <w:lang w:val="en-US" w:eastAsia="en-US"/>
        </w:rPr>
        <w:t xml:space="preserve"> for subscribers versus non-subscribers</w:t>
      </w:r>
      <w:r w:rsidR="002C7472">
        <w:rPr>
          <w:rFonts w:asciiTheme="majorBidi" w:eastAsiaTheme="minorHAnsi" w:hAnsiTheme="majorBidi" w:cstheme="majorBidi"/>
          <w:sz w:val="24"/>
          <w:szCs w:val="24"/>
          <w:lang w:val="en-US" w:eastAsia="en-US"/>
        </w:rPr>
        <w:t>.</w:t>
      </w:r>
      <w:r>
        <w:rPr>
          <w:rStyle w:val="FootnoteReference"/>
          <w:rFonts w:asciiTheme="majorBidi" w:eastAsiaTheme="minorHAnsi" w:hAnsiTheme="majorBidi" w:cstheme="majorBidi"/>
          <w:sz w:val="24"/>
          <w:szCs w:val="24"/>
          <w:lang w:val="en-US" w:eastAsia="en-US"/>
        </w:rPr>
        <w:footnoteReference w:id="7"/>
      </w:r>
      <w:r w:rsidR="002C7472">
        <w:rPr>
          <w:rFonts w:asciiTheme="majorBidi" w:eastAsiaTheme="minorHAnsi" w:hAnsiTheme="majorBidi" w:cstheme="majorBidi"/>
          <w:sz w:val="24"/>
          <w:szCs w:val="24"/>
          <w:lang w:val="en-US" w:eastAsia="en-US"/>
        </w:rPr>
        <w:t xml:space="preserve"> </w:t>
      </w:r>
      <w:r w:rsidR="0009618B">
        <w:rPr>
          <w:rFonts w:asciiTheme="majorBidi" w:eastAsiaTheme="minorHAnsi" w:hAnsiTheme="majorBidi" w:cstheme="majorBidi"/>
          <w:sz w:val="24"/>
          <w:szCs w:val="24"/>
          <w:lang w:val="en-US" w:eastAsia="en-US"/>
        </w:rPr>
        <w:t xml:space="preserve">The various </w:t>
      </w:r>
      <w:r w:rsidR="00551304">
        <w:rPr>
          <w:rFonts w:asciiTheme="majorBidi" w:eastAsiaTheme="minorHAnsi" w:hAnsiTheme="majorBidi" w:cstheme="majorBidi"/>
          <w:sz w:val="24"/>
          <w:szCs w:val="24"/>
          <w:lang w:val="en-US" w:eastAsia="en-US"/>
        </w:rPr>
        <w:t>networks operate</w:t>
      </w:r>
      <w:r w:rsidR="0009618B">
        <w:rPr>
          <w:rFonts w:asciiTheme="majorBidi" w:eastAsiaTheme="minorHAnsi" w:hAnsiTheme="majorBidi" w:cstheme="majorBidi"/>
          <w:sz w:val="24"/>
          <w:szCs w:val="24"/>
          <w:lang w:val="en-US" w:eastAsia="en-US"/>
        </w:rPr>
        <w:t xml:space="preserve"> independently and are not well</w:t>
      </w:r>
      <w:r w:rsidR="008D7B41">
        <w:rPr>
          <w:rFonts w:asciiTheme="majorBidi" w:eastAsiaTheme="minorHAnsi" w:hAnsiTheme="majorBidi" w:cstheme="majorBidi"/>
          <w:sz w:val="24"/>
          <w:szCs w:val="24"/>
          <w:lang w:val="en-US" w:eastAsia="en-US"/>
        </w:rPr>
        <w:t xml:space="preserve"> </w:t>
      </w:r>
      <w:r w:rsidR="00551304">
        <w:rPr>
          <w:rFonts w:asciiTheme="majorBidi" w:eastAsiaTheme="minorHAnsi" w:hAnsiTheme="majorBidi" w:cstheme="majorBidi"/>
          <w:sz w:val="24"/>
          <w:szCs w:val="24"/>
          <w:lang w:val="en-US" w:eastAsia="en-US"/>
        </w:rPr>
        <w:t>integrated with each other, causing confusion and inconvenience to drivers seeking to</w:t>
      </w:r>
      <w:r w:rsidR="0009618B">
        <w:rPr>
          <w:rFonts w:asciiTheme="majorBidi" w:eastAsiaTheme="minorHAnsi" w:hAnsiTheme="majorBidi" w:cstheme="majorBidi"/>
          <w:sz w:val="24"/>
          <w:szCs w:val="24"/>
          <w:lang w:val="en-US" w:eastAsia="en-US"/>
        </w:rPr>
        <w:t xml:space="preserve"> charge </w:t>
      </w:r>
      <w:r w:rsidR="00AE5624">
        <w:rPr>
          <w:rFonts w:asciiTheme="majorBidi" w:eastAsiaTheme="minorHAnsi" w:hAnsiTheme="majorBidi" w:cstheme="majorBidi"/>
          <w:sz w:val="24"/>
          <w:szCs w:val="24"/>
          <w:lang w:val="en-US" w:eastAsia="en-US"/>
        </w:rPr>
        <w:t>their vehicles on longer trips.</w:t>
      </w:r>
    </w:p>
    <w:p w14:paraId="0057FB85" w14:textId="77777777" w:rsidR="00AE5624" w:rsidRDefault="00546214" w:rsidP="00C70036">
      <w:pPr>
        <w:pStyle w:val="BodyText"/>
        <w:spacing w:line="276" w:lineRule="auto"/>
        <w:ind w:left="0" w:firstLine="72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 xml:space="preserve">In addition, electric vehicle charging equipment </w:t>
      </w:r>
      <w:r w:rsidR="00C70036">
        <w:rPr>
          <w:rFonts w:asciiTheme="majorBidi" w:eastAsiaTheme="minorHAnsi" w:hAnsiTheme="majorBidi" w:cstheme="majorBidi"/>
          <w:sz w:val="24"/>
          <w:szCs w:val="24"/>
          <w:lang w:val="en-US" w:eastAsia="en-US"/>
        </w:rPr>
        <w:t>purchased from</w:t>
      </w:r>
      <w:r>
        <w:rPr>
          <w:rFonts w:asciiTheme="majorBidi" w:eastAsiaTheme="minorHAnsi" w:hAnsiTheme="majorBidi" w:cstheme="majorBidi"/>
          <w:sz w:val="24"/>
          <w:szCs w:val="24"/>
          <w:lang w:val="en-US" w:eastAsia="en-US"/>
        </w:rPr>
        <w:t xml:space="preserve"> EVSPs comes with proprietary software that may not be capable of communicating with other networks.</w:t>
      </w:r>
      <w:r>
        <w:rPr>
          <w:rStyle w:val="FootnoteReference"/>
          <w:rFonts w:asciiTheme="majorBidi" w:eastAsiaTheme="minorHAnsi" w:hAnsiTheme="majorBidi" w:cstheme="majorBidi"/>
          <w:sz w:val="24"/>
          <w:szCs w:val="24"/>
          <w:lang w:val="en-US" w:eastAsia="en-US"/>
        </w:rPr>
        <w:footnoteReference w:id="8"/>
      </w:r>
      <w:r>
        <w:rPr>
          <w:rFonts w:asciiTheme="majorBidi" w:eastAsiaTheme="minorHAnsi" w:hAnsiTheme="majorBidi" w:cstheme="majorBidi"/>
          <w:sz w:val="24"/>
          <w:szCs w:val="24"/>
          <w:lang w:val="en-US" w:eastAsia="en-US"/>
        </w:rPr>
        <w:t xml:space="preserve"> Thus, where the EVSP goes out of business </w:t>
      </w:r>
      <w:r w:rsidR="00C70036">
        <w:rPr>
          <w:rFonts w:asciiTheme="majorBidi" w:eastAsiaTheme="minorHAnsi" w:hAnsiTheme="majorBidi" w:cstheme="majorBidi"/>
          <w:sz w:val="24"/>
          <w:szCs w:val="24"/>
          <w:lang w:val="en-US" w:eastAsia="en-US"/>
        </w:rPr>
        <w:t xml:space="preserve">or is otherwise not providing adequate service the host may be unable to switch over to another EVSP, and </w:t>
      </w:r>
      <w:r w:rsidR="009D16E9">
        <w:rPr>
          <w:rFonts w:asciiTheme="majorBidi" w:eastAsiaTheme="minorHAnsi" w:hAnsiTheme="majorBidi" w:cstheme="majorBidi"/>
          <w:sz w:val="24"/>
          <w:szCs w:val="24"/>
          <w:lang w:val="en-US" w:eastAsia="en-US"/>
        </w:rPr>
        <w:t>may in the worst-</w:t>
      </w:r>
      <w:r w:rsidR="00C70036">
        <w:rPr>
          <w:rFonts w:asciiTheme="majorBidi" w:eastAsiaTheme="minorHAnsi" w:hAnsiTheme="majorBidi" w:cstheme="majorBidi"/>
          <w:sz w:val="24"/>
          <w:szCs w:val="24"/>
          <w:lang w:val="en-US" w:eastAsia="en-US"/>
        </w:rPr>
        <w:t xml:space="preserve">case wind up with stranded assets. </w:t>
      </w:r>
      <w:r>
        <w:rPr>
          <w:rFonts w:asciiTheme="majorBidi" w:eastAsiaTheme="minorHAnsi" w:hAnsiTheme="majorBidi" w:cstheme="majorBidi"/>
          <w:sz w:val="24"/>
          <w:szCs w:val="24"/>
          <w:lang w:val="en-US" w:eastAsia="en-US"/>
        </w:rPr>
        <w:t xml:space="preserve"> </w:t>
      </w:r>
    </w:p>
    <w:p w14:paraId="4A58D909" w14:textId="77777777" w:rsidR="0027669E" w:rsidRDefault="00546214" w:rsidP="0078161B">
      <w:pPr>
        <w:pStyle w:val="BodyText"/>
        <w:spacing w:line="276" w:lineRule="auto"/>
        <w:ind w:left="0" w:firstLine="72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The attached language would address th</w:t>
      </w:r>
      <w:r w:rsidR="00C70036">
        <w:rPr>
          <w:rFonts w:asciiTheme="majorBidi" w:eastAsiaTheme="minorHAnsi" w:hAnsiTheme="majorBidi" w:cstheme="majorBidi"/>
          <w:sz w:val="24"/>
          <w:szCs w:val="24"/>
          <w:lang w:val="en-US" w:eastAsia="en-US"/>
        </w:rPr>
        <w:t xml:space="preserve">ese </w:t>
      </w:r>
      <w:r>
        <w:rPr>
          <w:rFonts w:asciiTheme="majorBidi" w:eastAsiaTheme="minorHAnsi" w:hAnsiTheme="majorBidi" w:cstheme="majorBidi"/>
          <w:sz w:val="24"/>
          <w:szCs w:val="24"/>
          <w:lang w:val="en-US" w:eastAsia="en-US"/>
        </w:rPr>
        <w:t>issue</w:t>
      </w:r>
      <w:r w:rsidR="00C70036">
        <w:rPr>
          <w:rFonts w:asciiTheme="majorBidi" w:eastAsiaTheme="minorHAnsi" w:hAnsiTheme="majorBidi" w:cstheme="majorBidi"/>
          <w:sz w:val="24"/>
          <w:szCs w:val="24"/>
          <w:lang w:val="en-US" w:eastAsia="en-US"/>
        </w:rPr>
        <w:t>s</w:t>
      </w:r>
      <w:r>
        <w:rPr>
          <w:rFonts w:asciiTheme="majorBidi" w:eastAsiaTheme="minorHAnsi" w:hAnsiTheme="majorBidi" w:cstheme="majorBidi"/>
          <w:sz w:val="24"/>
          <w:szCs w:val="24"/>
          <w:lang w:val="en-US" w:eastAsia="en-US"/>
        </w:rPr>
        <w:t xml:space="preserve"> by directing the Secretary </w:t>
      </w:r>
      <w:r w:rsidR="00C50310">
        <w:rPr>
          <w:rFonts w:asciiTheme="majorBidi" w:eastAsiaTheme="minorHAnsi" w:hAnsiTheme="majorBidi" w:cstheme="majorBidi"/>
          <w:sz w:val="24"/>
          <w:szCs w:val="24"/>
          <w:lang w:val="en-US" w:eastAsia="en-US"/>
        </w:rPr>
        <w:t xml:space="preserve">administering the federal funding program </w:t>
      </w:r>
      <w:r w:rsidR="00A468B3">
        <w:rPr>
          <w:rFonts w:asciiTheme="majorBidi" w:eastAsiaTheme="minorHAnsi" w:hAnsiTheme="majorBidi" w:cstheme="majorBidi"/>
          <w:sz w:val="24"/>
          <w:szCs w:val="24"/>
          <w:lang w:val="en-US" w:eastAsia="en-US"/>
        </w:rPr>
        <w:t xml:space="preserve">to establish by regulation minimum interoperability criteria for </w:t>
      </w:r>
      <w:r w:rsidR="00C70036">
        <w:rPr>
          <w:rFonts w:asciiTheme="majorBidi" w:eastAsiaTheme="minorHAnsi" w:hAnsiTheme="majorBidi" w:cstheme="majorBidi"/>
          <w:sz w:val="24"/>
          <w:szCs w:val="24"/>
          <w:lang w:val="en-US" w:eastAsia="en-US"/>
        </w:rPr>
        <w:t>Leve</w:t>
      </w:r>
      <w:r w:rsidR="009D16E9">
        <w:rPr>
          <w:rFonts w:asciiTheme="majorBidi" w:eastAsiaTheme="minorHAnsi" w:hAnsiTheme="majorBidi" w:cstheme="majorBidi"/>
          <w:sz w:val="24"/>
          <w:szCs w:val="24"/>
          <w:lang w:val="en-US" w:eastAsia="en-US"/>
        </w:rPr>
        <w:t>l</w:t>
      </w:r>
      <w:r w:rsidR="00C70036">
        <w:rPr>
          <w:rFonts w:asciiTheme="majorBidi" w:eastAsiaTheme="minorHAnsi" w:hAnsiTheme="majorBidi" w:cstheme="majorBidi"/>
          <w:sz w:val="24"/>
          <w:szCs w:val="24"/>
          <w:lang w:val="en-US" w:eastAsia="en-US"/>
        </w:rPr>
        <w:t xml:space="preserve"> 2 charging equipment and</w:t>
      </w:r>
      <w:r w:rsidR="00A468B3">
        <w:rPr>
          <w:rFonts w:asciiTheme="majorBidi" w:eastAsiaTheme="minorHAnsi" w:hAnsiTheme="majorBidi" w:cstheme="majorBidi"/>
          <w:sz w:val="24"/>
          <w:szCs w:val="24"/>
          <w:lang w:val="en-US" w:eastAsia="en-US"/>
        </w:rPr>
        <w:t xml:space="preserve"> DC </w:t>
      </w:r>
      <w:r w:rsidR="008F6B93">
        <w:rPr>
          <w:rFonts w:asciiTheme="majorBidi" w:eastAsiaTheme="minorHAnsi" w:hAnsiTheme="majorBidi" w:cstheme="majorBidi"/>
          <w:sz w:val="24"/>
          <w:szCs w:val="24"/>
          <w:lang w:val="en-US" w:eastAsia="en-US"/>
        </w:rPr>
        <w:t>f</w:t>
      </w:r>
      <w:r w:rsidR="00A468B3">
        <w:rPr>
          <w:rFonts w:asciiTheme="majorBidi" w:eastAsiaTheme="minorHAnsi" w:hAnsiTheme="majorBidi" w:cstheme="majorBidi"/>
          <w:sz w:val="24"/>
          <w:szCs w:val="24"/>
          <w:lang w:val="en-US" w:eastAsia="en-US"/>
        </w:rPr>
        <w:t xml:space="preserve">ast </w:t>
      </w:r>
      <w:r w:rsidR="008F6B93">
        <w:rPr>
          <w:rFonts w:asciiTheme="majorBidi" w:eastAsiaTheme="minorHAnsi" w:hAnsiTheme="majorBidi" w:cstheme="majorBidi"/>
          <w:sz w:val="24"/>
          <w:szCs w:val="24"/>
          <w:lang w:val="en-US" w:eastAsia="en-US"/>
        </w:rPr>
        <w:t>c</w:t>
      </w:r>
      <w:r w:rsidR="00A468B3">
        <w:rPr>
          <w:rFonts w:asciiTheme="majorBidi" w:eastAsiaTheme="minorHAnsi" w:hAnsiTheme="majorBidi" w:cstheme="majorBidi"/>
          <w:sz w:val="24"/>
          <w:szCs w:val="24"/>
          <w:lang w:val="en-US" w:eastAsia="en-US"/>
        </w:rPr>
        <w:t xml:space="preserve">harging </w:t>
      </w:r>
      <w:r w:rsidR="008F6B93">
        <w:rPr>
          <w:rFonts w:asciiTheme="majorBidi" w:eastAsiaTheme="minorHAnsi" w:hAnsiTheme="majorBidi" w:cstheme="majorBidi"/>
          <w:sz w:val="24"/>
          <w:szCs w:val="24"/>
          <w:lang w:val="en-US" w:eastAsia="en-US"/>
        </w:rPr>
        <w:t>e</w:t>
      </w:r>
      <w:r w:rsidR="00A468B3">
        <w:rPr>
          <w:rFonts w:asciiTheme="majorBidi" w:eastAsiaTheme="minorHAnsi" w:hAnsiTheme="majorBidi" w:cstheme="majorBidi"/>
          <w:sz w:val="24"/>
          <w:szCs w:val="24"/>
          <w:lang w:val="en-US" w:eastAsia="en-US"/>
        </w:rPr>
        <w:t xml:space="preserve">quipment receiving incentives under the </w:t>
      </w:r>
      <w:r w:rsidR="00C50310">
        <w:rPr>
          <w:rFonts w:asciiTheme="majorBidi" w:eastAsiaTheme="minorHAnsi" w:hAnsiTheme="majorBidi" w:cstheme="majorBidi"/>
          <w:sz w:val="24"/>
          <w:szCs w:val="24"/>
          <w:lang w:val="en-US" w:eastAsia="en-US"/>
        </w:rPr>
        <w:t>program</w:t>
      </w:r>
      <w:r w:rsidR="00A468B3">
        <w:rPr>
          <w:rFonts w:asciiTheme="majorBidi" w:eastAsiaTheme="minorHAnsi" w:hAnsiTheme="majorBidi" w:cstheme="majorBidi"/>
          <w:sz w:val="24"/>
          <w:szCs w:val="24"/>
          <w:lang w:val="en-US" w:eastAsia="en-US"/>
        </w:rPr>
        <w:t xml:space="preserve">. Those criteria would require that </w:t>
      </w:r>
      <w:r w:rsidR="00C70036">
        <w:rPr>
          <w:rFonts w:asciiTheme="majorBidi" w:eastAsiaTheme="minorHAnsi" w:hAnsiTheme="majorBidi" w:cstheme="majorBidi"/>
          <w:sz w:val="24"/>
          <w:szCs w:val="24"/>
          <w:lang w:val="en-US" w:eastAsia="en-US"/>
        </w:rPr>
        <w:t>commercial Level 2</w:t>
      </w:r>
      <w:r w:rsidR="00486763">
        <w:rPr>
          <w:rFonts w:asciiTheme="majorBidi" w:eastAsiaTheme="minorHAnsi" w:hAnsiTheme="majorBidi" w:cstheme="majorBidi"/>
          <w:sz w:val="24"/>
          <w:szCs w:val="24"/>
          <w:lang w:val="en-US" w:eastAsia="en-US"/>
        </w:rPr>
        <w:t xml:space="preserve"> and DC fast charging equipment </w:t>
      </w:r>
      <w:r w:rsidR="00A468B3">
        <w:rPr>
          <w:rFonts w:asciiTheme="majorBidi" w:eastAsiaTheme="minorHAnsi" w:hAnsiTheme="majorBidi" w:cstheme="majorBidi"/>
          <w:sz w:val="24"/>
          <w:szCs w:val="24"/>
          <w:lang w:val="en-US" w:eastAsia="en-US"/>
        </w:rPr>
        <w:t>be: accessible to the general public without any membership or subscription requirement (allowing, however, differing monetary charges for members and non-members); a</w:t>
      </w:r>
      <w:r w:rsidR="009832A8">
        <w:rPr>
          <w:rFonts w:asciiTheme="majorBidi" w:eastAsiaTheme="minorHAnsi" w:hAnsiTheme="majorBidi" w:cstheme="majorBidi"/>
          <w:sz w:val="24"/>
          <w:szCs w:val="24"/>
          <w:lang w:val="en-US" w:eastAsia="en-US"/>
        </w:rPr>
        <w:t>nd capable of accepting payment: (</w:t>
      </w:r>
      <w:proofErr w:type="spellStart"/>
      <w:r w:rsidR="009832A8">
        <w:rPr>
          <w:rFonts w:asciiTheme="majorBidi" w:eastAsiaTheme="minorHAnsi" w:hAnsiTheme="majorBidi" w:cstheme="majorBidi"/>
          <w:sz w:val="24"/>
          <w:szCs w:val="24"/>
          <w:lang w:val="en-US" w:eastAsia="en-US"/>
        </w:rPr>
        <w:t>i</w:t>
      </w:r>
      <w:proofErr w:type="spellEnd"/>
      <w:r w:rsidR="009832A8">
        <w:rPr>
          <w:rFonts w:asciiTheme="majorBidi" w:eastAsiaTheme="minorHAnsi" w:hAnsiTheme="majorBidi" w:cstheme="majorBidi"/>
          <w:sz w:val="24"/>
          <w:szCs w:val="24"/>
          <w:lang w:val="en-US" w:eastAsia="en-US"/>
        </w:rPr>
        <w:t xml:space="preserve">) </w:t>
      </w:r>
      <w:r w:rsidR="00A468B3">
        <w:rPr>
          <w:rFonts w:asciiTheme="majorBidi" w:eastAsiaTheme="minorHAnsi" w:hAnsiTheme="majorBidi" w:cstheme="majorBidi"/>
          <w:sz w:val="24"/>
          <w:szCs w:val="24"/>
          <w:lang w:val="en-US" w:eastAsia="en-US"/>
        </w:rPr>
        <w:t>by credit card</w:t>
      </w:r>
      <w:r w:rsidR="009832A8">
        <w:rPr>
          <w:rFonts w:asciiTheme="majorBidi" w:eastAsiaTheme="minorHAnsi" w:hAnsiTheme="majorBidi" w:cstheme="majorBidi"/>
          <w:sz w:val="24"/>
          <w:szCs w:val="24"/>
          <w:lang w:val="en-US" w:eastAsia="en-US"/>
        </w:rPr>
        <w:t>; (ii)</w:t>
      </w:r>
      <w:r w:rsidR="00A468B3">
        <w:rPr>
          <w:rFonts w:asciiTheme="majorBidi" w:eastAsiaTheme="minorHAnsi" w:hAnsiTheme="majorBidi" w:cstheme="majorBidi"/>
          <w:sz w:val="24"/>
          <w:szCs w:val="24"/>
          <w:lang w:val="en-US" w:eastAsia="en-US"/>
        </w:rPr>
        <w:t xml:space="preserve"> through “universal roaming</w:t>
      </w:r>
      <w:r w:rsidR="009C4874">
        <w:rPr>
          <w:rFonts w:asciiTheme="majorBidi" w:eastAsiaTheme="minorHAnsi" w:hAnsiTheme="majorBidi" w:cstheme="majorBidi"/>
          <w:sz w:val="24"/>
          <w:szCs w:val="24"/>
          <w:lang w:val="en-US" w:eastAsia="en-US"/>
        </w:rPr>
        <w:t>,” whereby</w:t>
      </w:r>
      <w:r w:rsidR="00C50310">
        <w:rPr>
          <w:rFonts w:asciiTheme="majorBidi" w:eastAsiaTheme="minorHAnsi" w:hAnsiTheme="majorBidi" w:cstheme="majorBidi"/>
          <w:sz w:val="24"/>
          <w:szCs w:val="24"/>
          <w:lang w:val="en-US" w:eastAsia="en-US"/>
        </w:rPr>
        <w:t xml:space="preserve"> a</w:t>
      </w:r>
      <w:r w:rsidR="009C4874">
        <w:rPr>
          <w:rFonts w:asciiTheme="majorBidi" w:eastAsiaTheme="minorHAnsi" w:hAnsiTheme="majorBidi" w:cstheme="majorBidi"/>
          <w:sz w:val="24"/>
          <w:szCs w:val="24"/>
          <w:lang w:val="en-US" w:eastAsia="en-US"/>
        </w:rPr>
        <w:t xml:space="preserve"> payment</w:t>
      </w:r>
      <w:r w:rsidR="00C50310">
        <w:rPr>
          <w:rFonts w:asciiTheme="majorBidi" w:eastAsiaTheme="minorHAnsi" w:hAnsiTheme="majorBidi" w:cstheme="majorBidi"/>
          <w:sz w:val="24"/>
          <w:szCs w:val="24"/>
          <w:lang w:val="en-US" w:eastAsia="en-US"/>
        </w:rPr>
        <w:t xml:space="preserve"> through one provider</w:t>
      </w:r>
      <w:r w:rsidR="009C4874">
        <w:rPr>
          <w:rFonts w:asciiTheme="majorBidi" w:eastAsiaTheme="minorHAnsi" w:hAnsiTheme="majorBidi" w:cstheme="majorBidi"/>
          <w:sz w:val="24"/>
          <w:szCs w:val="24"/>
          <w:lang w:val="en-US" w:eastAsia="en-US"/>
        </w:rPr>
        <w:t xml:space="preserve"> </w:t>
      </w:r>
      <w:r w:rsidR="00C50310">
        <w:rPr>
          <w:rFonts w:asciiTheme="majorBidi" w:eastAsiaTheme="minorHAnsi" w:hAnsiTheme="majorBidi" w:cstheme="majorBidi"/>
          <w:sz w:val="24"/>
          <w:szCs w:val="24"/>
          <w:lang w:val="en-US" w:eastAsia="en-US"/>
        </w:rPr>
        <w:t>is</w:t>
      </w:r>
      <w:r w:rsidR="009C4874">
        <w:rPr>
          <w:rFonts w:asciiTheme="majorBidi" w:eastAsiaTheme="minorHAnsi" w:hAnsiTheme="majorBidi" w:cstheme="majorBidi"/>
          <w:sz w:val="24"/>
          <w:szCs w:val="24"/>
          <w:lang w:val="en-US" w:eastAsia="en-US"/>
        </w:rPr>
        <w:t xml:space="preserve"> processed by the exchange of billing </w:t>
      </w:r>
      <w:r w:rsidR="00C50310">
        <w:rPr>
          <w:rFonts w:asciiTheme="majorBidi" w:eastAsiaTheme="minorHAnsi" w:hAnsiTheme="majorBidi" w:cstheme="majorBidi"/>
          <w:sz w:val="24"/>
          <w:szCs w:val="24"/>
          <w:lang w:val="en-US" w:eastAsia="en-US"/>
        </w:rPr>
        <w:t>data</w:t>
      </w:r>
      <w:r w:rsidR="009C4874">
        <w:rPr>
          <w:rFonts w:asciiTheme="majorBidi" w:eastAsiaTheme="minorHAnsi" w:hAnsiTheme="majorBidi" w:cstheme="majorBidi"/>
          <w:sz w:val="24"/>
          <w:szCs w:val="24"/>
          <w:lang w:val="en-US" w:eastAsia="en-US"/>
        </w:rPr>
        <w:t xml:space="preserve"> </w:t>
      </w:r>
      <w:r w:rsidR="00C50310">
        <w:rPr>
          <w:rFonts w:asciiTheme="majorBidi" w:eastAsiaTheme="minorHAnsi" w:hAnsiTheme="majorBidi" w:cstheme="majorBidi"/>
          <w:sz w:val="24"/>
          <w:szCs w:val="24"/>
          <w:lang w:val="en-US" w:eastAsia="en-US"/>
        </w:rPr>
        <w:t xml:space="preserve">with another service provider; or (iii) </w:t>
      </w:r>
      <w:r w:rsidR="009832A8">
        <w:rPr>
          <w:rFonts w:asciiTheme="majorBidi" w:hAnsiTheme="majorBidi" w:cstheme="majorBidi"/>
          <w:sz w:val="24"/>
          <w:szCs w:val="24"/>
        </w:rPr>
        <w:t xml:space="preserve">by </w:t>
      </w:r>
      <w:r w:rsidR="00C50310">
        <w:rPr>
          <w:rFonts w:asciiTheme="majorBidi" w:hAnsiTheme="majorBidi" w:cstheme="majorBidi"/>
          <w:sz w:val="24"/>
          <w:szCs w:val="24"/>
        </w:rPr>
        <w:t>some other</w:t>
      </w:r>
      <w:r w:rsidR="009832A8">
        <w:rPr>
          <w:rFonts w:asciiTheme="majorBidi" w:hAnsiTheme="majorBidi" w:cstheme="majorBidi"/>
          <w:sz w:val="24"/>
          <w:szCs w:val="24"/>
        </w:rPr>
        <w:t xml:space="preserve"> means determined by the Secretary to facilitate the convenient use of the </w:t>
      </w:r>
      <w:r w:rsidR="008F6B93">
        <w:rPr>
          <w:rFonts w:asciiTheme="majorBidi" w:hAnsiTheme="majorBidi" w:cstheme="majorBidi"/>
          <w:sz w:val="24"/>
          <w:szCs w:val="24"/>
        </w:rPr>
        <w:t>c</w:t>
      </w:r>
      <w:r w:rsidR="009832A8">
        <w:rPr>
          <w:rFonts w:asciiTheme="majorBidi" w:hAnsiTheme="majorBidi" w:cstheme="majorBidi"/>
          <w:sz w:val="24"/>
          <w:szCs w:val="24"/>
        </w:rPr>
        <w:t>ommercial</w:t>
      </w:r>
      <w:r w:rsidR="00486763">
        <w:rPr>
          <w:rFonts w:asciiTheme="majorBidi" w:hAnsiTheme="majorBidi" w:cstheme="majorBidi"/>
          <w:sz w:val="24"/>
          <w:szCs w:val="24"/>
        </w:rPr>
        <w:t xml:space="preserve"> Level 2 and</w:t>
      </w:r>
      <w:r w:rsidR="009832A8">
        <w:rPr>
          <w:rFonts w:asciiTheme="majorBidi" w:hAnsiTheme="majorBidi" w:cstheme="majorBidi"/>
          <w:sz w:val="24"/>
          <w:szCs w:val="24"/>
        </w:rPr>
        <w:t xml:space="preserve"> DC </w:t>
      </w:r>
      <w:r w:rsidR="008F6B93">
        <w:rPr>
          <w:rFonts w:asciiTheme="majorBidi" w:hAnsiTheme="majorBidi" w:cstheme="majorBidi"/>
          <w:sz w:val="24"/>
          <w:szCs w:val="24"/>
        </w:rPr>
        <w:t>f</w:t>
      </w:r>
      <w:r w:rsidR="009832A8">
        <w:rPr>
          <w:rFonts w:asciiTheme="majorBidi" w:hAnsiTheme="majorBidi" w:cstheme="majorBidi"/>
          <w:sz w:val="24"/>
          <w:szCs w:val="24"/>
        </w:rPr>
        <w:t xml:space="preserve">ast </w:t>
      </w:r>
      <w:r w:rsidR="008F6B93">
        <w:rPr>
          <w:rFonts w:asciiTheme="majorBidi" w:hAnsiTheme="majorBidi" w:cstheme="majorBidi"/>
          <w:sz w:val="24"/>
          <w:szCs w:val="24"/>
        </w:rPr>
        <w:t>c</w:t>
      </w:r>
      <w:r w:rsidR="009832A8">
        <w:rPr>
          <w:rFonts w:asciiTheme="majorBidi" w:hAnsiTheme="majorBidi" w:cstheme="majorBidi"/>
          <w:sz w:val="24"/>
          <w:szCs w:val="24"/>
        </w:rPr>
        <w:t xml:space="preserve">harging </w:t>
      </w:r>
      <w:r w:rsidR="008F6B93">
        <w:rPr>
          <w:rFonts w:asciiTheme="majorBidi" w:hAnsiTheme="majorBidi" w:cstheme="majorBidi"/>
          <w:sz w:val="24"/>
          <w:szCs w:val="24"/>
        </w:rPr>
        <w:t>e</w:t>
      </w:r>
      <w:r w:rsidR="009832A8">
        <w:rPr>
          <w:rFonts w:asciiTheme="majorBidi" w:hAnsiTheme="majorBidi" w:cstheme="majorBidi"/>
          <w:sz w:val="24"/>
          <w:szCs w:val="24"/>
        </w:rPr>
        <w:t>quipment by the general public</w:t>
      </w:r>
      <w:r w:rsidR="009C4874">
        <w:rPr>
          <w:rFonts w:asciiTheme="majorBidi" w:eastAsiaTheme="minorHAnsi" w:hAnsiTheme="majorBidi" w:cstheme="majorBidi"/>
          <w:sz w:val="24"/>
          <w:szCs w:val="24"/>
          <w:lang w:val="en-US" w:eastAsia="en-US"/>
        </w:rPr>
        <w:t>.</w:t>
      </w:r>
      <w:r>
        <w:rPr>
          <w:rStyle w:val="FootnoteReference"/>
          <w:rFonts w:asciiTheme="majorBidi" w:eastAsiaTheme="minorHAnsi" w:hAnsiTheme="majorBidi" w:cstheme="majorBidi"/>
          <w:sz w:val="24"/>
          <w:szCs w:val="24"/>
          <w:lang w:val="en-US" w:eastAsia="en-US"/>
        </w:rPr>
        <w:footnoteReference w:id="9"/>
      </w:r>
      <w:r w:rsidR="00A06170">
        <w:rPr>
          <w:rFonts w:asciiTheme="majorBidi" w:eastAsiaTheme="minorHAnsi" w:hAnsiTheme="majorBidi" w:cstheme="majorBidi"/>
          <w:sz w:val="24"/>
          <w:szCs w:val="24"/>
          <w:lang w:val="en-US" w:eastAsia="en-US"/>
        </w:rPr>
        <w:t xml:space="preserve"> </w:t>
      </w:r>
      <w:r w:rsidR="00AB58AB">
        <w:rPr>
          <w:rFonts w:asciiTheme="majorBidi" w:eastAsiaTheme="minorHAnsi" w:hAnsiTheme="majorBidi" w:cstheme="majorBidi"/>
          <w:sz w:val="24"/>
          <w:szCs w:val="24"/>
          <w:lang w:val="en-US" w:eastAsia="en-US"/>
        </w:rPr>
        <w:t xml:space="preserve">The statute </w:t>
      </w:r>
      <w:r w:rsidR="00486763">
        <w:rPr>
          <w:rFonts w:asciiTheme="majorBidi" w:eastAsiaTheme="minorHAnsi" w:hAnsiTheme="majorBidi" w:cstheme="majorBidi"/>
          <w:sz w:val="24"/>
          <w:szCs w:val="24"/>
          <w:lang w:val="en-US" w:eastAsia="en-US"/>
        </w:rPr>
        <w:t>would also mandate</w:t>
      </w:r>
      <w:r w:rsidR="00AB58AB">
        <w:rPr>
          <w:rFonts w:asciiTheme="majorBidi" w:eastAsiaTheme="minorHAnsi" w:hAnsiTheme="majorBidi" w:cstheme="majorBidi"/>
          <w:sz w:val="24"/>
          <w:szCs w:val="24"/>
          <w:lang w:val="en-US" w:eastAsia="en-US"/>
        </w:rPr>
        <w:t xml:space="preserve"> that the regulations require </w:t>
      </w:r>
      <w:r w:rsidR="009D16E9">
        <w:rPr>
          <w:rFonts w:asciiTheme="majorBidi" w:eastAsiaTheme="minorHAnsi" w:hAnsiTheme="majorBidi" w:cstheme="majorBidi"/>
          <w:sz w:val="24"/>
          <w:szCs w:val="24"/>
          <w:lang w:val="en-US" w:eastAsia="en-US"/>
        </w:rPr>
        <w:t xml:space="preserve">all Level 2 and DC fast charging equipment be equipped with </w:t>
      </w:r>
      <w:r w:rsidR="0078161B">
        <w:rPr>
          <w:rFonts w:asciiTheme="majorBidi" w:eastAsiaTheme="minorHAnsi" w:hAnsiTheme="majorBidi" w:cstheme="majorBidi"/>
          <w:sz w:val="24"/>
          <w:szCs w:val="24"/>
          <w:lang w:val="en-US" w:eastAsia="en-US"/>
        </w:rPr>
        <w:t xml:space="preserve">an </w:t>
      </w:r>
      <w:r w:rsidR="009D16E9">
        <w:rPr>
          <w:rFonts w:asciiTheme="majorBidi" w:eastAsiaTheme="minorHAnsi" w:hAnsiTheme="majorBidi" w:cstheme="majorBidi"/>
          <w:sz w:val="24"/>
          <w:szCs w:val="24"/>
          <w:lang w:val="en-US" w:eastAsia="en-US"/>
        </w:rPr>
        <w:t xml:space="preserve">open communications protocol allowing “back end” network interoperability, so that </w:t>
      </w:r>
      <w:r w:rsidR="00AB58AB">
        <w:rPr>
          <w:rFonts w:asciiTheme="majorBidi" w:eastAsiaTheme="minorHAnsi" w:hAnsiTheme="majorBidi" w:cstheme="majorBidi"/>
          <w:sz w:val="24"/>
          <w:szCs w:val="24"/>
          <w:lang w:val="en-US" w:eastAsia="en-US"/>
        </w:rPr>
        <w:t xml:space="preserve">electric vehicle </w:t>
      </w:r>
      <w:r w:rsidR="009D16E9">
        <w:rPr>
          <w:rFonts w:asciiTheme="majorBidi" w:eastAsiaTheme="minorHAnsi" w:hAnsiTheme="majorBidi" w:cstheme="majorBidi"/>
          <w:sz w:val="24"/>
          <w:szCs w:val="24"/>
          <w:lang w:val="en-US" w:eastAsia="en-US"/>
        </w:rPr>
        <w:t>charging equipment hosts are not locked into dealing with only one EVSP.</w:t>
      </w:r>
    </w:p>
    <w:p w14:paraId="4D8AFF31" w14:textId="77777777" w:rsidR="0027669E" w:rsidRDefault="00546214" w:rsidP="008F6B93">
      <w:pPr>
        <w:pStyle w:val="BodyText"/>
        <w:spacing w:line="276" w:lineRule="auto"/>
        <w:ind w:left="0" w:firstLine="72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lastRenderedPageBreak/>
        <w:t xml:space="preserve">The </w:t>
      </w:r>
      <w:r w:rsidR="00764C74">
        <w:rPr>
          <w:rFonts w:asciiTheme="majorBidi" w:eastAsiaTheme="minorHAnsi" w:hAnsiTheme="majorBidi" w:cstheme="majorBidi"/>
          <w:sz w:val="24"/>
          <w:szCs w:val="24"/>
          <w:lang w:val="en-US" w:eastAsia="en-US"/>
        </w:rPr>
        <w:t>statutory language</w:t>
      </w:r>
      <w:r w:rsidR="00A06170">
        <w:rPr>
          <w:rFonts w:asciiTheme="majorBidi" w:eastAsiaTheme="minorHAnsi" w:hAnsiTheme="majorBidi" w:cstheme="majorBidi"/>
          <w:sz w:val="24"/>
          <w:szCs w:val="24"/>
          <w:lang w:val="en-US" w:eastAsia="en-US"/>
        </w:rPr>
        <w:t xml:space="preserve"> would provide the Secretary </w:t>
      </w:r>
      <w:r w:rsidR="00764C74">
        <w:rPr>
          <w:rFonts w:asciiTheme="majorBidi" w:eastAsiaTheme="minorHAnsi" w:hAnsiTheme="majorBidi" w:cstheme="majorBidi"/>
          <w:sz w:val="24"/>
          <w:szCs w:val="24"/>
          <w:lang w:val="en-US" w:eastAsia="en-US"/>
        </w:rPr>
        <w:t xml:space="preserve">with </w:t>
      </w:r>
      <w:r w:rsidR="00A06170">
        <w:rPr>
          <w:rFonts w:asciiTheme="majorBidi" w:eastAsiaTheme="minorHAnsi" w:hAnsiTheme="majorBidi" w:cstheme="majorBidi"/>
          <w:sz w:val="24"/>
          <w:szCs w:val="24"/>
          <w:lang w:val="en-US" w:eastAsia="en-US"/>
        </w:rPr>
        <w:t>the discretion to identify</w:t>
      </w:r>
      <w:r w:rsidR="00764C74">
        <w:rPr>
          <w:rFonts w:asciiTheme="majorBidi" w:eastAsiaTheme="minorHAnsi" w:hAnsiTheme="majorBidi" w:cstheme="majorBidi"/>
          <w:sz w:val="24"/>
          <w:szCs w:val="24"/>
          <w:lang w:val="en-US" w:eastAsia="en-US"/>
        </w:rPr>
        <w:t xml:space="preserve"> and address </w:t>
      </w:r>
      <w:r>
        <w:rPr>
          <w:rFonts w:asciiTheme="majorBidi" w:eastAsiaTheme="minorHAnsi" w:hAnsiTheme="majorBidi" w:cstheme="majorBidi"/>
          <w:sz w:val="24"/>
          <w:szCs w:val="24"/>
          <w:lang w:val="en-US" w:eastAsia="en-US"/>
        </w:rPr>
        <w:t>other</w:t>
      </w:r>
      <w:r w:rsidR="00764C74">
        <w:rPr>
          <w:rFonts w:asciiTheme="majorBidi" w:eastAsiaTheme="minorHAnsi" w:hAnsiTheme="majorBidi" w:cstheme="majorBidi"/>
          <w:sz w:val="24"/>
          <w:szCs w:val="24"/>
          <w:lang w:val="en-US" w:eastAsia="en-US"/>
        </w:rPr>
        <w:t xml:space="preserve"> issues</w:t>
      </w:r>
      <w:r>
        <w:rPr>
          <w:rFonts w:asciiTheme="majorBidi" w:eastAsiaTheme="minorHAnsi" w:hAnsiTheme="majorBidi" w:cstheme="majorBidi"/>
          <w:sz w:val="24"/>
          <w:szCs w:val="24"/>
          <w:lang w:val="en-US" w:eastAsia="en-US"/>
        </w:rPr>
        <w:t xml:space="preserve"> relating to the interoperability of </w:t>
      </w:r>
      <w:r w:rsidR="008F6B93">
        <w:rPr>
          <w:rFonts w:asciiTheme="majorBidi" w:eastAsiaTheme="minorHAnsi" w:hAnsiTheme="majorBidi" w:cstheme="majorBidi"/>
          <w:sz w:val="24"/>
          <w:szCs w:val="24"/>
          <w:lang w:val="en-US" w:eastAsia="en-US"/>
        </w:rPr>
        <w:t>c</w:t>
      </w:r>
      <w:r>
        <w:rPr>
          <w:rFonts w:asciiTheme="majorBidi" w:eastAsiaTheme="minorHAnsi" w:hAnsiTheme="majorBidi" w:cstheme="majorBidi"/>
          <w:sz w:val="24"/>
          <w:szCs w:val="24"/>
          <w:lang w:val="en-US" w:eastAsia="en-US"/>
        </w:rPr>
        <w:t xml:space="preserve">ommercial DC </w:t>
      </w:r>
      <w:r w:rsidR="008F6B93">
        <w:rPr>
          <w:rFonts w:asciiTheme="majorBidi" w:eastAsiaTheme="minorHAnsi" w:hAnsiTheme="majorBidi" w:cstheme="majorBidi"/>
          <w:sz w:val="24"/>
          <w:szCs w:val="24"/>
          <w:lang w:val="en-US" w:eastAsia="en-US"/>
        </w:rPr>
        <w:t>f</w:t>
      </w:r>
      <w:r>
        <w:rPr>
          <w:rFonts w:asciiTheme="majorBidi" w:eastAsiaTheme="minorHAnsi" w:hAnsiTheme="majorBidi" w:cstheme="majorBidi"/>
          <w:sz w:val="24"/>
          <w:szCs w:val="24"/>
          <w:lang w:val="en-US" w:eastAsia="en-US"/>
        </w:rPr>
        <w:t xml:space="preserve">ast </w:t>
      </w:r>
      <w:r w:rsidR="008F6B93">
        <w:rPr>
          <w:rFonts w:asciiTheme="majorBidi" w:eastAsiaTheme="minorHAnsi" w:hAnsiTheme="majorBidi" w:cstheme="majorBidi"/>
          <w:sz w:val="24"/>
          <w:szCs w:val="24"/>
          <w:lang w:val="en-US" w:eastAsia="en-US"/>
        </w:rPr>
        <w:t>c</w:t>
      </w:r>
      <w:r>
        <w:rPr>
          <w:rFonts w:asciiTheme="majorBidi" w:eastAsiaTheme="minorHAnsi" w:hAnsiTheme="majorBidi" w:cstheme="majorBidi"/>
          <w:sz w:val="24"/>
          <w:szCs w:val="24"/>
          <w:lang w:val="en-US" w:eastAsia="en-US"/>
        </w:rPr>
        <w:t xml:space="preserve">harging </w:t>
      </w:r>
      <w:r w:rsidR="008F6B93">
        <w:rPr>
          <w:rFonts w:asciiTheme="majorBidi" w:eastAsiaTheme="minorHAnsi" w:hAnsiTheme="majorBidi" w:cstheme="majorBidi"/>
          <w:sz w:val="24"/>
          <w:szCs w:val="24"/>
          <w:lang w:val="en-US" w:eastAsia="en-US"/>
        </w:rPr>
        <w:t>e</w:t>
      </w:r>
      <w:r>
        <w:rPr>
          <w:rFonts w:asciiTheme="majorBidi" w:eastAsiaTheme="minorHAnsi" w:hAnsiTheme="majorBidi" w:cstheme="majorBidi"/>
          <w:sz w:val="24"/>
          <w:szCs w:val="24"/>
          <w:lang w:val="en-US" w:eastAsia="en-US"/>
        </w:rPr>
        <w:t>quipment</w:t>
      </w:r>
      <w:r w:rsidR="00764C74">
        <w:rPr>
          <w:rFonts w:asciiTheme="majorBidi" w:eastAsiaTheme="minorHAnsi" w:hAnsiTheme="majorBidi" w:cstheme="majorBidi"/>
          <w:sz w:val="24"/>
          <w:szCs w:val="24"/>
          <w:lang w:val="en-US" w:eastAsia="en-US"/>
        </w:rPr>
        <w:t xml:space="preserve"> through the establishment of</w:t>
      </w:r>
      <w:r w:rsidR="00A06170">
        <w:rPr>
          <w:rFonts w:asciiTheme="majorBidi" w:eastAsiaTheme="minorHAnsi" w:hAnsiTheme="majorBidi" w:cstheme="majorBidi"/>
          <w:sz w:val="24"/>
          <w:szCs w:val="24"/>
          <w:lang w:val="en-US" w:eastAsia="en-US"/>
        </w:rPr>
        <w:t xml:space="preserve"> alternative and additional criteria</w:t>
      </w:r>
      <w:r w:rsidR="009832A8">
        <w:rPr>
          <w:rFonts w:asciiTheme="majorBidi" w:eastAsiaTheme="minorHAnsi" w:hAnsiTheme="majorBidi" w:cstheme="majorBidi"/>
          <w:sz w:val="24"/>
          <w:szCs w:val="24"/>
          <w:lang w:val="en-US" w:eastAsia="en-US"/>
        </w:rPr>
        <w:t xml:space="preserve">. </w:t>
      </w:r>
    </w:p>
    <w:p w14:paraId="686CE99E" w14:textId="77777777" w:rsidR="00E47055" w:rsidRPr="0057243A" w:rsidRDefault="00546214" w:rsidP="00486763">
      <w:pPr>
        <w:pStyle w:val="BodyText"/>
        <w:spacing w:line="276" w:lineRule="auto"/>
        <w:ind w:left="0" w:firstLine="72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It should be noted that m</w:t>
      </w:r>
      <w:r w:rsidR="00486763">
        <w:rPr>
          <w:rFonts w:asciiTheme="majorBidi" w:eastAsiaTheme="minorHAnsi" w:hAnsiTheme="majorBidi" w:cstheme="majorBidi"/>
          <w:sz w:val="24"/>
          <w:szCs w:val="24"/>
          <w:lang w:val="en-US" w:eastAsia="en-US"/>
        </w:rPr>
        <w:t xml:space="preserve">uch of the </w:t>
      </w:r>
      <w:r w:rsidR="009832A8">
        <w:rPr>
          <w:rFonts w:asciiTheme="majorBidi" w:eastAsiaTheme="minorHAnsi" w:hAnsiTheme="majorBidi" w:cstheme="majorBidi"/>
          <w:sz w:val="24"/>
          <w:szCs w:val="24"/>
          <w:lang w:val="en-US" w:eastAsia="en-US"/>
        </w:rPr>
        <w:t>language</w:t>
      </w:r>
      <w:r w:rsidR="00486763">
        <w:rPr>
          <w:rFonts w:asciiTheme="majorBidi" w:eastAsiaTheme="minorHAnsi" w:hAnsiTheme="majorBidi" w:cstheme="majorBidi"/>
          <w:sz w:val="24"/>
          <w:szCs w:val="24"/>
          <w:lang w:val="en-US" w:eastAsia="en-US"/>
        </w:rPr>
        <w:t xml:space="preserve"> in the model statute attached to this memorandum</w:t>
      </w:r>
      <w:r w:rsidR="009832A8">
        <w:rPr>
          <w:rFonts w:asciiTheme="majorBidi" w:eastAsiaTheme="minorHAnsi" w:hAnsiTheme="majorBidi" w:cstheme="majorBidi"/>
          <w:sz w:val="24"/>
          <w:szCs w:val="24"/>
          <w:lang w:val="en-US" w:eastAsia="en-US"/>
        </w:rPr>
        <w:t xml:space="preserve"> </w:t>
      </w:r>
      <w:r w:rsidR="0027669E">
        <w:rPr>
          <w:rFonts w:asciiTheme="majorBidi" w:eastAsiaTheme="minorHAnsi" w:hAnsiTheme="majorBidi" w:cstheme="majorBidi"/>
          <w:sz w:val="24"/>
          <w:szCs w:val="24"/>
          <w:lang w:val="en-US" w:eastAsia="en-US"/>
        </w:rPr>
        <w:t xml:space="preserve">is based upon </w:t>
      </w:r>
      <w:r w:rsidR="009832A8">
        <w:rPr>
          <w:rFonts w:asciiTheme="majorBidi" w:eastAsiaTheme="minorHAnsi" w:hAnsiTheme="majorBidi" w:cstheme="majorBidi"/>
          <w:sz w:val="24"/>
          <w:szCs w:val="24"/>
          <w:lang w:val="en-US" w:eastAsia="en-US"/>
        </w:rPr>
        <w:t>model</w:t>
      </w:r>
      <w:r w:rsidR="00C90EE8">
        <w:rPr>
          <w:rFonts w:asciiTheme="majorBidi" w:eastAsiaTheme="minorHAnsi" w:hAnsiTheme="majorBidi" w:cstheme="majorBidi"/>
          <w:sz w:val="24"/>
          <w:szCs w:val="24"/>
          <w:lang w:val="en-US" w:eastAsia="en-US"/>
        </w:rPr>
        <w:t xml:space="preserve"> procurement agreement</w:t>
      </w:r>
      <w:r w:rsidR="009832A8">
        <w:rPr>
          <w:rFonts w:asciiTheme="majorBidi" w:eastAsiaTheme="minorHAnsi" w:hAnsiTheme="majorBidi" w:cstheme="majorBidi"/>
          <w:sz w:val="24"/>
          <w:szCs w:val="24"/>
          <w:lang w:val="en-US" w:eastAsia="en-US"/>
        </w:rPr>
        <w:t xml:space="preserve"> provisions prepared by </w:t>
      </w:r>
      <w:r w:rsidR="00C90EE8">
        <w:rPr>
          <w:rFonts w:asciiTheme="majorBidi" w:eastAsiaTheme="minorHAnsi" w:hAnsiTheme="majorBidi" w:cstheme="majorBidi"/>
          <w:sz w:val="24"/>
          <w:szCs w:val="24"/>
          <w:lang w:val="en-US" w:eastAsia="en-US"/>
        </w:rPr>
        <w:t>Northeast States for Coordinated Air Use Management (“NESCAUM”).</w:t>
      </w:r>
      <w:r>
        <w:rPr>
          <w:rStyle w:val="FootnoteReference"/>
          <w:rFonts w:asciiTheme="majorBidi" w:eastAsiaTheme="minorHAnsi" w:hAnsiTheme="majorBidi" w:cstheme="majorBidi"/>
          <w:sz w:val="24"/>
          <w:szCs w:val="24"/>
          <w:lang w:val="en-US" w:eastAsia="en-US"/>
        </w:rPr>
        <w:footnoteReference w:id="10"/>
      </w:r>
    </w:p>
    <w:p w14:paraId="354B450A" w14:textId="77777777" w:rsidR="00190A54" w:rsidRPr="0057243A" w:rsidRDefault="00546214" w:rsidP="00E4369B">
      <w:pPr>
        <w:pStyle w:val="BodyText"/>
        <w:spacing w:line="276" w:lineRule="auto"/>
        <w:ind w:left="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ab/>
      </w:r>
    </w:p>
    <w:sectPr w:rsidR="00190A54" w:rsidRPr="0057243A" w:rsidSect="00735C48">
      <w:footerReference w:type="default" r:id="rId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81C1" w14:textId="77777777" w:rsidR="00A3019E" w:rsidRDefault="00A3019E">
      <w:pPr>
        <w:spacing w:after="0" w:line="240" w:lineRule="auto"/>
      </w:pPr>
      <w:r>
        <w:separator/>
      </w:r>
    </w:p>
  </w:endnote>
  <w:endnote w:type="continuationSeparator" w:id="0">
    <w:p w14:paraId="1453BFE1" w14:textId="77777777" w:rsidR="00A3019E" w:rsidRDefault="00A3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772342"/>
      <w:docPartObj>
        <w:docPartGallery w:val="Page Numbers (Bottom of Page)"/>
        <w:docPartUnique/>
      </w:docPartObj>
    </w:sdtPr>
    <w:sdtEndPr>
      <w:rPr>
        <w:noProof/>
      </w:rPr>
    </w:sdtEndPr>
    <w:sdtContent>
      <w:p w14:paraId="250DCABB" w14:textId="77777777" w:rsidR="00C305F3" w:rsidRDefault="00546214">
        <w:pPr>
          <w:pStyle w:val="Footer"/>
          <w:jc w:val="center"/>
        </w:pPr>
        <w:r>
          <w:fldChar w:fldCharType="begin"/>
        </w:r>
        <w:r>
          <w:instrText xml:space="preserve"> PAGE   \* MERGEFORMAT </w:instrText>
        </w:r>
        <w:r>
          <w:fldChar w:fldCharType="separate"/>
        </w:r>
        <w:r w:rsidR="0078161B">
          <w:rPr>
            <w:noProof/>
          </w:rPr>
          <w:t>3</w:t>
        </w:r>
        <w:r>
          <w:rPr>
            <w:noProof/>
          </w:rPr>
          <w:fldChar w:fldCharType="end"/>
        </w:r>
      </w:p>
    </w:sdtContent>
  </w:sdt>
  <w:p w14:paraId="1D272C0C" w14:textId="77777777" w:rsidR="00C305F3" w:rsidRDefault="00C3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E062" w14:textId="77777777" w:rsidR="00A3019E" w:rsidRDefault="00A3019E" w:rsidP="00692B91">
      <w:pPr>
        <w:spacing w:after="0" w:line="240" w:lineRule="auto"/>
      </w:pPr>
      <w:r>
        <w:separator/>
      </w:r>
    </w:p>
  </w:footnote>
  <w:footnote w:type="continuationSeparator" w:id="0">
    <w:p w14:paraId="4C21DAEC" w14:textId="77777777" w:rsidR="00A3019E" w:rsidRDefault="00A3019E" w:rsidP="00692B91">
      <w:pPr>
        <w:spacing w:after="0" w:line="240" w:lineRule="auto"/>
      </w:pPr>
      <w:r>
        <w:continuationSeparator/>
      </w:r>
    </w:p>
  </w:footnote>
  <w:footnote w:id="1">
    <w:p w14:paraId="551359AB" w14:textId="77777777" w:rsidR="00C305F3" w:rsidRPr="005D3D44" w:rsidRDefault="00546214" w:rsidP="008358B0">
      <w:pPr>
        <w:pStyle w:val="FootnoteText"/>
        <w:ind w:left="180"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 xml:space="preserve">  Michael Gerrard and John </w:t>
      </w:r>
      <w:proofErr w:type="spellStart"/>
      <w:r w:rsidRPr="005D3D44">
        <w:rPr>
          <w:rFonts w:asciiTheme="minorBidi" w:hAnsiTheme="minorBidi"/>
        </w:rPr>
        <w:t>Dernbach</w:t>
      </w:r>
      <w:proofErr w:type="spellEnd"/>
      <w:r w:rsidRPr="005D3D44">
        <w:rPr>
          <w:rFonts w:asciiTheme="minorBidi" w:hAnsiTheme="minorBidi"/>
        </w:rPr>
        <w:t xml:space="preserve">, </w:t>
      </w:r>
      <w:r w:rsidRPr="005D3D44">
        <w:rPr>
          <w:rFonts w:asciiTheme="minorBidi" w:hAnsiTheme="minorBidi"/>
          <w:i/>
        </w:rPr>
        <w:t>Legal Pathways to Deep Decarbonization in the United States</w:t>
      </w:r>
      <w:r w:rsidRPr="005D3D44">
        <w:rPr>
          <w:rFonts w:asciiTheme="minorBidi" w:hAnsiTheme="minorBidi"/>
        </w:rPr>
        <w:t xml:space="preserve"> (“LPDD</w:t>
      </w:r>
      <w:proofErr w:type="gramStart"/>
      <w:r w:rsidRPr="005D3D44">
        <w:rPr>
          <w:rFonts w:asciiTheme="minorBidi" w:hAnsiTheme="minorBidi"/>
        </w:rPr>
        <w:t>”)(</w:t>
      </w:r>
      <w:proofErr w:type="gramEnd"/>
      <w:r w:rsidRPr="005D3D44">
        <w:rPr>
          <w:rFonts w:asciiTheme="minorBidi" w:hAnsiTheme="minorBidi"/>
        </w:rPr>
        <w:t>Environmental Law Institute, 2019).</w:t>
      </w:r>
    </w:p>
  </w:footnote>
  <w:footnote w:id="2">
    <w:p w14:paraId="6263C957" w14:textId="77777777" w:rsidR="00C305F3" w:rsidRPr="005D3D44" w:rsidRDefault="00546214" w:rsidP="008358B0">
      <w:pPr>
        <w:pStyle w:val="FootnoteText"/>
        <w:ind w:left="180"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ab/>
        <w:t xml:space="preserve">LPDD, Ch. 14, at 353; </w:t>
      </w:r>
      <w:r w:rsidRPr="005D3D44">
        <w:rPr>
          <w:rFonts w:asciiTheme="minorBidi" w:hAnsiTheme="minorBidi"/>
          <w:i/>
        </w:rPr>
        <w:t>see also</w:t>
      </w:r>
      <w:r w:rsidRPr="005D3D44">
        <w:rPr>
          <w:rFonts w:asciiTheme="minorBidi" w:hAnsiTheme="minorBidi"/>
        </w:rPr>
        <w:t xml:space="preserve">, Chris Gearhart, </w:t>
      </w:r>
      <w:r w:rsidRPr="005D3D44">
        <w:rPr>
          <w:rStyle w:val="Emphasis"/>
          <w:rFonts w:asciiTheme="minorBidi" w:hAnsiTheme="minorBidi"/>
        </w:rPr>
        <w:t>Implications of Sustainability for United States Light-Duty Transportation Sector</w:t>
      </w:r>
      <w:r w:rsidRPr="005D3D44">
        <w:rPr>
          <w:rFonts w:asciiTheme="minorBidi" w:hAnsiTheme="minorBidi"/>
        </w:rPr>
        <w:t xml:space="preserve">, 3 MRS Energy &amp; Sustainability 1, 7, note 6 (2016)  </w:t>
      </w:r>
    </w:p>
  </w:footnote>
  <w:footnote w:id="3">
    <w:p w14:paraId="292FEEBD" w14:textId="77777777" w:rsidR="00C305F3" w:rsidRPr="005D3D44" w:rsidRDefault="00546214" w:rsidP="008358B0">
      <w:pPr>
        <w:pStyle w:val="FootnoteText"/>
        <w:ind w:left="180"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 xml:space="preserve">  U.S. Energy Information Agency: Annual Energy Review: 2011 (2012), available at: http://www.eia.gov/totalenergy/data/annual/; </w:t>
      </w:r>
      <w:r w:rsidRPr="005D3D44">
        <w:rPr>
          <w:rFonts w:asciiTheme="minorBidi" w:hAnsiTheme="minorBidi"/>
          <w:i/>
        </w:rPr>
        <w:t>see also</w:t>
      </w:r>
      <w:r w:rsidRPr="005D3D44">
        <w:rPr>
          <w:rFonts w:asciiTheme="minorBidi" w:hAnsiTheme="minorBidi"/>
        </w:rPr>
        <w:t xml:space="preserve">, http://www.eia.gov/todayinenergy/detail.php?id=29612.  </w:t>
      </w:r>
    </w:p>
  </w:footnote>
  <w:footnote w:id="4">
    <w:p w14:paraId="2EE6A439" w14:textId="77777777" w:rsidR="00C305F3" w:rsidRPr="005D3D44" w:rsidRDefault="00546214" w:rsidP="008358B0">
      <w:pPr>
        <w:pStyle w:val="FootnoteText"/>
        <w:ind w:left="180"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 xml:space="preserve"> </w:t>
      </w:r>
      <w:r w:rsidR="008358B0" w:rsidRPr="005D3D44">
        <w:rPr>
          <w:rFonts w:asciiTheme="minorBidi" w:hAnsiTheme="minorBidi"/>
        </w:rPr>
        <w:t xml:space="preserve"> </w:t>
      </w:r>
      <w:r w:rsidRPr="005D3D44">
        <w:rPr>
          <w:rFonts w:asciiTheme="minorBidi" w:eastAsia="Times New Roman" w:hAnsiTheme="minorBidi"/>
          <w:color w:val="000000"/>
        </w:rPr>
        <w:t>Clint Cohen, </w:t>
      </w:r>
      <w:r w:rsidRPr="005D3D44">
        <w:rPr>
          <w:rFonts w:asciiTheme="minorBidi" w:eastAsia="Times New Roman" w:hAnsiTheme="minorBidi"/>
          <w:i/>
          <w:color w:val="000000"/>
        </w:rPr>
        <w:t xml:space="preserve">Blowing Smoke: Why the Current Government Incentive Regime Makes EVs and PHEVs A Distant Prospect-and </w:t>
      </w:r>
      <w:proofErr w:type="gramStart"/>
      <w:r w:rsidRPr="005D3D44">
        <w:rPr>
          <w:rFonts w:asciiTheme="minorBidi" w:eastAsia="Times New Roman" w:hAnsiTheme="minorBidi"/>
          <w:i/>
          <w:color w:val="000000"/>
        </w:rPr>
        <w:t>How</w:t>
      </w:r>
      <w:proofErr w:type="gramEnd"/>
      <w:r w:rsidRPr="005D3D44">
        <w:rPr>
          <w:rFonts w:asciiTheme="minorBidi" w:eastAsia="Times New Roman" w:hAnsiTheme="minorBidi"/>
          <w:i/>
          <w:color w:val="000000"/>
        </w:rPr>
        <w:t xml:space="preserve"> to Fix It</w:t>
      </w:r>
      <w:r w:rsidRPr="005D3D44">
        <w:rPr>
          <w:rFonts w:asciiTheme="minorBidi" w:eastAsia="Times New Roman" w:hAnsiTheme="minorBidi"/>
          <w:color w:val="000000"/>
        </w:rPr>
        <w:t xml:space="preserve"> (2013) 38 Colum. J. </w:t>
      </w:r>
      <w:proofErr w:type="spellStart"/>
      <w:r w:rsidRPr="005D3D44">
        <w:rPr>
          <w:rFonts w:asciiTheme="minorBidi" w:eastAsia="Times New Roman" w:hAnsiTheme="minorBidi"/>
          <w:color w:val="000000"/>
        </w:rPr>
        <w:t>Envtl</w:t>
      </w:r>
      <w:proofErr w:type="spellEnd"/>
      <w:r w:rsidRPr="005D3D44">
        <w:rPr>
          <w:rFonts w:asciiTheme="minorBidi" w:eastAsia="Times New Roman" w:hAnsiTheme="minorBidi"/>
          <w:color w:val="000000"/>
        </w:rPr>
        <w:t>. L. 375, 384.</w:t>
      </w:r>
    </w:p>
  </w:footnote>
  <w:footnote w:id="5">
    <w:p w14:paraId="6136F732" w14:textId="77777777" w:rsidR="00F644F9" w:rsidRPr="005D3D44" w:rsidRDefault="00546214" w:rsidP="006350B4">
      <w:pPr>
        <w:pStyle w:val="FootnoteText"/>
        <w:ind w:left="180"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 xml:space="preserve"> “Level 3” chargers – commonly called “DC Fast Chargers” -- provide DC service </w:t>
      </w:r>
      <w:r w:rsidR="00C6724B" w:rsidRPr="005D3D44">
        <w:rPr>
          <w:rFonts w:asciiTheme="minorBidi" w:hAnsiTheme="minorBidi"/>
        </w:rPr>
        <w:t xml:space="preserve">that can recharge a car battery </w:t>
      </w:r>
      <w:r w:rsidRPr="005D3D44">
        <w:rPr>
          <w:rFonts w:asciiTheme="minorBidi" w:hAnsiTheme="minorBidi"/>
        </w:rPr>
        <w:t xml:space="preserve">to 80% capacity in less than an hour. </w:t>
      </w:r>
      <w:r w:rsidRPr="00486763">
        <w:rPr>
          <w:rFonts w:asciiTheme="minorBidi" w:hAnsiTheme="minorBidi"/>
          <w:i/>
          <w:iCs/>
        </w:rPr>
        <w:t xml:space="preserve"> See </w:t>
      </w:r>
      <w:r w:rsidRPr="005D3D44">
        <w:rPr>
          <w:rFonts w:asciiTheme="minorBidi" w:hAnsiTheme="minorBidi"/>
        </w:rPr>
        <w:t>SAE J 1772. There are two other levels of electric vehicle charging, provided by “Level 1”and “Level 2</w:t>
      </w:r>
      <w:r w:rsidR="00486763">
        <w:rPr>
          <w:rFonts w:asciiTheme="minorBidi" w:hAnsiTheme="minorBidi"/>
        </w:rPr>
        <w:t>”</w:t>
      </w:r>
      <w:r w:rsidRPr="005D3D44">
        <w:rPr>
          <w:rFonts w:asciiTheme="minorBidi" w:hAnsiTheme="minorBidi"/>
        </w:rPr>
        <w:t xml:space="preserve"> chargers, respectively. “Level 1” charging is serviced by a standard wall outlet providing AC 120 volts/20 amps of power, and can fully recharge a car battery in 8-12 hours; Level 2 chargers connect to outlets providing AC 208/240 volts/40 amps service (about the same required for a dryer plug) and can </w:t>
      </w:r>
    </w:p>
    <w:p w14:paraId="14B626DD" w14:textId="77777777" w:rsidR="00C305F3" w:rsidRPr="005D3D44" w:rsidRDefault="00546214" w:rsidP="00F644F9">
      <w:pPr>
        <w:pStyle w:val="FootnoteText"/>
        <w:rPr>
          <w:rFonts w:asciiTheme="minorBidi" w:hAnsiTheme="minorBidi"/>
        </w:rPr>
      </w:pPr>
      <w:r>
        <w:rPr>
          <w:rFonts w:asciiTheme="minorBidi" w:hAnsiTheme="minorBidi"/>
        </w:rPr>
        <w:t xml:space="preserve">    </w:t>
      </w:r>
      <w:r w:rsidRPr="005D3D44">
        <w:rPr>
          <w:rFonts w:asciiTheme="minorBidi" w:hAnsiTheme="minorBidi"/>
        </w:rPr>
        <w:t>recha</w:t>
      </w:r>
      <w:r w:rsidR="008C487F" w:rsidRPr="005D3D44">
        <w:rPr>
          <w:rFonts w:asciiTheme="minorBidi" w:hAnsiTheme="minorBidi"/>
        </w:rPr>
        <w:t>rge a car battery in 4-8 hours.</w:t>
      </w:r>
      <w:r w:rsidR="00224651" w:rsidRPr="005D3D44">
        <w:rPr>
          <w:rFonts w:asciiTheme="minorBidi" w:hAnsiTheme="minorBidi"/>
        </w:rPr>
        <w:t xml:space="preserve"> </w:t>
      </w:r>
      <w:r w:rsidR="00F82213">
        <w:rPr>
          <w:rFonts w:asciiTheme="minorBidi" w:hAnsiTheme="minorBidi"/>
        </w:rPr>
        <w:t xml:space="preserve">Available at: </w:t>
      </w:r>
      <w:r w:rsidR="00224651" w:rsidRPr="005D3D44">
        <w:rPr>
          <w:rFonts w:asciiTheme="minorBidi" w:hAnsiTheme="minorBidi"/>
        </w:rPr>
        <w:t>https://www.boston.gov/sites/default/files/file/2020/06/How%20To%20Install%20an%20EVSE%20.pdf.</w:t>
      </w:r>
      <w:r w:rsidR="00334F42" w:rsidRPr="005D3D44">
        <w:rPr>
          <w:rFonts w:asciiTheme="minorBidi" w:hAnsiTheme="minorBidi"/>
        </w:rPr>
        <w:t xml:space="preserve">  </w:t>
      </w:r>
    </w:p>
  </w:footnote>
  <w:footnote w:id="6">
    <w:p w14:paraId="2AFD9CC4" w14:textId="77777777" w:rsidR="00ED4DB7" w:rsidRPr="005D3D44" w:rsidRDefault="00546214" w:rsidP="00334F42">
      <w:pPr>
        <w:pStyle w:val="FootnoteText"/>
        <w:ind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 xml:space="preserve"> </w:t>
      </w:r>
      <w:r w:rsidRPr="005D3D44">
        <w:rPr>
          <w:rFonts w:asciiTheme="minorBidi" w:hAnsiTheme="minorBidi"/>
        </w:rPr>
        <w:tab/>
      </w:r>
      <w:r w:rsidR="0064063F" w:rsidRPr="005D3D44">
        <w:rPr>
          <w:rFonts w:asciiTheme="minorBidi" w:hAnsiTheme="minorBidi"/>
        </w:rPr>
        <w:t xml:space="preserve">Electric Power Research Institute, </w:t>
      </w:r>
      <w:r w:rsidR="0064063F" w:rsidRPr="005D3D44">
        <w:rPr>
          <w:rFonts w:asciiTheme="minorBidi" w:hAnsiTheme="minorBidi"/>
          <w:i/>
          <w:iCs/>
        </w:rPr>
        <w:t>Interoperability of Public Vehicle Charging Infrastructure</w:t>
      </w:r>
      <w:r w:rsidR="0064063F" w:rsidRPr="005D3D44">
        <w:rPr>
          <w:rFonts w:asciiTheme="minorBidi" w:hAnsiTheme="minorBidi"/>
        </w:rPr>
        <w:t>, August, 2019, at 2</w:t>
      </w:r>
      <w:r w:rsidR="0027669E" w:rsidRPr="005D3D44">
        <w:rPr>
          <w:rFonts w:asciiTheme="minorBidi" w:hAnsiTheme="minorBidi"/>
        </w:rPr>
        <w:t xml:space="preserve">, available at: </w:t>
      </w:r>
      <w:hyperlink r:id="rId1" w:history="1">
        <w:r w:rsidR="00486763" w:rsidRPr="00DB0855">
          <w:rPr>
            <w:rStyle w:val="Hyperlink"/>
            <w:rFonts w:asciiTheme="minorBidi" w:hAnsiTheme="minorBidi"/>
          </w:rPr>
          <w:t>https://www.epri.com/research/products/3002017164</w:t>
        </w:r>
      </w:hyperlink>
      <w:r w:rsidR="00486763">
        <w:rPr>
          <w:rFonts w:asciiTheme="minorBidi" w:hAnsiTheme="minorBidi"/>
        </w:rPr>
        <w:t xml:space="preserve"> (the “EPRI Report”).</w:t>
      </w:r>
      <w:r w:rsidR="0064063F" w:rsidRPr="005D3D44">
        <w:rPr>
          <w:rFonts w:asciiTheme="minorBidi" w:hAnsiTheme="minorBidi"/>
        </w:rPr>
        <w:t xml:space="preserve"> </w:t>
      </w:r>
    </w:p>
  </w:footnote>
  <w:footnote w:id="7">
    <w:p w14:paraId="5E73D2AF" w14:textId="77777777" w:rsidR="002C7472" w:rsidRPr="005D3D44" w:rsidRDefault="00546214" w:rsidP="00334F42">
      <w:pPr>
        <w:pStyle w:val="FootnoteText"/>
        <w:ind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 xml:space="preserve"> </w:t>
      </w:r>
      <w:r w:rsidRPr="005D3D44">
        <w:rPr>
          <w:rFonts w:asciiTheme="minorBidi" w:hAnsiTheme="minorBidi"/>
        </w:rPr>
        <w:tab/>
      </w:r>
      <w:r w:rsidRPr="005D3D44">
        <w:rPr>
          <w:rFonts w:asciiTheme="minorBidi" w:hAnsiTheme="minorBidi"/>
          <w:i/>
          <w:iCs/>
        </w:rPr>
        <w:t>Id.</w:t>
      </w:r>
    </w:p>
  </w:footnote>
  <w:footnote w:id="8">
    <w:p w14:paraId="1C66685B" w14:textId="77777777" w:rsidR="005D3D44" w:rsidRPr="005D3D44" w:rsidRDefault="00546214" w:rsidP="005D3D44">
      <w:pPr>
        <w:pStyle w:val="FootnoteText"/>
      </w:pPr>
      <w:r w:rsidRPr="005D3D44">
        <w:rPr>
          <w:rStyle w:val="FootnoteReference"/>
          <w:rFonts w:asciiTheme="minorBidi" w:hAnsiTheme="minorBidi"/>
        </w:rPr>
        <w:footnoteRef/>
      </w:r>
      <w:r w:rsidRPr="005D3D44">
        <w:t xml:space="preserve"> </w:t>
      </w:r>
      <w:r w:rsidRPr="005D3D44">
        <w:tab/>
      </w:r>
      <w:r w:rsidRPr="005D3D44">
        <w:rPr>
          <w:rStyle w:val="FootnoteTextChar"/>
          <w:rFonts w:asciiTheme="minorBidi" w:hAnsiTheme="minorBidi"/>
        </w:rPr>
        <w:t xml:space="preserve">Northeast States for Coordinated Air Use Management, Multi-State ZEV Task Force and Northeast Corridor Steering Committee, </w:t>
      </w:r>
      <w:r w:rsidRPr="00486763">
        <w:rPr>
          <w:rStyle w:val="FootnoteTextChar"/>
          <w:rFonts w:asciiTheme="minorBidi" w:hAnsiTheme="minorBidi"/>
          <w:i/>
          <w:iCs/>
        </w:rPr>
        <w:t>Electric Vehicle Charging Interoperability Recommendations for State Policy Makers</w:t>
      </w:r>
      <w:r w:rsidRPr="005D3D44">
        <w:rPr>
          <w:rStyle w:val="FootnoteTextChar"/>
          <w:rFonts w:asciiTheme="minorBidi" w:hAnsiTheme="minorBidi"/>
        </w:rPr>
        <w:t>, May 2020, available at</w:t>
      </w:r>
      <w:r w:rsidR="00F82213">
        <w:rPr>
          <w:rStyle w:val="FootnoteTextChar"/>
          <w:rFonts w:asciiTheme="minorBidi" w:hAnsiTheme="minorBidi"/>
        </w:rPr>
        <w:t>:</w:t>
      </w:r>
      <w:r w:rsidRPr="005D3D44">
        <w:rPr>
          <w:rStyle w:val="FootnoteTextChar"/>
          <w:rFonts w:asciiTheme="minorBidi" w:hAnsiTheme="minorBidi"/>
        </w:rPr>
        <w:t xml:space="preserve"> </w:t>
      </w:r>
      <w:hyperlink r:id="rId2" w:history="1">
        <w:r w:rsidRPr="005D3D44">
          <w:rPr>
            <w:rStyle w:val="FootnoteTextChar"/>
            <w:rFonts w:asciiTheme="minorBidi" w:hAnsiTheme="minorBidi"/>
          </w:rPr>
          <w:t>https://www.nescaum.org/documents/ev-charging-interoperability-reccomendations_5-1-20.pdf/</w:t>
        </w:r>
      </w:hyperlink>
    </w:p>
  </w:footnote>
  <w:footnote w:id="9">
    <w:p w14:paraId="1FBE2A4D" w14:textId="77777777" w:rsidR="009832A8" w:rsidRPr="005D3D44" w:rsidRDefault="00546214" w:rsidP="00486763">
      <w:pPr>
        <w:pStyle w:val="FootnoteText"/>
        <w:ind w:hanging="180"/>
        <w:rPr>
          <w:rFonts w:asciiTheme="minorBidi" w:hAnsiTheme="minorBidi"/>
        </w:rPr>
      </w:pPr>
      <w:r w:rsidRPr="005D3D44">
        <w:rPr>
          <w:rStyle w:val="FootnoteReference"/>
          <w:rFonts w:asciiTheme="minorBidi" w:hAnsiTheme="minorBidi"/>
        </w:rPr>
        <w:footnoteRef/>
      </w:r>
      <w:r w:rsidRPr="005D3D44">
        <w:rPr>
          <w:rFonts w:asciiTheme="minorBidi" w:hAnsiTheme="minorBidi"/>
        </w:rPr>
        <w:t xml:space="preserve"> </w:t>
      </w:r>
      <w:r w:rsidRPr="005D3D44">
        <w:rPr>
          <w:rFonts w:asciiTheme="minorBidi" w:hAnsiTheme="minorBidi"/>
        </w:rPr>
        <w:tab/>
        <w:t>With universal roaming, “EV drivers can access public charge points from any owner/operator through a common platform and a single netw</w:t>
      </w:r>
      <w:r w:rsidR="00486763">
        <w:rPr>
          <w:rFonts w:asciiTheme="minorBidi" w:hAnsiTheme="minorBidi"/>
        </w:rPr>
        <w:t>ork subscription or contract ….”</w:t>
      </w:r>
      <w:r w:rsidRPr="005D3D44">
        <w:rPr>
          <w:rFonts w:asciiTheme="minorBidi" w:hAnsiTheme="minorBidi"/>
        </w:rPr>
        <w:t xml:space="preserve"> </w:t>
      </w:r>
      <w:r w:rsidR="00486763" w:rsidRPr="00486763">
        <w:rPr>
          <w:rFonts w:asciiTheme="minorBidi" w:hAnsiTheme="minorBidi"/>
        </w:rPr>
        <w:t>EPRI Report</w:t>
      </w:r>
      <w:r w:rsidRPr="005D3D44">
        <w:rPr>
          <w:rFonts w:asciiTheme="minorBidi" w:hAnsiTheme="minorBidi"/>
        </w:rPr>
        <w:t xml:space="preserve"> at 3. </w:t>
      </w:r>
    </w:p>
  </w:footnote>
  <w:footnote w:id="10">
    <w:p w14:paraId="5D698B23" w14:textId="77777777" w:rsidR="00C90EE8" w:rsidRPr="005D3D44" w:rsidRDefault="00546214" w:rsidP="00F82213">
      <w:pPr>
        <w:pStyle w:val="FootnoteText"/>
        <w:ind w:left="180" w:hanging="180"/>
        <w:rPr>
          <w:rFonts w:asciiTheme="minorBidi" w:hAnsiTheme="minorBidi"/>
        </w:rPr>
      </w:pPr>
      <w:r w:rsidRPr="005D3D44">
        <w:rPr>
          <w:rStyle w:val="FootnoteReference"/>
          <w:rFonts w:asciiTheme="minorBidi" w:hAnsiTheme="minorBidi"/>
        </w:rPr>
        <w:footnoteRef/>
      </w:r>
      <w:r w:rsidR="005D3D44">
        <w:rPr>
          <w:rFonts w:asciiTheme="minorBidi" w:hAnsiTheme="minorBidi"/>
        </w:rPr>
        <w:t xml:space="preserve"> </w:t>
      </w:r>
      <w:r w:rsidRPr="005D3D44">
        <w:rPr>
          <w:rFonts w:asciiTheme="minorBidi" w:hAnsiTheme="minorBidi"/>
        </w:rPr>
        <w:t>Kathy Kinsey, Elaine O’</w:t>
      </w:r>
      <w:r w:rsidR="00F82213">
        <w:rPr>
          <w:rFonts w:asciiTheme="minorBidi" w:hAnsiTheme="minorBidi"/>
        </w:rPr>
        <w:t>G</w:t>
      </w:r>
      <w:r w:rsidRPr="005D3D44">
        <w:rPr>
          <w:rFonts w:asciiTheme="minorBidi" w:hAnsiTheme="minorBidi"/>
        </w:rPr>
        <w:t xml:space="preserve">rady, Jesse Way, </w:t>
      </w:r>
      <w:r w:rsidRPr="005D3D44">
        <w:rPr>
          <w:rFonts w:asciiTheme="minorBidi" w:hAnsiTheme="minorBidi"/>
          <w:i/>
          <w:iCs/>
        </w:rPr>
        <w:t>Building Reliable E</w:t>
      </w:r>
      <w:r w:rsidR="00F82213">
        <w:rPr>
          <w:rFonts w:asciiTheme="minorBidi" w:hAnsiTheme="minorBidi"/>
          <w:i/>
          <w:iCs/>
        </w:rPr>
        <w:t>V</w:t>
      </w:r>
      <w:r w:rsidRPr="005D3D44">
        <w:rPr>
          <w:rFonts w:asciiTheme="minorBidi" w:hAnsiTheme="minorBidi"/>
          <w:i/>
          <w:iCs/>
        </w:rPr>
        <w:t xml:space="preserve"> Charging Networks: Model State Grant </w:t>
      </w:r>
      <w:proofErr w:type="gramStart"/>
      <w:r w:rsidRPr="005D3D44">
        <w:rPr>
          <w:rFonts w:asciiTheme="minorBidi" w:hAnsiTheme="minorBidi"/>
          <w:i/>
          <w:iCs/>
        </w:rPr>
        <w:t>And</w:t>
      </w:r>
      <w:proofErr w:type="gramEnd"/>
      <w:r w:rsidRPr="005D3D44">
        <w:rPr>
          <w:rFonts w:asciiTheme="minorBidi" w:hAnsiTheme="minorBidi"/>
          <w:i/>
          <w:iCs/>
        </w:rPr>
        <w:t xml:space="preserve"> Procurement Contract Provisions For Public </w:t>
      </w:r>
      <w:proofErr w:type="spellStart"/>
      <w:r w:rsidRPr="005D3D44">
        <w:rPr>
          <w:rFonts w:asciiTheme="minorBidi" w:hAnsiTheme="minorBidi"/>
          <w:i/>
          <w:iCs/>
        </w:rPr>
        <w:t>Ev</w:t>
      </w:r>
      <w:proofErr w:type="spellEnd"/>
      <w:r w:rsidRPr="005D3D44">
        <w:rPr>
          <w:rFonts w:asciiTheme="minorBidi" w:hAnsiTheme="minorBidi"/>
          <w:i/>
          <w:iCs/>
        </w:rPr>
        <w:t xml:space="preserve"> Charging, </w:t>
      </w:r>
      <w:r w:rsidRPr="005D3D44">
        <w:rPr>
          <w:rFonts w:asciiTheme="minorBidi" w:hAnsiTheme="minorBidi"/>
        </w:rPr>
        <w:t>NESCAUM, August, 2019, available at</w:t>
      </w:r>
      <w:r w:rsidR="0027669E" w:rsidRPr="005D3D44">
        <w:rPr>
          <w:rFonts w:asciiTheme="minorBidi" w:hAnsiTheme="minorBidi"/>
        </w:rPr>
        <w:t>:</w:t>
      </w:r>
      <w:r w:rsidRPr="005D3D44">
        <w:rPr>
          <w:rFonts w:asciiTheme="minorBidi" w:hAnsiTheme="minorBidi"/>
        </w:rPr>
        <w:t xml:space="preserve"> https://www.nescaum.org/documents/model-contract-provisions-for-public-evse-5-24-19.pdf/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EB8"/>
    <w:multiLevelType w:val="multilevel"/>
    <w:tmpl w:val="82A09678"/>
    <w:name w:val="Firm Numbering"/>
    <w:lvl w:ilvl="0">
      <w:start w:val="1"/>
      <w:numFmt w:val="decimal"/>
      <w:pStyle w:val="Heading1"/>
      <w:lvlText w:val="%1"/>
      <w:lvlJc w:val="left"/>
      <w:pPr>
        <w:ind w:left="907" w:hanging="907"/>
      </w:pPr>
      <w:rPr>
        <w:rFonts w:hint="default"/>
        <w:b w:val="0"/>
        <w:i w:val="0"/>
      </w:rPr>
    </w:lvl>
    <w:lvl w:ilvl="1">
      <w:start w:val="1"/>
      <w:numFmt w:val="decimal"/>
      <w:pStyle w:val="Heading2"/>
      <w:lvlText w:val="%1.%2"/>
      <w:lvlJc w:val="left"/>
      <w:pPr>
        <w:ind w:left="907" w:hanging="907"/>
      </w:pPr>
      <w:rPr>
        <w:rFonts w:hint="default"/>
        <w:b w:val="0"/>
        <w:i w:val="0"/>
      </w:rPr>
    </w:lvl>
    <w:lvl w:ilvl="2">
      <w:start w:val="1"/>
      <w:numFmt w:val="decimal"/>
      <w:pStyle w:val="Heading3"/>
      <w:lvlText w:val="%1.%2.%3"/>
      <w:lvlJc w:val="left"/>
      <w:pPr>
        <w:ind w:left="907" w:hanging="907"/>
      </w:pPr>
      <w:rPr>
        <w:rFonts w:hint="default"/>
      </w:rPr>
    </w:lvl>
    <w:lvl w:ilvl="3">
      <w:start w:val="1"/>
      <w:numFmt w:val="lowerLetter"/>
      <w:pStyle w:val="Heading4"/>
      <w:lvlText w:val="(%4)"/>
      <w:lvlJc w:val="left"/>
      <w:pPr>
        <w:ind w:left="1644" w:hanging="737"/>
      </w:pPr>
      <w:rPr>
        <w:rFonts w:hint="default"/>
      </w:rPr>
    </w:lvl>
    <w:lvl w:ilvl="4">
      <w:start w:val="1"/>
      <w:numFmt w:val="lowerRoman"/>
      <w:pStyle w:val="Heading5"/>
      <w:lvlText w:val="(%5)"/>
      <w:lvlJc w:val="left"/>
      <w:pPr>
        <w:ind w:left="2381" w:hanging="737"/>
      </w:pPr>
      <w:rPr>
        <w:rFonts w:hint="default"/>
      </w:rPr>
    </w:lvl>
    <w:lvl w:ilvl="5">
      <w:start w:val="1"/>
      <w:numFmt w:val="upperLetter"/>
      <w:pStyle w:val="Heading6"/>
      <w:lvlText w:val="(%6)"/>
      <w:lvlJc w:val="left"/>
      <w:pPr>
        <w:ind w:left="3118" w:hanging="737"/>
      </w:pPr>
      <w:rPr>
        <w:rFonts w:hint="default"/>
      </w:rPr>
    </w:lvl>
    <w:lvl w:ilvl="6">
      <w:start w:val="1"/>
      <w:numFmt w:val="decimal"/>
      <w:pStyle w:val="Heading7"/>
      <w:lvlText w:val="(%7)"/>
      <w:lvlJc w:val="left"/>
      <w:pPr>
        <w:ind w:left="3855" w:hanging="737"/>
      </w:pPr>
      <w:rPr>
        <w:rFonts w:hint="default"/>
        <w:b w:val="0"/>
        <w:i w:val="0"/>
      </w:rPr>
    </w:lvl>
    <w:lvl w:ilvl="7">
      <w:start w:val="1"/>
      <w:numFmt w:val="lowerLetter"/>
      <w:pStyle w:val="Heading8"/>
      <w:lvlText w:val="%8."/>
      <w:lvlJc w:val="left"/>
      <w:pPr>
        <w:ind w:left="4592" w:hanging="737"/>
      </w:pPr>
      <w:rPr>
        <w:rFonts w:hint="default"/>
      </w:rPr>
    </w:lvl>
    <w:lvl w:ilvl="8">
      <w:start w:val="1"/>
      <w:numFmt w:val="lowerRoman"/>
      <w:pStyle w:val="Heading9"/>
      <w:lvlText w:val="%9."/>
      <w:lvlJc w:val="left"/>
      <w:pPr>
        <w:ind w:left="5329" w:hanging="737"/>
      </w:pPr>
      <w:rPr>
        <w:rFonts w:hint="default"/>
        <w:b w:val="0"/>
        <w:i w:val="0"/>
      </w:rPr>
    </w:lvl>
  </w:abstractNum>
  <w:abstractNum w:abstractNumId="1" w15:restartNumberingAfterBreak="0">
    <w:nsid w:val="04880EFC"/>
    <w:multiLevelType w:val="hybridMultilevel"/>
    <w:tmpl w:val="21CC0514"/>
    <w:lvl w:ilvl="0" w:tplc="4FFCD694">
      <w:start w:val="1"/>
      <w:numFmt w:val="upperRoman"/>
      <w:lvlText w:val="%1."/>
      <w:lvlJc w:val="left"/>
      <w:pPr>
        <w:ind w:left="1080" w:hanging="720"/>
      </w:pPr>
      <w:rPr>
        <w:rFonts w:hint="default"/>
        <w:b w:val="0"/>
        <w:bCs w:val="0"/>
      </w:rPr>
    </w:lvl>
    <w:lvl w:ilvl="1" w:tplc="797AC7D0">
      <w:start w:val="1"/>
      <w:numFmt w:val="lowerLetter"/>
      <w:lvlText w:val="%2."/>
      <w:lvlJc w:val="left"/>
      <w:pPr>
        <w:ind w:left="1440" w:hanging="360"/>
      </w:pPr>
      <w:rPr>
        <w:b w:val="0"/>
      </w:rPr>
    </w:lvl>
    <w:lvl w:ilvl="2" w:tplc="185010BE">
      <w:start w:val="1"/>
      <w:numFmt w:val="lowerRoman"/>
      <w:lvlText w:val="%3."/>
      <w:lvlJc w:val="right"/>
      <w:pPr>
        <w:ind w:left="2160" w:hanging="180"/>
      </w:pPr>
    </w:lvl>
    <w:lvl w:ilvl="3" w:tplc="9E0A726A" w:tentative="1">
      <w:start w:val="1"/>
      <w:numFmt w:val="decimal"/>
      <w:lvlText w:val="%4."/>
      <w:lvlJc w:val="left"/>
      <w:pPr>
        <w:ind w:left="2880" w:hanging="360"/>
      </w:pPr>
    </w:lvl>
    <w:lvl w:ilvl="4" w:tplc="BE043DC4" w:tentative="1">
      <w:start w:val="1"/>
      <w:numFmt w:val="lowerLetter"/>
      <w:lvlText w:val="%5."/>
      <w:lvlJc w:val="left"/>
      <w:pPr>
        <w:ind w:left="3600" w:hanging="360"/>
      </w:pPr>
    </w:lvl>
    <w:lvl w:ilvl="5" w:tplc="DEEA6624" w:tentative="1">
      <w:start w:val="1"/>
      <w:numFmt w:val="lowerRoman"/>
      <w:lvlText w:val="%6."/>
      <w:lvlJc w:val="right"/>
      <w:pPr>
        <w:ind w:left="4320" w:hanging="180"/>
      </w:pPr>
    </w:lvl>
    <w:lvl w:ilvl="6" w:tplc="F2E017F4" w:tentative="1">
      <w:start w:val="1"/>
      <w:numFmt w:val="decimal"/>
      <w:lvlText w:val="%7."/>
      <w:lvlJc w:val="left"/>
      <w:pPr>
        <w:ind w:left="5040" w:hanging="360"/>
      </w:pPr>
    </w:lvl>
    <w:lvl w:ilvl="7" w:tplc="6DFA773E" w:tentative="1">
      <w:start w:val="1"/>
      <w:numFmt w:val="lowerLetter"/>
      <w:lvlText w:val="%8."/>
      <w:lvlJc w:val="left"/>
      <w:pPr>
        <w:ind w:left="5760" w:hanging="360"/>
      </w:pPr>
    </w:lvl>
    <w:lvl w:ilvl="8" w:tplc="F47835A4" w:tentative="1">
      <w:start w:val="1"/>
      <w:numFmt w:val="lowerRoman"/>
      <w:lvlText w:val="%9."/>
      <w:lvlJc w:val="right"/>
      <w:pPr>
        <w:ind w:left="6480" w:hanging="180"/>
      </w:pPr>
    </w:lvl>
  </w:abstractNum>
  <w:abstractNum w:abstractNumId="2" w15:restartNumberingAfterBreak="0">
    <w:nsid w:val="19B26979"/>
    <w:multiLevelType w:val="hybridMultilevel"/>
    <w:tmpl w:val="98903CE6"/>
    <w:lvl w:ilvl="0" w:tplc="24FE947E">
      <w:start w:val="1"/>
      <w:numFmt w:val="lowerRoman"/>
      <w:lvlText w:val="(%1)"/>
      <w:lvlJc w:val="left"/>
      <w:pPr>
        <w:ind w:left="1710" w:hanging="720"/>
      </w:pPr>
      <w:rPr>
        <w:rFonts w:hint="default"/>
      </w:rPr>
    </w:lvl>
    <w:lvl w:ilvl="1" w:tplc="10D2876A" w:tentative="1">
      <w:start w:val="1"/>
      <w:numFmt w:val="lowerLetter"/>
      <w:lvlText w:val="%2."/>
      <w:lvlJc w:val="left"/>
      <w:pPr>
        <w:ind w:left="2070" w:hanging="360"/>
      </w:pPr>
    </w:lvl>
    <w:lvl w:ilvl="2" w:tplc="64045E32" w:tentative="1">
      <w:start w:val="1"/>
      <w:numFmt w:val="lowerRoman"/>
      <w:lvlText w:val="%3."/>
      <w:lvlJc w:val="right"/>
      <w:pPr>
        <w:ind w:left="2790" w:hanging="180"/>
      </w:pPr>
    </w:lvl>
    <w:lvl w:ilvl="3" w:tplc="FBE2AF6C" w:tentative="1">
      <w:start w:val="1"/>
      <w:numFmt w:val="decimal"/>
      <w:lvlText w:val="%4."/>
      <w:lvlJc w:val="left"/>
      <w:pPr>
        <w:ind w:left="3510" w:hanging="360"/>
      </w:pPr>
    </w:lvl>
    <w:lvl w:ilvl="4" w:tplc="55F872AC" w:tentative="1">
      <w:start w:val="1"/>
      <w:numFmt w:val="lowerLetter"/>
      <w:lvlText w:val="%5."/>
      <w:lvlJc w:val="left"/>
      <w:pPr>
        <w:ind w:left="4230" w:hanging="360"/>
      </w:pPr>
    </w:lvl>
    <w:lvl w:ilvl="5" w:tplc="AF26E48C" w:tentative="1">
      <w:start w:val="1"/>
      <w:numFmt w:val="lowerRoman"/>
      <w:lvlText w:val="%6."/>
      <w:lvlJc w:val="right"/>
      <w:pPr>
        <w:ind w:left="4950" w:hanging="180"/>
      </w:pPr>
    </w:lvl>
    <w:lvl w:ilvl="6" w:tplc="739231D4" w:tentative="1">
      <w:start w:val="1"/>
      <w:numFmt w:val="decimal"/>
      <w:lvlText w:val="%7."/>
      <w:lvlJc w:val="left"/>
      <w:pPr>
        <w:ind w:left="5670" w:hanging="360"/>
      </w:pPr>
    </w:lvl>
    <w:lvl w:ilvl="7" w:tplc="1BA601F0" w:tentative="1">
      <w:start w:val="1"/>
      <w:numFmt w:val="lowerLetter"/>
      <w:lvlText w:val="%8."/>
      <w:lvlJc w:val="left"/>
      <w:pPr>
        <w:ind w:left="6390" w:hanging="360"/>
      </w:pPr>
    </w:lvl>
    <w:lvl w:ilvl="8" w:tplc="C422E08E" w:tentative="1">
      <w:start w:val="1"/>
      <w:numFmt w:val="lowerRoman"/>
      <w:lvlText w:val="%9."/>
      <w:lvlJc w:val="right"/>
      <w:pPr>
        <w:ind w:left="7110" w:hanging="180"/>
      </w:pPr>
    </w:lvl>
  </w:abstractNum>
  <w:abstractNum w:abstractNumId="3" w15:restartNumberingAfterBreak="0">
    <w:nsid w:val="5F0C22CA"/>
    <w:multiLevelType w:val="multilevel"/>
    <w:tmpl w:val="C04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66CA7"/>
    <w:multiLevelType w:val="multilevel"/>
    <w:tmpl w:val="2642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1145C"/>
    <w:multiLevelType w:val="multilevel"/>
    <w:tmpl w:val="908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91"/>
    <w:rsid w:val="00001DCA"/>
    <w:rsid w:val="00022520"/>
    <w:rsid w:val="000362C0"/>
    <w:rsid w:val="000856D4"/>
    <w:rsid w:val="00093C2E"/>
    <w:rsid w:val="0009513A"/>
    <w:rsid w:val="0009618B"/>
    <w:rsid w:val="000B0DDD"/>
    <w:rsid w:val="00126B27"/>
    <w:rsid w:val="00162314"/>
    <w:rsid w:val="00167CB5"/>
    <w:rsid w:val="00180133"/>
    <w:rsid w:val="00183596"/>
    <w:rsid w:val="00190A54"/>
    <w:rsid w:val="001935F3"/>
    <w:rsid w:val="001938CD"/>
    <w:rsid w:val="001A494E"/>
    <w:rsid w:val="001A5F8C"/>
    <w:rsid w:val="001B4BC1"/>
    <w:rsid w:val="00224651"/>
    <w:rsid w:val="002259F5"/>
    <w:rsid w:val="00235C08"/>
    <w:rsid w:val="002434C4"/>
    <w:rsid w:val="00253698"/>
    <w:rsid w:val="002644BD"/>
    <w:rsid w:val="0027669E"/>
    <w:rsid w:val="00282895"/>
    <w:rsid w:val="00290D64"/>
    <w:rsid w:val="00296688"/>
    <w:rsid w:val="002A1B30"/>
    <w:rsid w:val="002C7472"/>
    <w:rsid w:val="002D1A32"/>
    <w:rsid w:val="002E06C6"/>
    <w:rsid w:val="002E1503"/>
    <w:rsid w:val="002E67CC"/>
    <w:rsid w:val="002E6A7F"/>
    <w:rsid w:val="002F56D6"/>
    <w:rsid w:val="002F7EA3"/>
    <w:rsid w:val="003150E5"/>
    <w:rsid w:val="00315394"/>
    <w:rsid w:val="0031575C"/>
    <w:rsid w:val="00323773"/>
    <w:rsid w:val="00334F42"/>
    <w:rsid w:val="00336B9A"/>
    <w:rsid w:val="00356004"/>
    <w:rsid w:val="00364255"/>
    <w:rsid w:val="0037603D"/>
    <w:rsid w:val="00392E5C"/>
    <w:rsid w:val="00394508"/>
    <w:rsid w:val="003B314D"/>
    <w:rsid w:val="003C64F8"/>
    <w:rsid w:val="003F0FFE"/>
    <w:rsid w:val="00441D0E"/>
    <w:rsid w:val="00444841"/>
    <w:rsid w:val="00450576"/>
    <w:rsid w:val="004740C7"/>
    <w:rsid w:val="004753C0"/>
    <w:rsid w:val="00486763"/>
    <w:rsid w:val="00486796"/>
    <w:rsid w:val="005142F3"/>
    <w:rsid w:val="00524899"/>
    <w:rsid w:val="005410E0"/>
    <w:rsid w:val="00546214"/>
    <w:rsid w:val="00551304"/>
    <w:rsid w:val="0057243A"/>
    <w:rsid w:val="005919B9"/>
    <w:rsid w:val="0059722E"/>
    <w:rsid w:val="005A33EA"/>
    <w:rsid w:val="005C15D3"/>
    <w:rsid w:val="005C2442"/>
    <w:rsid w:val="005D3D44"/>
    <w:rsid w:val="005E1049"/>
    <w:rsid w:val="005F15F9"/>
    <w:rsid w:val="005F4D41"/>
    <w:rsid w:val="006350B4"/>
    <w:rsid w:val="00635189"/>
    <w:rsid w:val="00637E8C"/>
    <w:rsid w:val="0064063F"/>
    <w:rsid w:val="0067504F"/>
    <w:rsid w:val="00692B91"/>
    <w:rsid w:val="006E63E5"/>
    <w:rsid w:val="006E64A5"/>
    <w:rsid w:val="00722A0E"/>
    <w:rsid w:val="00735C48"/>
    <w:rsid w:val="0075426E"/>
    <w:rsid w:val="00762C57"/>
    <w:rsid w:val="00764C74"/>
    <w:rsid w:val="0078161B"/>
    <w:rsid w:val="007854C2"/>
    <w:rsid w:val="007A4CB9"/>
    <w:rsid w:val="008116B3"/>
    <w:rsid w:val="00820701"/>
    <w:rsid w:val="008358B0"/>
    <w:rsid w:val="0084152E"/>
    <w:rsid w:val="00844F4F"/>
    <w:rsid w:val="0087065F"/>
    <w:rsid w:val="00875A3E"/>
    <w:rsid w:val="00887E08"/>
    <w:rsid w:val="008C39C6"/>
    <w:rsid w:val="008C487F"/>
    <w:rsid w:val="008C6F09"/>
    <w:rsid w:val="008D2F5A"/>
    <w:rsid w:val="008D7B41"/>
    <w:rsid w:val="008E53FB"/>
    <w:rsid w:val="008F2791"/>
    <w:rsid w:val="008F6B93"/>
    <w:rsid w:val="009647B0"/>
    <w:rsid w:val="009832A8"/>
    <w:rsid w:val="009A56D2"/>
    <w:rsid w:val="009B76FE"/>
    <w:rsid w:val="009C4874"/>
    <w:rsid w:val="009D16E9"/>
    <w:rsid w:val="009D4F22"/>
    <w:rsid w:val="009E11B3"/>
    <w:rsid w:val="00A01522"/>
    <w:rsid w:val="00A04E35"/>
    <w:rsid w:val="00A06170"/>
    <w:rsid w:val="00A07765"/>
    <w:rsid w:val="00A07C84"/>
    <w:rsid w:val="00A3019E"/>
    <w:rsid w:val="00A468B3"/>
    <w:rsid w:val="00A609F5"/>
    <w:rsid w:val="00A63B47"/>
    <w:rsid w:val="00A811A7"/>
    <w:rsid w:val="00AB58AB"/>
    <w:rsid w:val="00AC4618"/>
    <w:rsid w:val="00AC6E2A"/>
    <w:rsid w:val="00AD3698"/>
    <w:rsid w:val="00AD4DF3"/>
    <w:rsid w:val="00AE5624"/>
    <w:rsid w:val="00AF4FB0"/>
    <w:rsid w:val="00B11F17"/>
    <w:rsid w:val="00B93FD8"/>
    <w:rsid w:val="00BA342C"/>
    <w:rsid w:val="00BA37C2"/>
    <w:rsid w:val="00C1009A"/>
    <w:rsid w:val="00C305F3"/>
    <w:rsid w:val="00C50310"/>
    <w:rsid w:val="00C539F4"/>
    <w:rsid w:val="00C6724B"/>
    <w:rsid w:val="00C70036"/>
    <w:rsid w:val="00C75F54"/>
    <w:rsid w:val="00C7608B"/>
    <w:rsid w:val="00C82046"/>
    <w:rsid w:val="00C90EE8"/>
    <w:rsid w:val="00C974DF"/>
    <w:rsid w:val="00CA13CD"/>
    <w:rsid w:val="00CB152C"/>
    <w:rsid w:val="00CB38C8"/>
    <w:rsid w:val="00CF317D"/>
    <w:rsid w:val="00D177A0"/>
    <w:rsid w:val="00D25C79"/>
    <w:rsid w:val="00D53BC2"/>
    <w:rsid w:val="00D62D03"/>
    <w:rsid w:val="00D76C05"/>
    <w:rsid w:val="00D77F9B"/>
    <w:rsid w:val="00DB0855"/>
    <w:rsid w:val="00DC1587"/>
    <w:rsid w:val="00E11E9E"/>
    <w:rsid w:val="00E167EF"/>
    <w:rsid w:val="00E30E6A"/>
    <w:rsid w:val="00E329C0"/>
    <w:rsid w:val="00E4369B"/>
    <w:rsid w:val="00E47055"/>
    <w:rsid w:val="00E558B0"/>
    <w:rsid w:val="00E84B3D"/>
    <w:rsid w:val="00E86F6D"/>
    <w:rsid w:val="00ED4DB7"/>
    <w:rsid w:val="00F21FEC"/>
    <w:rsid w:val="00F2694C"/>
    <w:rsid w:val="00F27C39"/>
    <w:rsid w:val="00F32FA5"/>
    <w:rsid w:val="00F644F9"/>
    <w:rsid w:val="00F66BC0"/>
    <w:rsid w:val="00F67404"/>
    <w:rsid w:val="00F73E79"/>
    <w:rsid w:val="00F82213"/>
    <w:rsid w:val="00FC737A"/>
    <w:rsid w:val="00FF09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87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91"/>
    <w:pPr>
      <w:spacing w:after="200" w:line="276" w:lineRule="auto"/>
    </w:pPr>
    <w:rPr>
      <w:rFonts w:eastAsiaTheme="minorHAnsi"/>
      <w:lang w:val="en-US" w:eastAsia="en-US"/>
    </w:rPr>
  </w:style>
  <w:style w:type="paragraph" w:styleId="Heading1">
    <w:name w:val="heading 1"/>
    <w:basedOn w:val="Normal"/>
    <w:next w:val="Normal"/>
    <w:link w:val="Heading1Char"/>
    <w:uiPriority w:val="9"/>
    <w:qFormat/>
    <w:rsid w:val="00D77F9B"/>
    <w:pPr>
      <w:keepNext/>
      <w:numPr>
        <w:numId w:val="1"/>
      </w:numPr>
      <w:suppressAutoHyphens/>
      <w:spacing w:before="240" w:after="0" w:line="240" w:lineRule="auto"/>
      <w:outlineLvl w:val="0"/>
    </w:pPr>
    <w:rPr>
      <w:rFonts w:ascii="Tahoma" w:eastAsiaTheme="majorEastAsia" w:hAnsi="Tahoma" w:cstheme="majorBidi"/>
      <w:b/>
      <w:caps/>
      <w:sz w:val="20"/>
      <w:szCs w:val="32"/>
      <w:lang w:val="en-GB" w:eastAsia="ja-JP"/>
    </w:rPr>
  </w:style>
  <w:style w:type="paragraph" w:styleId="Heading2">
    <w:name w:val="heading 2"/>
    <w:basedOn w:val="Normal"/>
    <w:next w:val="Normal"/>
    <w:link w:val="Heading2Char"/>
    <w:uiPriority w:val="9"/>
    <w:qFormat/>
    <w:rsid w:val="00D77F9B"/>
    <w:pPr>
      <w:keepNext/>
      <w:numPr>
        <w:ilvl w:val="1"/>
        <w:numId w:val="1"/>
      </w:numPr>
      <w:suppressAutoHyphens/>
      <w:spacing w:before="240" w:after="0" w:line="240" w:lineRule="auto"/>
      <w:outlineLvl w:val="1"/>
    </w:pPr>
    <w:rPr>
      <w:rFonts w:ascii="Tahoma" w:eastAsiaTheme="majorEastAsia" w:hAnsi="Tahoma" w:cstheme="majorBidi"/>
      <w:b/>
      <w:sz w:val="20"/>
      <w:szCs w:val="26"/>
      <w:lang w:val="en-GB" w:eastAsia="ja-JP"/>
    </w:rPr>
  </w:style>
  <w:style w:type="paragraph" w:styleId="Heading3">
    <w:name w:val="heading 3"/>
    <w:basedOn w:val="Normal"/>
    <w:next w:val="Normal"/>
    <w:link w:val="Heading3Char"/>
    <w:uiPriority w:val="9"/>
    <w:qFormat/>
    <w:rsid w:val="00D77F9B"/>
    <w:pPr>
      <w:numPr>
        <w:ilvl w:val="2"/>
        <w:numId w:val="1"/>
      </w:numPr>
      <w:suppressAutoHyphens/>
      <w:spacing w:before="240" w:after="0" w:line="240" w:lineRule="auto"/>
      <w:outlineLvl w:val="2"/>
    </w:pPr>
    <w:rPr>
      <w:rFonts w:ascii="Tahoma" w:eastAsiaTheme="majorEastAsia" w:hAnsi="Tahoma" w:cstheme="majorBidi"/>
      <w:sz w:val="20"/>
      <w:szCs w:val="24"/>
      <w:lang w:val="en-GB" w:eastAsia="ja-JP"/>
    </w:rPr>
  </w:style>
  <w:style w:type="paragraph" w:styleId="Heading4">
    <w:name w:val="heading 4"/>
    <w:basedOn w:val="Normal"/>
    <w:next w:val="Normal"/>
    <w:link w:val="Heading4Char"/>
    <w:uiPriority w:val="9"/>
    <w:unhideWhenUsed/>
    <w:qFormat/>
    <w:rsid w:val="00D77F9B"/>
    <w:pPr>
      <w:numPr>
        <w:ilvl w:val="3"/>
        <w:numId w:val="1"/>
      </w:numPr>
      <w:suppressAutoHyphens/>
      <w:spacing w:before="240" w:after="0" w:line="240" w:lineRule="auto"/>
      <w:outlineLvl w:val="3"/>
    </w:pPr>
    <w:rPr>
      <w:rFonts w:ascii="Tahoma" w:eastAsiaTheme="majorEastAsia" w:hAnsi="Tahoma" w:cstheme="majorBidi"/>
      <w:iCs/>
      <w:sz w:val="20"/>
      <w:lang w:val="en-GB" w:eastAsia="ja-JP"/>
    </w:rPr>
  </w:style>
  <w:style w:type="paragraph" w:styleId="Heading5">
    <w:name w:val="heading 5"/>
    <w:basedOn w:val="Normal"/>
    <w:next w:val="Normal"/>
    <w:link w:val="Heading5Char"/>
    <w:uiPriority w:val="9"/>
    <w:unhideWhenUsed/>
    <w:qFormat/>
    <w:rsid w:val="00D77F9B"/>
    <w:pPr>
      <w:numPr>
        <w:ilvl w:val="4"/>
        <w:numId w:val="1"/>
      </w:numPr>
      <w:suppressAutoHyphens/>
      <w:spacing w:before="240" w:after="0" w:line="240" w:lineRule="auto"/>
      <w:outlineLvl w:val="4"/>
    </w:pPr>
    <w:rPr>
      <w:rFonts w:ascii="Tahoma" w:eastAsiaTheme="majorEastAsia" w:hAnsi="Tahoma" w:cstheme="majorBidi"/>
      <w:sz w:val="20"/>
      <w:lang w:val="en-GB" w:eastAsia="ja-JP"/>
    </w:rPr>
  </w:style>
  <w:style w:type="paragraph" w:styleId="Heading6">
    <w:name w:val="heading 6"/>
    <w:basedOn w:val="Normal"/>
    <w:next w:val="Normal"/>
    <w:link w:val="Heading6Char"/>
    <w:uiPriority w:val="9"/>
    <w:unhideWhenUsed/>
    <w:qFormat/>
    <w:rsid w:val="00D77F9B"/>
    <w:pPr>
      <w:numPr>
        <w:ilvl w:val="5"/>
        <w:numId w:val="1"/>
      </w:numPr>
      <w:suppressAutoHyphens/>
      <w:spacing w:before="240" w:after="0" w:line="240" w:lineRule="auto"/>
      <w:outlineLvl w:val="5"/>
    </w:pPr>
    <w:rPr>
      <w:rFonts w:ascii="Tahoma" w:eastAsiaTheme="majorEastAsia" w:hAnsi="Tahoma" w:cstheme="majorBidi"/>
      <w:sz w:val="20"/>
      <w:lang w:val="en-GB" w:eastAsia="ja-JP"/>
    </w:rPr>
  </w:style>
  <w:style w:type="paragraph" w:styleId="Heading7">
    <w:name w:val="heading 7"/>
    <w:basedOn w:val="Normal"/>
    <w:next w:val="Normal"/>
    <w:link w:val="Heading7Char"/>
    <w:uiPriority w:val="9"/>
    <w:unhideWhenUsed/>
    <w:qFormat/>
    <w:rsid w:val="00D77F9B"/>
    <w:pPr>
      <w:numPr>
        <w:ilvl w:val="6"/>
        <w:numId w:val="1"/>
      </w:numPr>
      <w:suppressAutoHyphens/>
      <w:spacing w:before="240" w:after="0" w:line="240" w:lineRule="auto"/>
      <w:outlineLvl w:val="6"/>
    </w:pPr>
    <w:rPr>
      <w:rFonts w:ascii="Tahoma" w:eastAsiaTheme="majorEastAsia" w:hAnsi="Tahoma" w:cstheme="majorBidi"/>
      <w:iCs/>
      <w:sz w:val="20"/>
      <w:lang w:val="en-GB" w:eastAsia="ja-JP"/>
    </w:rPr>
  </w:style>
  <w:style w:type="paragraph" w:styleId="Heading8">
    <w:name w:val="heading 8"/>
    <w:basedOn w:val="Normal"/>
    <w:next w:val="Normal"/>
    <w:link w:val="Heading8Char"/>
    <w:uiPriority w:val="9"/>
    <w:unhideWhenUsed/>
    <w:qFormat/>
    <w:rsid w:val="00D77F9B"/>
    <w:pPr>
      <w:numPr>
        <w:ilvl w:val="7"/>
        <w:numId w:val="1"/>
      </w:numPr>
      <w:suppressAutoHyphens/>
      <w:spacing w:before="240" w:after="0" w:line="240" w:lineRule="auto"/>
      <w:outlineLvl w:val="7"/>
    </w:pPr>
    <w:rPr>
      <w:rFonts w:ascii="Tahoma" w:eastAsiaTheme="majorEastAsia" w:hAnsi="Tahoma" w:cstheme="majorBidi"/>
      <w:sz w:val="20"/>
      <w:szCs w:val="21"/>
      <w:lang w:val="en-GB" w:eastAsia="ja-JP"/>
    </w:rPr>
  </w:style>
  <w:style w:type="paragraph" w:styleId="Heading9">
    <w:name w:val="heading 9"/>
    <w:basedOn w:val="Normal"/>
    <w:next w:val="Normal"/>
    <w:link w:val="Heading9Char"/>
    <w:uiPriority w:val="9"/>
    <w:unhideWhenUsed/>
    <w:qFormat/>
    <w:rsid w:val="00D77F9B"/>
    <w:pPr>
      <w:numPr>
        <w:ilvl w:val="8"/>
        <w:numId w:val="1"/>
      </w:numPr>
      <w:suppressAutoHyphens/>
      <w:spacing w:before="240" w:after="0" w:line="240" w:lineRule="auto"/>
      <w:outlineLvl w:val="8"/>
    </w:pPr>
    <w:rPr>
      <w:rFonts w:ascii="Tahoma" w:eastAsiaTheme="majorEastAsia" w:hAnsi="Tahoma" w:cstheme="majorBidi"/>
      <w:iCs/>
      <w:sz w:val="20"/>
      <w:szCs w:val="21"/>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F9B"/>
    <w:rPr>
      <w:rFonts w:ascii="Tahoma" w:eastAsiaTheme="majorEastAsia" w:hAnsi="Tahoma" w:cstheme="majorBidi"/>
      <w:b/>
      <w:caps/>
      <w:sz w:val="20"/>
      <w:szCs w:val="32"/>
    </w:rPr>
  </w:style>
  <w:style w:type="character" w:customStyle="1" w:styleId="Heading2Char">
    <w:name w:val="Heading 2 Char"/>
    <w:basedOn w:val="DefaultParagraphFont"/>
    <w:link w:val="Heading2"/>
    <w:uiPriority w:val="9"/>
    <w:rsid w:val="00D77F9B"/>
    <w:rPr>
      <w:rFonts w:ascii="Tahoma" w:eastAsiaTheme="majorEastAsia" w:hAnsi="Tahoma" w:cstheme="majorBidi"/>
      <w:b/>
      <w:sz w:val="20"/>
      <w:szCs w:val="26"/>
    </w:rPr>
  </w:style>
  <w:style w:type="paragraph" w:styleId="BodyText">
    <w:name w:val="Body Text"/>
    <w:basedOn w:val="Normal"/>
    <w:link w:val="BodyTextChar"/>
    <w:uiPriority w:val="99"/>
    <w:rsid w:val="0031575C"/>
    <w:pPr>
      <w:suppressAutoHyphens/>
      <w:spacing w:before="240" w:after="0" w:line="240" w:lineRule="auto"/>
      <w:ind w:left="907"/>
    </w:pPr>
    <w:rPr>
      <w:rFonts w:ascii="Tahoma" w:eastAsiaTheme="minorEastAsia" w:hAnsi="Tahoma"/>
      <w:sz w:val="20"/>
      <w:lang w:val="en-GB" w:eastAsia="ja-JP"/>
    </w:rPr>
  </w:style>
  <w:style w:type="character" w:customStyle="1" w:styleId="BodyTextChar">
    <w:name w:val="Body Text Char"/>
    <w:basedOn w:val="DefaultParagraphFont"/>
    <w:link w:val="BodyText"/>
    <w:uiPriority w:val="99"/>
    <w:rsid w:val="0031575C"/>
    <w:rPr>
      <w:rFonts w:ascii="Tahoma" w:hAnsi="Tahoma"/>
      <w:sz w:val="20"/>
    </w:rPr>
  </w:style>
  <w:style w:type="paragraph" w:styleId="Footer">
    <w:name w:val="footer"/>
    <w:basedOn w:val="Normal"/>
    <w:link w:val="FooterChar"/>
    <w:uiPriority w:val="99"/>
    <w:rsid w:val="00735C48"/>
    <w:pPr>
      <w:tabs>
        <w:tab w:val="center" w:pos="4680"/>
        <w:tab w:val="right" w:pos="9360"/>
      </w:tabs>
      <w:spacing w:after="0" w:line="240" w:lineRule="auto"/>
    </w:pPr>
    <w:rPr>
      <w:rFonts w:ascii="Tahoma" w:eastAsiaTheme="minorEastAsia" w:hAnsi="Tahoma"/>
      <w:sz w:val="20"/>
      <w:lang w:val="en-GB" w:eastAsia="ja-JP"/>
    </w:rPr>
  </w:style>
  <w:style w:type="character" w:customStyle="1" w:styleId="FooterChar">
    <w:name w:val="Footer Char"/>
    <w:basedOn w:val="DefaultParagraphFont"/>
    <w:link w:val="Footer"/>
    <w:uiPriority w:val="99"/>
    <w:rsid w:val="00735C48"/>
    <w:rPr>
      <w:rFonts w:ascii="Tahoma" w:hAnsi="Tahoma"/>
      <w:sz w:val="20"/>
    </w:rPr>
  </w:style>
  <w:style w:type="paragraph" w:styleId="Header">
    <w:name w:val="header"/>
    <w:basedOn w:val="Normal"/>
    <w:link w:val="HeaderChar"/>
    <w:uiPriority w:val="99"/>
    <w:rsid w:val="00735C48"/>
    <w:pPr>
      <w:tabs>
        <w:tab w:val="center" w:pos="4680"/>
        <w:tab w:val="right" w:pos="9360"/>
      </w:tabs>
      <w:spacing w:after="0" w:line="240" w:lineRule="auto"/>
    </w:pPr>
    <w:rPr>
      <w:rFonts w:ascii="Tahoma" w:eastAsiaTheme="minorEastAsia" w:hAnsi="Tahoma"/>
      <w:sz w:val="20"/>
      <w:lang w:val="en-GB" w:eastAsia="ja-JP"/>
    </w:rPr>
  </w:style>
  <w:style w:type="character" w:customStyle="1" w:styleId="HeaderChar">
    <w:name w:val="Header Char"/>
    <w:basedOn w:val="DefaultParagraphFont"/>
    <w:link w:val="Header"/>
    <w:uiPriority w:val="99"/>
    <w:rsid w:val="00735C48"/>
    <w:rPr>
      <w:rFonts w:ascii="Tahoma" w:hAnsi="Tahoma"/>
      <w:sz w:val="20"/>
    </w:rPr>
  </w:style>
  <w:style w:type="character" w:customStyle="1" w:styleId="Heading3Char">
    <w:name w:val="Heading 3 Char"/>
    <w:basedOn w:val="DefaultParagraphFont"/>
    <w:link w:val="Heading3"/>
    <w:uiPriority w:val="9"/>
    <w:rsid w:val="00D77F9B"/>
    <w:rPr>
      <w:rFonts w:ascii="Tahoma" w:eastAsiaTheme="majorEastAsia" w:hAnsi="Tahoma" w:cstheme="majorBidi"/>
      <w:sz w:val="20"/>
      <w:szCs w:val="24"/>
    </w:rPr>
  </w:style>
  <w:style w:type="character" w:customStyle="1" w:styleId="Heading4Char">
    <w:name w:val="Heading 4 Char"/>
    <w:basedOn w:val="DefaultParagraphFont"/>
    <w:link w:val="Heading4"/>
    <w:uiPriority w:val="9"/>
    <w:rsid w:val="00D77F9B"/>
    <w:rPr>
      <w:rFonts w:ascii="Tahoma" w:eastAsiaTheme="majorEastAsia" w:hAnsi="Tahoma" w:cstheme="majorBidi"/>
      <w:iCs/>
      <w:sz w:val="20"/>
    </w:rPr>
  </w:style>
  <w:style w:type="character" w:customStyle="1" w:styleId="Heading5Char">
    <w:name w:val="Heading 5 Char"/>
    <w:basedOn w:val="DefaultParagraphFont"/>
    <w:link w:val="Heading5"/>
    <w:uiPriority w:val="9"/>
    <w:rsid w:val="00D77F9B"/>
    <w:rPr>
      <w:rFonts w:ascii="Tahoma" w:eastAsiaTheme="majorEastAsia" w:hAnsi="Tahoma" w:cstheme="majorBidi"/>
      <w:sz w:val="20"/>
    </w:rPr>
  </w:style>
  <w:style w:type="character" w:customStyle="1" w:styleId="Heading6Char">
    <w:name w:val="Heading 6 Char"/>
    <w:basedOn w:val="DefaultParagraphFont"/>
    <w:link w:val="Heading6"/>
    <w:uiPriority w:val="9"/>
    <w:rsid w:val="00D77F9B"/>
    <w:rPr>
      <w:rFonts w:ascii="Tahoma" w:eastAsiaTheme="majorEastAsia" w:hAnsi="Tahoma" w:cstheme="majorBidi"/>
      <w:sz w:val="20"/>
    </w:rPr>
  </w:style>
  <w:style w:type="character" w:customStyle="1" w:styleId="Heading7Char">
    <w:name w:val="Heading 7 Char"/>
    <w:basedOn w:val="DefaultParagraphFont"/>
    <w:link w:val="Heading7"/>
    <w:uiPriority w:val="9"/>
    <w:rsid w:val="00D77F9B"/>
    <w:rPr>
      <w:rFonts w:ascii="Tahoma" w:eastAsiaTheme="majorEastAsia" w:hAnsi="Tahoma" w:cstheme="majorBidi"/>
      <w:iCs/>
      <w:sz w:val="20"/>
    </w:rPr>
  </w:style>
  <w:style w:type="character" w:customStyle="1" w:styleId="Heading8Char">
    <w:name w:val="Heading 8 Char"/>
    <w:basedOn w:val="DefaultParagraphFont"/>
    <w:link w:val="Heading8"/>
    <w:uiPriority w:val="9"/>
    <w:rsid w:val="00D77F9B"/>
    <w:rPr>
      <w:rFonts w:ascii="Tahoma" w:eastAsiaTheme="majorEastAsia" w:hAnsi="Tahoma" w:cstheme="majorBidi"/>
      <w:sz w:val="20"/>
      <w:szCs w:val="21"/>
    </w:rPr>
  </w:style>
  <w:style w:type="character" w:customStyle="1" w:styleId="Heading9Char">
    <w:name w:val="Heading 9 Char"/>
    <w:basedOn w:val="DefaultParagraphFont"/>
    <w:link w:val="Heading9"/>
    <w:uiPriority w:val="9"/>
    <w:rsid w:val="00D77F9B"/>
    <w:rPr>
      <w:rFonts w:ascii="Tahoma" w:eastAsiaTheme="majorEastAsia" w:hAnsi="Tahoma" w:cstheme="majorBidi"/>
      <w:iCs/>
      <w:sz w:val="20"/>
      <w:szCs w:val="21"/>
    </w:rPr>
  </w:style>
  <w:style w:type="paragraph" w:styleId="CommentText">
    <w:name w:val="annotation text"/>
    <w:basedOn w:val="Normal"/>
    <w:link w:val="CommentTextChar"/>
    <w:uiPriority w:val="99"/>
    <w:semiHidden/>
    <w:unhideWhenUsed/>
    <w:rsid w:val="00692B91"/>
    <w:pPr>
      <w:spacing w:after="0" w:line="240" w:lineRule="auto"/>
    </w:pPr>
    <w:rPr>
      <w:rFonts w:ascii="Tahoma" w:eastAsiaTheme="minorEastAsia" w:hAnsi="Tahoma"/>
      <w:sz w:val="20"/>
      <w:szCs w:val="20"/>
      <w:lang w:eastAsia="ja-JP"/>
    </w:rPr>
  </w:style>
  <w:style w:type="character" w:customStyle="1" w:styleId="CommentTextChar">
    <w:name w:val="Comment Text Char"/>
    <w:basedOn w:val="DefaultParagraphFont"/>
    <w:link w:val="CommentText"/>
    <w:uiPriority w:val="99"/>
    <w:semiHidden/>
    <w:rsid w:val="00692B91"/>
    <w:rPr>
      <w:rFonts w:ascii="Tahoma" w:hAnsi="Tahoma"/>
      <w:sz w:val="20"/>
      <w:szCs w:val="20"/>
      <w:lang w:val="en-US"/>
    </w:rPr>
  </w:style>
  <w:style w:type="character" w:styleId="Emphasis">
    <w:name w:val="Emphasis"/>
    <w:basedOn w:val="DefaultParagraphFont"/>
    <w:uiPriority w:val="20"/>
    <w:qFormat/>
    <w:rsid w:val="00692B91"/>
    <w:rPr>
      <w:i/>
      <w:iCs/>
    </w:rPr>
  </w:style>
  <w:style w:type="character" w:styleId="FootnoteReference">
    <w:name w:val="footnote reference"/>
    <w:basedOn w:val="DefaultParagraphFont"/>
    <w:uiPriority w:val="99"/>
    <w:unhideWhenUsed/>
    <w:rsid w:val="00692B91"/>
    <w:rPr>
      <w:vertAlign w:val="superscript"/>
    </w:rPr>
  </w:style>
  <w:style w:type="paragraph" w:styleId="FootnoteText">
    <w:name w:val="footnote text"/>
    <w:basedOn w:val="Normal"/>
    <w:link w:val="FootnoteTextChar"/>
    <w:uiPriority w:val="99"/>
    <w:unhideWhenUsed/>
    <w:rsid w:val="005D3D44"/>
    <w:pPr>
      <w:spacing w:after="0" w:line="240" w:lineRule="auto"/>
      <w:ind w:left="187" w:hanging="187"/>
    </w:pPr>
    <w:rPr>
      <w:sz w:val="20"/>
      <w:szCs w:val="20"/>
    </w:rPr>
  </w:style>
  <w:style w:type="character" w:customStyle="1" w:styleId="FootnoteTextChar">
    <w:name w:val="Footnote Text Char"/>
    <w:basedOn w:val="DefaultParagraphFont"/>
    <w:link w:val="FootnoteText"/>
    <w:uiPriority w:val="99"/>
    <w:rsid w:val="005D3D44"/>
    <w:rPr>
      <w:rFonts w:eastAsiaTheme="minorHAnsi"/>
      <w:sz w:val="20"/>
      <w:szCs w:val="20"/>
      <w:lang w:val="en-US" w:eastAsia="en-US"/>
    </w:rPr>
  </w:style>
  <w:style w:type="paragraph" w:styleId="ListParagraph">
    <w:name w:val="List Paragraph"/>
    <w:basedOn w:val="Normal"/>
    <w:uiPriority w:val="34"/>
    <w:qFormat/>
    <w:rsid w:val="00180133"/>
    <w:pPr>
      <w:ind w:left="720"/>
      <w:contextualSpacing/>
    </w:pPr>
  </w:style>
  <w:style w:type="character" w:styleId="Hyperlink">
    <w:name w:val="Hyperlink"/>
    <w:basedOn w:val="DefaultParagraphFont"/>
    <w:uiPriority w:val="99"/>
    <w:unhideWhenUsed/>
    <w:rsid w:val="00C305F3"/>
    <w:rPr>
      <w:color w:val="636569" w:themeColor="hyperlink"/>
      <w:u w:val="single"/>
    </w:rPr>
  </w:style>
  <w:style w:type="paragraph" w:styleId="z-TopofForm">
    <w:name w:val="HTML Top of Form"/>
    <w:basedOn w:val="Normal"/>
    <w:next w:val="Normal"/>
    <w:link w:val="z-TopofFormChar"/>
    <w:hidden/>
    <w:uiPriority w:val="99"/>
    <w:semiHidden/>
    <w:unhideWhenUsed/>
    <w:rsid w:val="00C305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05F3"/>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C305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05F3"/>
    <w:rPr>
      <w:rFonts w:ascii="Arial" w:eastAsia="Times New Roman" w:hAnsi="Arial" w:cs="Arial"/>
      <w:vanish/>
      <w:sz w:val="16"/>
      <w:szCs w:val="16"/>
      <w:lang w:val="en-US" w:eastAsia="en-US"/>
    </w:rPr>
  </w:style>
  <w:style w:type="character" w:styleId="Strong">
    <w:name w:val="Strong"/>
    <w:basedOn w:val="DefaultParagraphFont"/>
    <w:uiPriority w:val="22"/>
    <w:qFormat/>
    <w:rsid w:val="00C305F3"/>
    <w:rPr>
      <w:b/>
      <w:bCs/>
    </w:rPr>
  </w:style>
  <w:style w:type="paragraph" w:styleId="NormalWeb">
    <w:name w:val="Normal (Web)"/>
    <w:basedOn w:val="Normal"/>
    <w:uiPriority w:val="99"/>
    <w:unhideWhenUsed/>
    <w:rsid w:val="00C30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
    <w:name w:val="article-author"/>
    <w:basedOn w:val="DefaultParagraphFont"/>
    <w:rsid w:val="00C305F3"/>
  </w:style>
  <w:style w:type="character" w:customStyle="1" w:styleId="article-date">
    <w:name w:val="article-date"/>
    <w:basedOn w:val="DefaultParagraphFont"/>
    <w:rsid w:val="00C305F3"/>
  </w:style>
  <w:style w:type="paragraph" w:customStyle="1" w:styleId="image-caption">
    <w:name w:val="image-caption"/>
    <w:basedOn w:val="Normal"/>
    <w:rsid w:val="00C305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B4"/>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escaum.org/documents/ev-charging-interoperability-reccomendations_5-1-20.pdf/" TargetMode="External"/><Relationship Id="rId1" Type="http://schemas.openxmlformats.org/officeDocument/2006/relationships/hyperlink" Target="https://www.epri.com/research/products/3002017164" TargetMode="External"/></Relationships>
</file>

<file path=word/theme/theme1.xml><?xml version="1.0" encoding="utf-8"?>
<a:theme xmlns:a="http://schemas.openxmlformats.org/drawingml/2006/main" name="1 Firm-Standard">
  <a:themeElements>
    <a:clrScheme name="~BCLP Test 3">
      <a:dk1>
        <a:srgbClr val="636569"/>
      </a:dk1>
      <a:lt1>
        <a:srgbClr val="FFFFFF"/>
      </a:lt1>
      <a:dk2>
        <a:srgbClr val="00587C"/>
      </a:dk2>
      <a:lt2>
        <a:srgbClr val="FFFFFF"/>
      </a:lt2>
      <a:accent1>
        <a:srgbClr val="00587C"/>
      </a:accent1>
      <a:accent2>
        <a:srgbClr val="FF5519"/>
      </a:accent2>
      <a:accent3>
        <a:srgbClr val="FBB034"/>
      </a:accent3>
      <a:accent4>
        <a:srgbClr val="B1DEF8"/>
      </a:accent4>
      <a:accent5>
        <a:srgbClr val="FFCCBA"/>
      </a:accent5>
      <a:accent6>
        <a:srgbClr val="F7CE95"/>
      </a:accent6>
      <a:hlink>
        <a:srgbClr val="636569"/>
      </a:hlink>
      <a:folHlink>
        <a:srgbClr val="00587C"/>
      </a:folHlink>
    </a:clrScheme>
    <a:fontScheme name="1 Firm-Standar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Firm-Standard" id="{3FEEA8AD-058F-48AE-B9DE-B61818CE8E13}" vid="{0EEFDDA8-4CA3-48A4-907A-3E268A18B1E7}"/>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2021-07-06T22:05:00Z</dcterms:created>
  <dcterms:modified xsi:type="dcterms:W3CDTF">2021-07-06T22:05:00Z</dcterms:modified>
</cp:coreProperties>
</file>