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BB5F0" w14:textId="201481E1" w:rsidR="00804AAA" w:rsidRDefault="00FF2ECC" w:rsidP="0031575C">
      <w:pPr>
        <w:rPr>
          <w:rStyle w:val="Hyperlink"/>
          <w:rFonts w:asciiTheme="majorBidi" w:hAnsiTheme="majorBidi" w:cstheme="majorBidi"/>
          <w:sz w:val="24"/>
          <w:szCs w:val="24"/>
        </w:rPr>
      </w:pPr>
      <w:r w:rsidRPr="00FF2ECC">
        <w:rPr>
          <w:rStyle w:val="Hyperlink"/>
          <w:rFonts w:asciiTheme="majorBidi" w:hAnsiTheme="majorBidi" w:cstheme="majorBidi"/>
          <w:sz w:val="24"/>
          <w:szCs w:val="24"/>
        </w:rPr>
        <w:t xml:space="preserve">This document has been prepared as part of the implementation project of Legal Pathways to Deep Decarbonization (Michael B. Gerrard and John C. </w:t>
      </w:r>
      <w:proofErr w:type="spellStart"/>
      <w:r w:rsidRPr="00FF2ECC">
        <w:rPr>
          <w:rStyle w:val="Hyperlink"/>
          <w:rFonts w:asciiTheme="majorBidi" w:hAnsiTheme="majorBidi" w:cstheme="majorBidi"/>
          <w:sz w:val="24"/>
          <w:szCs w:val="24"/>
        </w:rPr>
        <w:t>Dernbach</w:t>
      </w:r>
      <w:proofErr w:type="spellEnd"/>
      <w:r w:rsidRPr="00FF2ECC">
        <w:rPr>
          <w:rStyle w:val="Hyperlink"/>
          <w:rFonts w:asciiTheme="majorBidi" w:hAnsiTheme="majorBidi" w:cstheme="majorBidi"/>
          <w:sz w:val="24"/>
          <w:szCs w:val="24"/>
        </w:rPr>
        <w:t xml:space="preserve">, eds. Environmental Law Institute [2019]) (LPDD).  For background information on the project, see </w:t>
      </w:r>
      <w:hyperlink r:id="rId7" w:history="1">
        <w:r w:rsidRPr="00BF0927">
          <w:rPr>
            <w:rStyle w:val="Hyperlink"/>
            <w:rFonts w:asciiTheme="majorBidi" w:hAnsiTheme="majorBidi" w:cstheme="majorBidi"/>
            <w:sz w:val="24"/>
            <w:szCs w:val="24"/>
          </w:rPr>
          <w:t>https://lpdd.org</w:t>
        </w:r>
      </w:hyperlink>
    </w:p>
    <w:p w14:paraId="59DEA081" w14:textId="77777777" w:rsidR="00FF2ECC" w:rsidRDefault="00FF2ECC" w:rsidP="0031575C">
      <w:pPr>
        <w:rPr>
          <w:rStyle w:val="Hyperlink"/>
          <w:rFonts w:asciiTheme="majorBidi" w:hAnsiTheme="majorBidi" w:cstheme="majorBidi"/>
          <w:sz w:val="24"/>
          <w:szCs w:val="24"/>
        </w:rPr>
      </w:pPr>
    </w:p>
    <w:p w14:paraId="694FB6F7" w14:textId="77777777" w:rsidR="00804AAA" w:rsidRDefault="001E16EA" w:rsidP="00800F2F">
      <w:pPr>
        <w:pStyle w:val="ListParagraph"/>
        <w:numPr>
          <w:ilvl w:val="0"/>
          <w:numId w:val="4"/>
        </w:numPr>
        <w:rPr>
          <w:rStyle w:val="Hyperlink"/>
          <w:rFonts w:asciiTheme="majorBidi" w:hAnsiTheme="majorBidi" w:cstheme="majorBidi"/>
          <w:color w:val="auto"/>
          <w:sz w:val="24"/>
          <w:szCs w:val="24"/>
        </w:rPr>
      </w:pP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</w:rPr>
        <w:t>Additional Definitions</w:t>
      </w:r>
    </w:p>
    <w:p w14:paraId="322B0875" w14:textId="77777777" w:rsidR="00393166" w:rsidRDefault="00393166" w:rsidP="00393166">
      <w:pPr>
        <w:rPr>
          <w:rStyle w:val="Hyperlink"/>
          <w:rFonts w:asciiTheme="majorBidi" w:hAnsiTheme="majorBidi" w:cstheme="majorBidi"/>
          <w:color w:val="auto"/>
          <w:sz w:val="24"/>
          <w:szCs w:val="24"/>
        </w:rPr>
      </w:pPr>
    </w:p>
    <w:p w14:paraId="37F04B78" w14:textId="77777777" w:rsidR="00393166" w:rsidRPr="00393166" w:rsidRDefault="001E16EA" w:rsidP="00230A74">
      <w:pPr>
        <w:jc w:val="both"/>
        <w:rPr>
          <w:rStyle w:val="Hyperlink"/>
          <w:rFonts w:asciiTheme="majorBidi" w:hAnsiTheme="majorBidi" w:cstheme="majorBidi"/>
          <w:color w:val="auto"/>
          <w:sz w:val="24"/>
          <w:szCs w:val="24"/>
        </w:rPr>
      </w:pPr>
      <w:r w:rsidRPr="00385D7A">
        <w:rPr>
          <w:rFonts w:asciiTheme="majorBidi" w:hAnsiTheme="majorBidi" w:cstheme="majorBidi"/>
          <w:bCs/>
          <w:sz w:val="24"/>
          <w:szCs w:val="24"/>
        </w:rPr>
        <w:t xml:space="preserve"> “</w:t>
      </w:r>
      <w:r>
        <w:rPr>
          <w:rFonts w:asciiTheme="majorBidi" w:hAnsiTheme="majorBidi" w:cstheme="majorBidi"/>
          <w:bCs/>
          <w:sz w:val="24"/>
          <w:szCs w:val="24"/>
        </w:rPr>
        <w:t xml:space="preserve">Commercial </w:t>
      </w:r>
      <w:hyperlink r:id="rId8" w:history="1">
        <w:r w:rsidRPr="007D272F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Level 2 Charging</w:t>
        </w:r>
      </w:hyperlink>
      <w: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Equipment</w:t>
      </w:r>
      <w:r w:rsidRPr="00393166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”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means </w:t>
      </w:r>
      <w:r w:rsidR="005653EA">
        <w:rPr>
          <w:rFonts w:asciiTheme="majorBidi" w:hAnsiTheme="majorBidi" w:cstheme="majorBidi"/>
          <w:sz w:val="24"/>
          <w:szCs w:val="24"/>
          <w:shd w:val="clear" w:color="auto" w:fill="FFFFFF"/>
        </w:rPr>
        <w:t>Level 2 Charging Equipment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that</w:t>
      </w:r>
      <w:r w:rsidR="005653EA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="007D272F">
        <w:rPr>
          <w:rFonts w:asciiTheme="majorBidi" w:hAnsiTheme="majorBidi" w:cstheme="majorBidi"/>
          <w:sz w:val="24"/>
          <w:szCs w:val="24"/>
          <w:shd w:val="clear" w:color="auto" w:fill="FFFFFF"/>
        </w:rPr>
        <w:t>is located at a Publicly Available Parking Space</w:t>
      </w:r>
      <w:r w:rsidR="005653EA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and provides electrical power to a plug-in electric vehicle for a monetary charge</w:t>
      </w:r>
      <w:r w:rsidR="005653EA" w:rsidRPr="00385D7A">
        <w:rPr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="007D27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</w:p>
    <w:p w14:paraId="188C01B4" w14:textId="77777777" w:rsidR="00800F2F" w:rsidRDefault="00800F2F" w:rsidP="00230A74">
      <w:pPr>
        <w:jc w:val="both"/>
        <w:rPr>
          <w:rStyle w:val="Hyperlink"/>
          <w:rFonts w:asciiTheme="majorBidi" w:hAnsiTheme="majorBidi" w:cstheme="majorBidi"/>
          <w:sz w:val="24"/>
          <w:szCs w:val="24"/>
        </w:rPr>
      </w:pPr>
    </w:p>
    <w:p w14:paraId="4E2A1854" w14:textId="77777777" w:rsidR="005653EA" w:rsidRPr="004B7B45" w:rsidRDefault="001E16EA" w:rsidP="00230A74">
      <w:pPr>
        <w:jc w:val="both"/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</w:pP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“</w:t>
      </w:r>
      <w:r w:rsidR="00E24F67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Commercial 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DC Fast Charging Equipment” means </w:t>
      </w:r>
      <w: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DC Fast Charging Equipment that</w:t>
      </w:r>
      <w:r w:rsidR="00E24F67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is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</w:t>
      </w:r>
      <w:r w:rsidR="00800F2F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located at a Publicly Available Parking Space</w:t>
      </w:r>
      <w: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and 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provides electrical power for a monetary charge. </w:t>
      </w:r>
    </w:p>
    <w:p w14:paraId="3FF4225C" w14:textId="77777777" w:rsidR="005653EA" w:rsidRDefault="001E16EA" w:rsidP="00230A74">
      <w:pPr>
        <w:jc w:val="both"/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</w:pPr>
      <w: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</w:t>
      </w:r>
      <w:r w:rsidR="00800F2F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</w:t>
      </w:r>
    </w:p>
    <w:p w14:paraId="13D70714" w14:textId="77777777" w:rsidR="00E7094E" w:rsidRDefault="001E16EA" w:rsidP="00230A74">
      <w:pPr>
        <w:jc w:val="both"/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</w:pPr>
      <w: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“DC Fast Charging Equipment” means electric vehicle supply equipment that </w:t>
      </w:r>
      <w:r w:rsidR="00E24F67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is</w:t>
      </w:r>
      <w:r w:rsidR="00800F2F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capable of providing an electric charge to a </w:t>
      </w:r>
      <w:r w:rsidR="007D272F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p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lug-in </w:t>
      </w:r>
      <w:r w:rsidR="007D272F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e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lectric </w:t>
      </w:r>
      <w:r w:rsidR="007D272F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v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ehicle of at least 50 kilowatts of direct current electrical power through a standardized connector, which </w:t>
      </w:r>
      <w:r w:rsidR="00841EA6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equipment 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is approved for installation for this purpose under the National Electric Code through Underwriters Laboratories Certification or equivalent</w:t>
      </w:r>
      <w:r w:rsidR="008826B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.</w:t>
      </w:r>
    </w:p>
    <w:p w14:paraId="3B375412" w14:textId="77777777" w:rsidR="005653EA" w:rsidRDefault="005653EA" w:rsidP="00230A74">
      <w:pPr>
        <w:jc w:val="both"/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</w:pPr>
    </w:p>
    <w:p w14:paraId="54A10D28" w14:textId="77777777" w:rsidR="005653EA" w:rsidRPr="00393166" w:rsidRDefault="001E16EA" w:rsidP="00230A74">
      <w:pPr>
        <w:jc w:val="both"/>
        <w:rPr>
          <w:rStyle w:val="Hyperlink"/>
          <w:rFonts w:asciiTheme="majorBidi" w:hAnsiTheme="majorBidi" w:cstheme="majorBidi"/>
          <w:color w:val="auto"/>
          <w:sz w:val="24"/>
          <w:szCs w:val="24"/>
        </w:rPr>
      </w:pPr>
      <w: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“Level 2 Charging Equipment” means electric vehicle supply equipment that meets </w:t>
      </w:r>
      <w:r w:rsidRPr="00385D7A">
        <w:rPr>
          <w:rFonts w:asciiTheme="majorBidi" w:hAnsiTheme="majorBidi" w:cstheme="majorBidi"/>
          <w:sz w:val="24"/>
          <w:szCs w:val="24"/>
          <w:shd w:val="clear" w:color="auto" w:fill="FFFFFF"/>
        </w:rPr>
        <w:t>the definition of “AC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385D7A">
        <w:rPr>
          <w:rFonts w:asciiTheme="majorBidi" w:hAnsiTheme="majorBidi" w:cstheme="majorBidi"/>
          <w:sz w:val="24"/>
          <w:szCs w:val="24"/>
          <w:shd w:val="clear" w:color="auto" w:fill="FFFFFF"/>
        </w:rPr>
        <w:t>Level 2” as defined in Standard J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>-</w:t>
      </w:r>
      <w:r w:rsidRPr="00385D7A">
        <w:rPr>
          <w:rFonts w:asciiTheme="majorBidi" w:hAnsiTheme="majorBidi" w:cstheme="majorBidi"/>
          <w:sz w:val="24"/>
          <w:szCs w:val="24"/>
          <w:shd w:val="clear" w:color="auto" w:fill="FFFFFF"/>
        </w:rPr>
        <w:t>1772 of SAE International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</w:p>
    <w:p w14:paraId="41829079" w14:textId="77777777" w:rsidR="005653EA" w:rsidRPr="004B7B45" w:rsidRDefault="005653EA" w:rsidP="00230A74">
      <w:pPr>
        <w:jc w:val="both"/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</w:pPr>
    </w:p>
    <w:p w14:paraId="48ED3CBC" w14:textId="77777777" w:rsidR="00220131" w:rsidRPr="004B7B45" w:rsidRDefault="001E16EA" w:rsidP="00230A74">
      <w:pPr>
        <w:jc w:val="both"/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</w:pP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“Publicly Available Parking Space”</w:t>
      </w:r>
      <w:r w:rsidR="00E7094E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means a 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parking space that has been designated by a property owner or a lessee to be available to and accessible by the </w:t>
      </w:r>
      <w:r w:rsidR="00DE1C77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general 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public, and may include</w:t>
      </w:r>
      <w:r w:rsidR="00800F2F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a parking space at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</w:t>
      </w:r>
      <w:r w:rsidR="005B3BA6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an </w:t>
      </w:r>
      <w:r w:rsidR="00800F2F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electric vehicle charging facility, an 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on-street parking space</w:t>
      </w:r>
      <w:r w:rsidR="005B3BA6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, a 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parking space in</w:t>
      </w:r>
      <w:r w:rsidR="005B3BA6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a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surface lot or parking garage</w:t>
      </w:r>
      <w:r w:rsidR="00800F2F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,</w:t>
      </w:r>
      <w:r w:rsidR="005B3BA6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or other area accessible to the</w:t>
      </w:r>
      <w:r w:rsidR="00713690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general</w:t>
      </w:r>
      <w:r w:rsidR="005B3BA6"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public</w:t>
      </w:r>
      <w:r w:rsidRPr="004B7B4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.</w:t>
      </w:r>
    </w:p>
    <w:p w14:paraId="503FDCC6" w14:textId="77777777" w:rsidR="00804AAA" w:rsidRPr="004B7B45" w:rsidRDefault="00804AAA" w:rsidP="0031575C">
      <w:pP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</w:pPr>
    </w:p>
    <w:p w14:paraId="3D058806" w14:textId="77777777" w:rsidR="00297473" w:rsidRPr="002E0039" w:rsidRDefault="001E16EA" w:rsidP="002E0039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u w:val="single"/>
        </w:rPr>
      </w:pPr>
      <w:r w:rsidRPr="002E0039">
        <w:rPr>
          <w:rFonts w:asciiTheme="majorBidi" w:hAnsiTheme="majorBidi" w:cstheme="majorBidi"/>
          <w:sz w:val="24"/>
          <w:szCs w:val="24"/>
          <w:u w:val="single"/>
        </w:rPr>
        <w:t>Interoperability</w:t>
      </w:r>
    </w:p>
    <w:p w14:paraId="18401DD5" w14:textId="77777777" w:rsidR="00297473" w:rsidRDefault="00297473" w:rsidP="00297473">
      <w:pPr>
        <w:rPr>
          <w:rFonts w:asciiTheme="majorBidi" w:hAnsiTheme="majorBidi" w:cstheme="majorBidi"/>
          <w:sz w:val="24"/>
          <w:szCs w:val="24"/>
        </w:rPr>
      </w:pPr>
    </w:p>
    <w:p w14:paraId="6EC52B13" w14:textId="77777777" w:rsidR="00841EA6" w:rsidRDefault="001E16EA" w:rsidP="00230A74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</w:rPr>
      </w:pPr>
      <w:r w:rsidRPr="00841EA6">
        <w:rPr>
          <w:rFonts w:asciiTheme="majorBidi" w:hAnsiTheme="majorBidi" w:cstheme="majorBidi"/>
          <w:sz w:val="24"/>
          <w:szCs w:val="24"/>
        </w:rPr>
        <w:t>Within __</w:t>
      </w:r>
      <w:r w:rsidR="00220131" w:rsidRPr="00841EA6">
        <w:rPr>
          <w:rFonts w:asciiTheme="majorBidi" w:hAnsiTheme="majorBidi" w:cstheme="majorBidi"/>
          <w:sz w:val="24"/>
          <w:szCs w:val="24"/>
        </w:rPr>
        <w:t xml:space="preserve"> months of enactment, the Secretar</w:t>
      </w:r>
      <w:r w:rsidR="001E3537" w:rsidRPr="00841EA6">
        <w:rPr>
          <w:rFonts w:asciiTheme="majorBidi" w:hAnsiTheme="majorBidi" w:cstheme="majorBidi"/>
          <w:sz w:val="24"/>
          <w:szCs w:val="24"/>
        </w:rPr>
        <w:t xml:space="preserve">y shall promulgate regulations adopting minimum interoperability </w:t>
      </w:r>
      <w:r w:rsidR="00D45AE7" w:rsidRPr="00841EA6">
        <w:rPr>
          <w:rFonts w:asciiTheme="majorBidi" w:hAnsiTheme="majorBidi" w:cstheme="majorBidi"/>
          <w:sz w:val="24"/>
          <w:szCs w:val="24"/>
        </w:rPr>
        <w:t xml:space="preserve">criteria </w:t>
      </w:r>
      <w:r w:rsidR="001E3537" w:rsidRPr="00841EA6">
        <w:rPr>
          <w:rFonts w:asciiTheme="majorBidi" w:hAnsiTheme="majorBidi" w:cstheme="majorBidi"/>
          <w:sz w:val="24"/>
          <w:szCs w:val="24"/>
        </w:rPr>
        <w:t>for</w:t>
      </w:r>
      <w:r w:rsidR="00297473" w:rsidRPr="00841EA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Level 2 Charging Equipment and DC Fast Charging Equipment receiving incentives under this Act. </w:t>
      </w:r>
    </w:p>
    <w:p w14:paraId="1D1268AC" w14:textId="77777777" w:rsidR="00220131" w:rsidRPr="00841EA6" w:rsidRDefault="001E16EA" w:rsidP="00230A74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regulations promulgated by the Secretary under Section (A)</w:t>
      </w:r>
      <w:r w:rsidR="001E3537" w:rsidRPr="00841EA6">
        <w:rPr>
          <w:rFonts w:asciiTheme="majorBidi" w:hAnsiTheme="majorBidi" w:cstheme="majorBidi"/>
          <w:sz w:val="24"/>
          <w:szCs w:val="24"/>
        </w:rPr>
        <w:t xml:space="preserve"> shall </w:t>
      </w:r>
      <w:r w:rsidR="00F32F59">
        <w:rPr>
          <w:rFonts w:asciiTheme="majorBidi" w:hAnsiTheme="majorBidi" w:cstheme="majorBidi"/>
          <w:sz w:val="24"/>
          <w:szCs w:val="24"/>
        </w:rPr>
        <w:t xml:space="preserve">provide that Commercial Level 2 Charging Equipment and Commercial DC Fast Charging Equipment shall be </w:t>
      </w:r>
      <w:r w:rsidR="001E3537" w:rsidRPr="00841EA6">
        <w:rPr>
          <w:rFonts w:asciiTheme="majorBidi" w:hAnsiTheme="majorBidi" w:cstheme="majorBidi"/>
          <w:sz w:val="24"/>
          <w:szCs w:val="24"/>
        </w:rPr>
        <w:t xml:space="preserve">eligible for such incentives only if </w:t>
      </w:r>
      <w:r w:rsidR="00EF484B" w:rsidRPr="00841EA6">
        <w:rPr>
          <w:rFonts w:asciiTheme="majorBidi" w:hAnsiTheme="majorBidi" w:cstheme="majorBidi"/>
          <w:sz w:val="24"/>
          <w:szCs w:val="24"/>
        </w:rPr>
        <w:t>it is</w:t>
      </w:r>
      <w:r w:rsidR="00436248" w:rsidRPr="00841EA6">
        <w:rPr>
          <w:rFonts w:asciiTheme="majorBidi" w:hAnsiTheme="majorBidi" w:cstheme="majorBidi"/>
          <w:sz w:val="24"/>
          <w:szCs w:val="24"/>
        </w:rPr>
        <w:t>:</w:t>
      </w:r>
    </w:p>
    <w:p w14:paraId="66465032" w14:textId="77777777" w:rsidR="00315394" w:rsidRPr="004B7B45" w:rsidRDefault="001E16EA" w:rsidP="00230A74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4B7B45">
        <w:rPr>
          <w:rFonts w:asciiTheme="majorBidi" w:hAnsiTheme="majorBidi" w:cstheme="majorBidi"/>
          <w:sz w:val="24"/>
          <w:szCs w:val="24"/>
        </w:rPr>
        <w:t>equipped and available for use by</w:t>
      </w:r>
      <w:r w:rsidR="00DB1DDF" w:rsidRPr="004B7B45">
        <w:rPr>
          <w:rFonts w:asciiTheme="majorBidi" w:hAnsiTheme="majorBidi" w:cstheme="majorBidi"/>
          <w:sz w:val="24"/>
          <w:szCs w:val="24"/>
        </w:rPr>
        <w:t xml:space="preserve"> all drivers regardless of network memberships or subscriptions</w:t>
      </w:r>
      <w:r w:rsidR="00436248" w:rsidRPr="004B7B45">
        <w:rPr>
          <w:rFonts w:asciiTheme="majorBidi" w:hAnsiTheme="majorBidi" w:cstheme="majorBidi"/>
          <w:sz w:val="24"/>
          <w:szCs w:val="24"/>
        </w:rPr>
        <w:t xml:space="preserve"> </w:t>
      </w:r>
      <w:r w:rsidRPr="004B7B45">
        <w:rPr>
          <w:rFonts w:asciiTheme="majorBidi" w:hAnsiTheme="majorBidi" w:cstheme="majorBidi"/>
          <w:sz w:val="24"/>
          <w:szCs w:val="24"/>
        </w:rPr>
        <w:t xml:space="preserve">and </w:t>
      </w:r>
      <w:r w:rsidR="00436248" w:rsidRPr="004B7B45">
        <w:rPr>
          <w:rFonts w:asciiTheme="majorBidi" w:hAnsiTheme="majorBidi" w:cstheme="majorBidi"/>
          <w:sz w:val="24"/>
          <w:szCs w:val="24"/>
        </w:rPr>
        <w:t>without payment of</w:t>
      </w:r>
      <w:r w:rsidR="00DB1DDF" w:rsidRPr="004B7B45">
        <w:rPr>
          <w:rFonts w:asciiTheme="majorBidi" w:hAnsiTheme="majorBidi" w:cstheme="majorBidi"/>
          <w:sz w:val="24"/>
          <w:szCs w:val="24"/>
        </w:rPr>
        <w:t xml:space="preserve"> a subscription fee or membership in any network, club, association, or organization as a condition of using such </w:t>
      </w:r>
      <w:r w:rsidR="0047017B">
        <w:rPr>
          <w:rFonts w:asciiTheme="majorBidi" w:hAnsiTheme="majorBidi" w:cstheme="majorBidi"/>
          <w:sz w:val="24"/>
          <w:szCs w:val="24"/>
        </w:rPr>
        <w:t>e</w:t>
      </w:r>
      <w:r w:rsidR="00C75FF6" w:rsidRPr="004B7B45">
        <w:rPr>
          <w:rFonts w:asciiTheme="majorBidi" w:hAnsiTheme="majorBidi" w:cstheme="majorBidi"/>
          <w:sz w:val="24"/>
          <w:szCs w:val="24"/>
        </w:rPr>
        <w:t>quipment</w:t>
      </w:r>
      <w:r w:rsidR="00DB1DDF" w:rsidRPr="004B7B45">
        <w:rPr>
          <w:rFonts w:asciiTheme="majorBidi" w:hAnsiTheme="majorBidi" w:cstheme="majorBidi"/>
          <w:sz w:val="24"/>
          <w:szCs w:val="24"/>
        </w:rPr>
        <w:t xml:space="preserve">; provided, however, that </w:t>
      </w:r>
      <w:r w:rsidR="0047017B">
        <w:rPr>
          <w:rFonts w:asciiTheme="majorBidi" w:hAnsiTheme="majorBidi" w:cstheme="majorBidi"/>
          <w:sz w:val="24"/>
          <w:szCs w:val="24"/>
        </w:rPr>
        <w:t xml:space="preserve">Commercial Level 2 Charging Equipment and </w:t>
      </w:r>
      <w:r w:rsidRPr="004B7B45">
        <w:rPr>
          <w:rFonts w:asciiTheme="majorBidi" w:hAnsiTheme="majorBidi" w:cstheme="majorBidi"/>
          <w:sz w:val="24"/>
          <w:szCs w:val="24"/>
        </w:rPr>
        <w:t xml:space="preserve">Commercial </w:t>
      </w:r>
      <w:r w:rsidR="005E3D85" w:rsidRPr="004B7B45">
        <w:rPr>
          <w:rFonts w:asciiTheme="majorBidi" w:hAnsiTheme="majorBidi" w:cstheme="majorBidi"/>
          <w:sz w:val="24"/>
          <w:szCs w:val="24"/>
        </w:rPr>
        <w:t xml:space="preserve">DC Fast Charging Equipment </w:t>
      </w:r>
      <w:r w:rsidR="00DB1DDF" w:rsidRPr="004B7B45">
        <w:rPr>
          <w:rFonts w:asciiTheme="majorBidi" w:hAnsiTheme="majorBidi" w:cstheme="majorBidi"/>
          <w:sz w:val="24"/>
          <w:szCs w:val="24"/>
        </w:rPr>
        <w:t xml:space="preserve">may </w:t>
      </w:r>
      <w:r w:rsidR="00766437">
        <w:rPr>
          <w:rFonts w:asciiTheme="majorBidi" w:hAnsiTheme="majorBidi" w:cstheme="majorBidi"/>
          <w:sz w:val="24"/>
          <w:szCs w:val="24"/>
        </w:rPr>
        <w:t xml:space="preserve">be </w:t>
      </w:r>
      <w:r w:rsidR="008826B7">
        <w:rPr>
          <w:rFonts w:asciiTheme="majorBidi" w:hAnsiTheme="majorBidi" w:cstheme="majorBidi"/>
          <w:sz w:val="24"/>
          <w:szCs w:val="24"/>
        </w:rPr>
        <w:t>programmed</w:t>
      </w:r>
      <w:r w:rsidR="00766437">
        <w:rPr>
          <w:rFonts w:asciiTheme="majorBidi" w:hAnsiTheme="majorBidi" w:cstheme="majorBidi"/>
          <w:sz w:val="24"/>
          <w:szCs w:val="24"/>
        </w:rPr>
        <w:t xml:space="preserve"> to </w:t>
      </w:r>
      <w:r w:rsidR="003B1A78" w:rsidRPr="004B7B45">
        <w:rPr>
          <w:rFonts w:asciiTheme="majorBidi" w:hAnsiTheme="majorBidi" w:cstheme="majorBidi"/>
          <w:sz w:val="24"/>
          <w:szCs w:val="24"/>
        </w:rPr>
        <w:t xml:space="preserve">charge </w:t>
      </w:r>
      <w:r w:rsidR="00510D7D" w:rsidRPr="004B7B45">
        <w:rPr>
          <w:rFonts w:asciiTheme="majorBidi" w:hAnsiTheme="majorBidi" w:cstheme="majorBidi"/>
          <w:sz w:val="24"/>
          <w:szCs w:val="24"/>
        </w:rPr>
        <w:t xml:space="preserve">for electrical power </w:t>
      </w:r>
      <w:r w:rsidR="003B1A78" w:rsidRPr="004B7B45">
        <w:rPr>
          <w:rFonts w:asciiTheme="majorBidi" w:hAnsiTheme="majorBidi" w:cstheme="majorBidi"/>
          <w:sz w:val="24"/>
          <w:szCs w:val="24"/>
        </w:rPr>
        <w:t>pursuant to</w:t>
      </w:r>
      <w:r w:rsidR="00DB1DDF" w:rsidRPr="004B7B45">
        <w:rPr>
          <w:rFonts w:asciiTheme="majorBidi" w:hAnsiTheme="majorBidi" w:cstheme="majorBidi"/>
          <w:sz w:val="24"/>
          <w:szCs w:val="24"/>
        </w:rPr>
        <w:t xml:space="preserve"> separate price schedules </w:t>
      </w:r>
      <w:r w:rsidR="00E30220" w:rsidRPr="004B7B45">
        <w:rPr>
          <w:rFonts w:asciiTheme="majorBidi" w:hAnsiTheme="majorBidi" w:cstheme="majorBidi"/>
          <w:sz w:val="24"/>
          <w:szCs w:val="24"/>
        </w:rPr>
        <w:t>keyed to</w:t>
      </w:r>
      <w:r w:rsidR="00DB1DDF" w:rsidRPr="004B7B45">
        <w:rPr>
          <w:rFonts w:asciiTheme="majorBidi" w:hAnsiTheme="majorBidi" w:cstheme="majorBidi"/>
          <w:sz w:val="24"/>
          <w:szCs w:val="24"/>
        </w:rPr>
        <w:t xml:space="preserve"> a subscription or membership</w:t>
      </w:r>
      <w:r w:rsidR="00B278CB">
        <w:rPr>
          <w:rFonts w:asciiTheme="majorBidi" w:hAnsiTheme="majorBidi" w:cstheme="majorBidi"/>
          <w:sz w:val="24"/>
          <w:szCs w:val="24"/>
        </w:rPr>
        <w:t xml:space="preserve">; </w:t>
      </w:r>
      <w:r w:rsidR="008826B7">
        <w:rPr>
          <w:rFonts w:asciiTheme="majorBidi" w:hAnsiTheme="majorBidi" w:cstheme="majorBidi"/>
          <w:sz w:val="24"/>
          <w:szCs w:val="24"/>
        </w:rPr>
        <w:t>and</w:t>
      </w:r>
    </w:p>
    <w:p w14:paraId="327F7378" w14:textId="77777777" w:rsidR="007F6387" w:rsidRDefault="001E16EA" w:rsidP="00230A74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436248">
        <w:rPr>
          <w:rFonts w:asciiTheme="majorBidi" w:hAnsiTheme="majorBidi" w:cstheme="majorBidi"/>
          <w:sz w:val="24"/>
          <w:szCs w:val="24"/>
        </w:rPr>
        <w:t xml:space="preserve">equipped with a credit card reader </w:t>
      </w:r>
      <w:r w:rsidR="00EF484B">
        <w:rPr>
          <w:rFonts w:asciiTheme="majorBidi" w:hAnsiTheme="majorBidi" w:cstheme="majorBidi"/>
          <w:sz w:val="24"/>
          <w:szCs w:val="24"/>
        </w:rPr>
        <w:t>and capable of accepting payment</w:t>
      </w:r>
      <w:r w:rsidRPr="00436248">
        <w:rPr>
          <w:rFonts w:asciiTheme="majorBidi" w:hAnsiTheme="majorBidi" w:cstheme="majorBidi"/>
          <w:sz w:val="24"/>
          <w:szCs w:val="24"/>
        </w:rPr>
        <w:t xml:space="preserve"> using chip and tap credit and debit cards without incurring excessive fees, inconvenience or delays compared to other payment methods</w:t>
      </w:r>
      <w:r w:rsidR="00436248">
        <w:rPr>
          <w:rFonts w:asciiTheme="majorBidi" w:hAnsiTheme="majorBidi" w:cstheme="majorBidi"/>
          <w:sz w:val="24"/>
          <w:szCs w:val="24"/>
        </w:rPr>
        <w:t xml:space="preserve">; </w:t>
      </w:r>
      <w:r w:rsidR="005E3D85">
        <w:rPr>
          <w:rFonts w:asciiTheme="majorBidi" w:hAnsiTheme="majorBidi" w:cstheme="majorBidi"/>
          <w:sz w:val="24"/>
          <w:szCs w:val="24"/>
        </w:rPr>
        <w:t>(</w:t>
      </w:r>
      <w:r w:rsidR="005A0D6F">
        <w:rPr>
          <w:rFonts w:asciiTheme="majorBidi" w:hAnsiTheme="majorBidi" w:cstheme="majorBidi"/>
          <w:sz w:val="24"/>
          <w:szCs w:val="24"/>
        </w:rPr>
        <w:t>b</w:t>
      </w:r>
      <w:r w:rsidR="005E3D85">
        <w:rPr>
          <w:rFonts w:asciiTheme="majorBidi" w:hAnsiTheme="majorBidi" w:cstheme="majorBidi"/>
          <w:sz w:val="24"/>
          <w:szCs w:val="24"/>
        </w:rPr>
        <w:t xml:space="preserve">) equipped and capable of </w:t>
      </w:r>
      <w:r w:rsidR="00E30220">
        <w:rPr>
          <w:rFonts w:asciiTheme="majorBidi" w:hAnsiTheme="majorBidi" w:cstheme="majorBidi"/>
          <w:sz w:val="24"/>
          <w:szCs w:val="24"/>
        </w:rPr>
        <w:t>accepting</w:t>
      </w:r>
      <w:r w:rsidR="005E3D85">
        <w:rPr>
          <w:rFonts w:asciiTheme="majorBidi" w:hAnsiTheme="majorBidi" w:cstheme="majorBidi"/>
          <w:sz w:val="24"/>
          <w:szCs w:val="24"/>
        </w:rPr>
        <w:t xml:space="preserve"> payment by means of universal roaming, whereby payments are processed through the exchange of billing information among </w:t>
      </w:r>
      <w:r w:rsidR="008826B7">
        <w:rPr>
          <w:rFonts w:asciiTheme="majorBidi" w:hAnsiTheme="majorBidi" w:cstheme="majorBidi"/>
          <w:sz w:val="24"/>
          <w:szCs w:val="24"/>
        </w:rPr>
        <w:t>electric vehicle</w:t>
      </w:r>
      <w:r w:rsidR="005E3D85">
        <w:rPr>
          <w:rFonts w:asciiTheme="majorBidi" w:hAnsiTheme="majorBidi" w:cstheme="majorBidi"/>
          <w:sz w:val="24"/>
          <w:szCs w:val="24"/>
        </w:rPr>
        <w:t xml:space="preserve"> charging networks</w:t>
      </w:r>
      <w:r w:rsidR="00C75FF6">
        <w:rPr>
          <w:rFonts w:asciiTheme="majorBidi" w:hAnsiTheme="majorBidi" w:cstheme="majorBidi"/>
          <w:sz w:val="24"/>
          <w:szCs w:val="24"/>
        </w:rPr>
        <w:t xml:space="preserve">; </w:t>
      </w:r>
      <w:r w:rsidR="009637C2">
        <w:rPr>
          <w:rFonts w:asciiTheme="majorBidi" w:hAnsiTheme="majorBidi" w:cstheme="majorBidi"/>
          <w:sz w:val="24"/>
          <w:szCs w:val="24"/>
        </w:rPr>
        <w:t>or (</w:t>
      </w:r>
      <w:r w:rsidR="005A0D6F">
        <w:rPr>
          <w:rFonts w:asciiTheme="majorBidi" w:hAnsiTheme="majorBidi" w:cstheme="majorBidi"/>
          <w:sz w:val="24"/>
          <w:szCs w:val="24"/>
        </w:rPr>
        <w:t>c</w:t>
      </w:r>
      <w:r w:rsidR="009637C2">
        <w:rPr>
          <w:rFonts w:asciiTheme="majorBidi" w:hAnsiTheme="majorBidi" w:cstheme="majorBidi"/>
          <w:sz w:val="24"/>
          <w:szCs w:val="24"/>
        </w:rPr>
        <w:t xml:space="preserve">) capable of </w:t>
      </w:r>
      <w:r w:rsidR="009637C2">
        <w:rPr>
          <w:rFonts w:asciiTheme="majorBidi" w:hAnsiTheme="majorBidi" w:cstheme="majorBidi"/>
          <w:sz w:val="24"/>
          <w:szCs w:val="24"/>
        </w:rPr>
        <w:lastRenderedPageBreak/>
        <w:t xml:space="preserve">accepting payment by another means determined by the Secretary to facilitate the convenient use of </w:t>
      </w:r>
      <w:r w:rsidR="0047017B">
        <w:rPr>
          <w:rFonts w:asciiTheme="majorBidi" w:hAnsiTheme="majorBidi" w:cstheme="majorBidi"/>
          <w:sz w:val="24"/>
          <w:szCs w:val="24"/>
        </w:rPr>
        <w:t>Commercial Level 2 Charging Equipment and Commercial DC Fast Charging Equipment</w:t>
      </w:r>
      <w:r w:rsidR="009637C2">
        <w:rPr>
          <w:rFonts w:asciiTheme="majorBidi" w:hAnsiTheme="majorBidi" w:cstheme="majorBidi"/>
          <w:sz w:val="24"/>
          <w:szCs w:val="24"/>
        </w:rPr>
        <w:t xml:space="preserve"> by the general public</w:t>
      </w:r>
      <w:r w:rsidR="006E328F">
        <w:rPr>
          <w:rFonts w:asciiTheme="majorBidi" w:hAnsiTheme="majorBidi" w:cstheme="majorBidi"/>
          <w:sz w:val="24"/>
          <w:szCs w:val="24"/>
        </w:rPr>
        <w:t>.</w:t>
      </w:r>
    </w:p>
    <w:p w14:paraId="5E7D8C3F" w14:textId="77777777" w:rsidR="0025379A" w:rsidRDefault="001E16EA" w:rsidP="006F0024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</w:t>
      </w:r>
      <w:r w:rsidR="00F32F59">
        <w:rPr>
          <w:rFonts w:asciiTheme="majorBidi" w:hAnsiTheme="majorBidi" w:cstheme="majorBidi"/>
          <w:sz w:val="24"/>
          <w:szCs w:val="24"/>
        </w:rPr>
        <w:t>C</w:t>
      </w:r>
      <w:r>
        <w:rPr>
          <w:rFonts w:asciiTheme="majorBidi" w:hAnsiTheme="majorBidi" w:cstheme="majorBidi"/>
          <w:sz w:val="24"/>
          <w:szCs w:val="24"/>
        </w:rPr>
        <w:t xml:space="preserve">) </w:t>
      </w:r>
      <w:r w:rsidR="006E328F">
        <w:rPr>
          <w:rFonts w:asciiTheme="majorBidi" w:hAnsiTheme="majorBidi" w:cstheme="majorBidi"/>
          <w:sz w:val="24"/>
          <w:szCs w:val="24"/>
        </w:rPr>
        <w:t xml:space="preserve">The regulations promulgated by the Secretary under Section </w:t>
      </w:r>
      <w:r w:rsidR="00766437">
        <w:rPr>
          <w:rFonts w:asciiTheme="majorBidi" w:hAnsiTheme="majorBidi" w:cstheme="majorBidi"/>
          <w:sz w:val="24"/>
          <w:szCs w:val="24"/>
        </w:rPr>
        <w:t>(</w:t>
      </w:r>
      <w:r w:rsidR="006E328F">
        <w:rPr>
          <w:rFonts w:asciiTheme="majorBidi" w:hAnsiTheme="majorBidi" w:cstheme="majorBidi"/>
          <w:sz w:val="24"/>
          <w:szCs w:val="24"/>
        </w:rPr>
        <w:t>A</w:t>
      </w:r>
      <w:r w:rsidR="00766437">
        <w:rPr>
          <w:rFonts w:asciiTheme="majorBidi" w:hAnsiTheme="majorBidi" w:cstheme="majorBidi"/>
          <w:sz w:val="24"/>
          <w:szCs w:val="24"/>
        </w:rPr>
        <w:t>)</w:t>
      </w:r>
      <w:r w:rsidR="00F32F59">
        <w:rPr>
          <w:rFonts w:asciiTheme="majorBidi" w:hAnsiTheme="majorBidi" w:cstheme="majorBidi"/>
          <w:sz w:val="24"/>
          <w:szCs w:val="24"/>
        </w:rPr>
        <w:t xml:space="preserve"> shall further provide that</w:t>
      </w:r>
      <w:r w:rsidR="006E328F">
        <w:rPr>
          <w:rFonts w:asciiTheme="majorBidi" w:hAnsiTheme="majorBidi" w:cstheme="majorBidi"/>
          <w:sz w:val="24"/>
          <w:szCs w:val="24"/>
        </w:rPr>
        <w:t xml:space="preserve"> </w:t>
      </w:r>
      <w:r w:rsidR="00F32F59">
        <w:rPr>
          <w:rFonts w:asciiTheme="majorBidi" w:hAnsiTheme="majorBidi" w:cstheme="majorBidi"/>
          <w:sz w:val="24"/>
          <w:szCs w:val="24"/>
        </w:rPr>
        <w:t xml:space="preserve">Level 2 Charging Equipment </w:t>
      </w:r>
      <w:r w:rsidR="0038091D">
        <w:rPr>
          <w:rFonts w:asciiTheme="majorBidi" w:hAnsiTheme="majorBidi" w:cstheme="majorBidi"/>
          <w:sz w:val="24"/>
          <w:szCs w:val="24"/>
        </w:rPr>
        <w:t>or</w:t>
      </w:r>
      <w:r w:rsidR="00F32F59">
        <w:rPr>
          <w:rFonts w:asciiTheme="majorBidi" w:hAnsiTheme="majorBidi" w:cstheme="majorBidi"/>
          <w:sz w:val="24"/>
          <w:szCs w:val="24"/>
        </w:rPr>
        <w:t xml:space="preserve"> DC Fast Charging Equipment shall be eligible for incentives under this Act only if it is</w:t>
      </w:r>
      <w:r w:rsidR="007F6387" w:rsidRPr="00841EA6">
        <w:rPr>
          <w:rFonts w:asciiTheme="majorBidi" w:hAnsiTheme="majorBidi" w:cstheme="majorBidi"/>
          <w:sz w:val="24"/>
          <w:szCs w:val="24"/>
        </w:rPr>
        <w:t xml:space="preserve"> equipped to be compliant with </w:t>
      </w:r>
      <w:r w:rsidR="008826B7">
        <w:rPr>
          <w:rFonts w:asciiTheme="majorBidi" w:hAnsiTheme="majorBidi" w:cstheme="majorBidi"/>
          <w:sz w:val="24"/>
          <w:szCs w:val="24"/>
        </w:rPr>
        <w:t>generally recognized</w:t>
      </w:r>
      <w:r w:rsidR="00B55CE2" w:rsidRPr="00841EA6">
        <w:rPr>
          <w:rFonts w:asciiTheme="majorBidi" w:hAnsiTheme="majorBidi" w:cstheme="majorBidi"/>
          <w:sz w:val="24"/>
          <w:szCs w:val="24"/>
        </w:rPr>
        <w:t xml:space="preserve"> open standard protocol</w:t>
      </w:r>
      <w:r w:rsidR="006F0024">
        <w:rPr>
          <w:rFonts w:asciiTheme="majorBidi" w:hAnsiTheme="majorBidi" w:cstheme="majorBidi"/>
          <w:sz w:val="24"/>
          <w:szCs w:val="24"/>
        </w:rPr>
        <w:t>s</w:t>
      </w:r>
      <w:r w:rsidR="00B55CE2" w:rsidRPr="00841EA6">
        <w:rPr>
          <w:rFonts w:asciiTheme="majorBidi" w:hAnsiTheme="majorBidi" w:cstheme="majorBidi"/>
          <w:sz w:val="24"/>
          <w:szCs w:val="24"/>
        </w:rPr>
        <w:t xml:space="preserve"> </w:t>
      </w:r>
      <w:r w:rsidR="00182481">
        <w:rPr>
          <w:rFonts w:asciiTheme="majorBidi" w:hAnsiTheme="majorBidi" w:cstheme="majorBidi"/>
          <w:sz w:val="24"/>
          <w:szCs w:val="24"/>
        </w:rPr>
        <w:t>allowing such</w:t>
      </w:r>
      <w:r w:rsidR="006E328F">
        <w:rPr>
          <w:rFonts w:asciiTheme="majorBidi" w:hAnsiTheme="majorBidi" w:cstheme="majorBidi"/>
          <w:sz w:val="24"/>
          <w:szCs w:val="24"/>
        </w:rPr>
        <w:t xml:space="preserve"> </w:t>
      </w:r>
      <w:r w:rsidR="00B55CE2" w:rsidRPr="00841EA6">
        <w:rPr>
          <w:rFonts w:asciiTheme="majorBidi" w:hAnsiTheme="majorBidi" w:cstheme="majorBidi"/>
          <w:sz w:val="24"/>
          <w:szCs w:val="24"/>
        </w:rPr>
        <w:t xml:space="preserve">Level 2 Charging Equipment </w:t>
      </w:r>
      <w:r w:rsidR="0038091D">
        <w:rPr>
          <w:rFonts w:asciiTheme="majorBidi" w:hAnsiTheme="majorBidi" w:cstheme="majorBidi"/>
          <w:sz w:val="24"/>
          <w:szCs w:val="24"/>
        </w:rPr>
        <w:t>or</w:t>
      </w:r>
      <w:r w:rsidR="00B55CE2" w:rsidRPr="00841EA6">
        <w:rPr>
          <w:rFonts w:asciiTheme="majorBidi" w:hAnsiTheme="majorBidi" w:cstheme="majorBidi"/>
          <w:sz w:val="24"/>
          <w:szCs w:val="24"/>
        </w:rPr>
        <w:t xml:space="preserve"> DC Fast Charging Equipment </w:t>
      </w:r>
      <w:r w:rsidR="00182481">
        <w:rPr>
          <w:rFonts w:asciiTheme="majorBidi" w:hAnsiTheme="majorBidi" w:cstheme="majorBidi"/>
          <w:sz w:val="24"/>
          <w:szCs w:val="24"/>
        </w:rPr>
        <w:t>to be</w:t>
      </w:r>
      <w:r w:rsidR="00B55CE2" w:rsidRPr="00841EA6">
        <w:rPr>
          <w:rFonts w:asciiTheme="majorBidi" w:hAnsiTheme="majorBidi" w:cstheme="majorBidi"/>
          <w:sz w:val="24"/>
          <w:szCs w:val="24"/>
        </w:rPr>
        <w:t xml:space="preserve"> technologically</w:t>
      </w:r>
      <w:r w:rsidR="00255E8E">
        <w:rPr>
          <w:rFonts w:asciiTheme="majorBidi" w:hAnsiTheme="majorBidi" w:cstheme="majorBidi"/>
          <w:sz w:val="24"/>
          <w:szCs w:val="24"/>
        </w:rPr>
        <w:t xml:space="preserve"> capable</w:t>
      </w:r>
      <w:r>
        <w:rPr>
          <w:rFonts w:asciiTheme="majorBidi" w:hAnsiTheme="majorBidi" w:cstheme="majorBidi"/>
          <w:sz w:val="24"/>
          <w:szCs w:val="24"/>
        </w:rPr>
        <w:t>, without significant modification,</w:t>
      </w:r>
      <w:r w:rsidR="00255E8E">
        <w:rPr>
          <w:rFonts w:asciiTheme="majorBidi" w:hAnsiTheme="majorBidi" w:cstheme="majorBidi"/>
          <w:sz w:val="24"/>
          <w:szCs w:val="24"/>
        </w:rPr>
        <w:t xml:space="preserve"> of </w:t>
      </w:r>
      <w:r w:rsidR="0038091D">
        <w:rPr>
          <w:rFonts w:asciiTheme="majorBidi" w:hAnsiTheme="majorBidi" w:cstheme="majorBidi"/>
          <w:sz w:val="24"/>
          <w:szCs w:val="24"/>
        </w:rPr>
        <w:t>switching from one electric vehicle</w:t>
      </w:r>
      <w:r w:rsidR="00255E8E">
        <w:rPr>
          <w:rFonts w:asciiTheme="majorBidi" w:hAnsiTheme="majorBidi" w:cstheme="majorBidi"/>
          <w:sz w:val="24"/>
          <w:szCs w:val="24"/>
        </w:rPr>
        <w:t xml:space="preserve"> charging </w:t>
      </w:r>
      <w:r w:rsidR="00B55CE2" w:rsidRPr="00841EA6">
        <w:rPr>
          <w:rFonts w:asciiTheme="majorBidi" w:hAnsiTheme="majorBidi" w:cstheme="majorBidi"/>
          <w:sz w:val="24"/>
          <w:szCs w:val="24"/>
        </w:rPr>
        <w:t>network</w:t>
      </w:r>
      <w:r w:rsidR="0038091D">
        <w:rPr>
          <w:rFonts w:asciiTheme="majorBidi" w:hAnsiTheme="majorBidi" w:cstheme="majorBidi"/>
          <w:sz w:val="24"/>
          <w:szCs w:val="24"/>
        </w:rPr>
        <w:t xml:space="preserve"> to another in </w:t>
      </w:r>
      <w:r w:rsidR="00893BF5">
        <w:rPr>
          <w:rFonts w:asciiTheme="majorBidi" w:hAnsiTheme="majorBidi" w:cstheme="majorBidi"/>
          <w:sz w:val="24"/>
          <w:szCs w:val="24"/>
        </w:rPr>
        <w:t xml:space="preserve">the </w:t>
      </w:r>
      <w:r w:rsidR="00B55CE2" w:rsidRPr="00841EA6">
        <w:rPr>
          <w:rFonts w:asciiTheme="majorBidi" w:hAnsiTheme="majorBidi" w:cstheme="majorBidi"/>
          <w:sz w:val="24"/>
          <w:szCs w:val="24"/>
        </w:rPr>
        <w:t xml:space="preserve">event </w:t>
      </w:r>
      <w:r w:rsidR="00766437">
        <w:rPr>
          <w:rFonts w:asciiTheme="majorBidi" w:hAnsiTheme="majorBidi" w:cstheme="majorBidi"/>
          <w:sz w:val="24"/>
          <w:szCs w:val="24"/>
        </w:rPr>
        <w:t xml:space="preserve">that </w:t>
      </w:r>
      <w:r w:rsidR="00B55CE2" w:rsidRPr="00841EA6">
        <w:rPr>
          <w:rFonts w:asciiTheme="majorBidi" w:hAnsiTheme="majorBidi" w:cstheme="majorBidi"/>
          <w:sz w:val="24"/>
          <w:szCs w:val="24"/>
        </w:rPr>
        <w:t>the owner or operator of such equi</w:t>
      </w:r>
      <w:r>
        <w:rPr>
          <w:rFonts w:asciiTheme="majorBidi" w:hAnsiTheme="majorBidi" w:cstheme="majorBidi"/>
          <w:sz w:val="24"/>
          <w:szCs w:val="24"/>
        </w:rPr>
        <w:t xml:space="preserve">pment elects to </w:t>
      </w:r>
      <w:r w:rsidR="0038091D">
        <w:rPr>
          <w:rFonts w:asciiTheme="majorBidi" w:hAnsiTheme="majorBidi" w:cstheme="majorBidi"/>
          <w:sz w:val="24"/>
          <w:szCs w:val="24"/>
        </w:rPr>
        <w:t xml:space="preserve">do so. </w:t>
      </w:r>
    </w:p>
    <w:p w14:paraId="117A3BEF" w14:textId="77777777" w:rsidR="00DB1DDF" w:rsidRPr="00841EA6" w:rsidRDefault="001E16EA" w:rsidP="00230A74">
      <w:pPr>
        <w:jc w:val="both"/>
        <w:rPr>
          <w:rFonts w:asciiTheme="majorBidi" w:hAnsiTheme="majorBidi" w:cstheme="majorBidi"/>
          <w:sz w:val="24"/>
          <w:szCs w:val="24"/>
        </w:rPr>
      </w:pPr>
      <w:r w:rsidRPr="00841EA6">
        <w:rPr>
          <w:rFonts w:asciiTheme="majorBidi" w:hAnsiTheme="majorBidi" w:cstheme="majorBidi"/>
          <w:sz w:val="24"/>
          <w:szCs w:val="24"/>
        </w:rPr>
        <w:t xml:space="preserve"> </w:t>
      </w:r>
    </w:p>
    <w:p w14:paraId="1959FAA5" w14:textId="77777777" w:rsidR="004B7B45" w:rsidRPr="004B7B45" w:rsidRDefault="001E16EA" w:rsidP="00230A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(</w:t>
      </w:r>
      <w:r w:rsidR="006E328F">
        <w:rPr>
          <w:rFonts w:asciiTheme="majorBidi" w:hAnsiTheme="majorBidi" w:cstheme="majorBidi"/>
          <w:sz w:val="24"/>
          <w:szCs w:val="24"/>
          <w:lang w:val="en-US"/>
        </w:rPr>
        <w:t>D</w:t>
      </w:r>
      <w:r>
        <w:rPr>
          <w:rFonts w:asciiTheme="majorBidi" w:hAnsiTheme="majorBidi" w:cstheme="majorBidi"/>
          <w:sz w:val="24"/>
          <w:szCs w:val="24"/>
          <w:lang w:val="en-US"/>
        </w:rPr>
        <w:t>)</w:t>
      </w:r>
      <w:r w:rsidR="00D45AE7">
        <w:rPr>
          <w:rFonts w:asciiTheme="majorBidi" w:hAnsiTheme="majorBidi" w:cstheme="majorBidi"/>
          <w:sz w:val="24"/>
          <w:szCs w:val="24"/>
          <w:lang w:val="en-US"/>
        </w:rPr>
        <w:t xml:space="preserve"> The</w:t>
      </w:r>
      <w:r w:rsidR="00766437">
        <w:rPr>
          <w:rFonts w:asciiTheme="majorBidi" w:hAnsiTheme="majorBidi" w:cstheme="majorBidi"/>
          <w:sz w:val="24"/>
          <w:szCs w:val="24"/>
          <w:lang w:val="en-US"/>
        </w:rPr>
        <w:t xml:space="preserve"> regulations promulgated under Section (A)</w:t>
      </w:r>
      <w:r w:rsidR="00D45AE7">
        <w:rPr>
          <w:rFonts w:asciiTheme="majorBidi" w:hAnsiTheme="majorBidi" w:cstheme="majorBidi"/>
          <w:sz w:val="24"/>
          <w:szCs w:val="24"/>
          <w:lang w:val="en-US"/>
        </w:rPr>
        <w:t xml:space="preserve"> may</w:t>
      </w:r>
      <w:r w:rsidR="00255E8E">
        <w:rPr>
          <w:rFonts w:asciiTheme="majorBidi" w:hAnsiTheme="majorBidi" w:cstheme="majorBidi"/>
          <w:sz w:val="24"/>
          <w:szCs w:val="24"/>
          <w:lang w:val="en-US"/>
        </w:rPr>
        <w:t xml:space="preserve"> establish</w:t>
      </w:r>
      <w:r w:rsidR="004113C8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D45AE7">
        <w:rPr>
          <w:rFonts w:asciiTheme="majorBidi" w:hAnsiTheme="majorBidi" w:cstheme="majorBidi"/>
          <w:sz w:val="24"/>
          <w:szCs w:val="24"/>
          <w:lang w:val="en-US"/>
        </w:rPr>
        <w:t xml:space="preserve">additional interoperability criteria for </w:t>
      </w:r>
      <w:r w:rsidR="00680597">
        <w:rPr>
          <w:rFonts w:asciiTheme="majorBidi" w:hAnsiTheme="majorBidi" w:cstheme="majorBidi"/>
          <w:sz w:val="24"/>
          <w:szCs w:val="24"/>
          <w:lang w:val="en-US"/>
        </w:rPr>
        <w:t>electric vehicle supply equipment</w:t>
      </w:r>
      <w:r w:rsidR="00D45AE7">
        <w:rPr>
          <w:rFonts w:asciiTheme="majorBidi" w:hAnsiTheme="majorBidi" w:cstheme="majorBidi"/>
          <w:sz w:val="24"/>
          <w:szCs w:val="24"/>
          <w:lang w:val="en-US"/>
        </w:rPr>
        <w:t xml:space="preserve"> receiving incentives under this Act, which the Secretary, in his or her discretion</w:t>
      </w:r>
      <w:r w:rsidR="004113C8">
        <w:rPr>
          <w:rFonts w:asciiTheme="majorBidi" w:hAnsiTheme="majorBidi" w:cstheme="majorBidi"/>
          <w:sz w:val="24"/>
          <w:szCs w:val="24"/>
          <w:lang w:val="en-US"/>
        </w:rPr>
        <w:t>,</w:t>
      </w:r>
      <w:r w:rsidR="00D45AE7">
        <w:rPr>
          <w:rFonts w:asciiTheme="majorBidi" w:hAnsiTheme="majorBidi" w:cstheme="majorBidi"/>
          <w:sz w:val="24"/>
          <w:szCs w:val="24"/>
          <w:lang w:val="en-US"/>
        </w:rPr>
        <w:t xml:space="preserve"> deems appropriate in </w:t>
      </w:r>
      <w:r w:rsidR="004113C8">
        <w:rPr>
          <w:rFonts w:asciiTheme="majorBidi" w:hAnsiTheme="majorBidi" w:cstheme="majorBidi"/>
          <w:sz w:val="24"/>
          <w:szCs w:val="24"/>
          <w:lang w:val="en-US"/>
        </w:rPr>
        <w:t>fostering the development of a robust network of accessible and convenient</w:t>
      </w:r>
      <w:r w:rsidR="009B7BB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680597">
        <w:rPr>
          <w:rFonts w:asciiTheme="majorBidi" w:hAnsiTheme="majorBidi" w:cstheme="majorBidi"/>
          <w:sz w:val="24"/>
          <w:szCs w:val="24"/>
          <w:lang w:val="en-US"/>
        </w:rPr>
        <w:t>electric vehicle c</w:t>
      </w:r>
      <w:r w:rsidR="004113C8">
        <w:rPr>
          <w:rFonts w:asciiTheme="majorBidi" w:hAnsiTheme="majorBidi" w:cstheme="majorBidi"/>
          <w:sz w:val="24"/>
          <w:szCs w:val="24"/>
          <w:lang w:val="en-US"/>
        </w:rPr>
        <w:t>harging stations across the nation.</w:t>
      </w:r>
      <w:r w:rsidR="00D45AE7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14:paraId="2BF155F9" w14:textId="77777777" w:rsidR="00EF484B" w:rsidRPr="0034273B" w:rsidRDefault="00EF484B" w:rsidP="00230A74">
      <w:pPr>
        <w:pStyle w:val="BodyText"/>
        <w:keepNext/>
        <w:jc w:val="both"/>
        <w:rPr>
          <w:rFonts w:ascii="Times New Roman" w:hAnsi="Times New Roman" w:cs="Times New Roman"/>
          <w:sz w:val="24"/>
          <w:szCs w:val="24"/>
        </w:rPr>
      </w:pPr>
    </w:p>
    <w:p w14:paraId="647BF69D" w14:textId="77777777" w:rsidR="000A68CA" w:rsidRPr="000A68CA" w:rsidRDefault="000A68CA" w:rsidP="000A68CA">
      <w:pPr>
        <w:rPr>
          <w:rFonts w:asciiTheme="majorBidi" w:hAnsiTheme="majorBidi" w:cstheme="majorBidi"/>
          <w:sz w:val="24"/>
          <w:szCs w:val="24"/>
          <w:lang w:val="en-US"/>
        </w:rPr>
      </w:pPr>
    </w:p>
    <w:sectPr w:rsidR="000A68CA" w:rsidRPr="000A68CA" w:rsidSect="00735C48">
      <w:pgSz w:w="12240" w:h="15840" w:code="1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25AD8" w14:textId="77777777" w:rsidR="00DA05F7" w:rsidRDefault="00DA05F7" w:rsidP="005E4663">
      <w:r>
        <w:separator/>
      </w:r>
    </w:p>
  </w:endnote>
  <w:endnote w:type="continuationSeparator" w:id="0">
    <w:p w14:paraId="018BEDCB" w14:textId="77777777" w:rsidR="00DA05F7" w:rsidRDefault="00DA05F7" w:rsidP="005E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4A976" w14:textId="77777777" w:rsidR="00DA05F7" w:rsidRDefault="00DA05F7" w:rsidP="005E4663">
      <w:r>
        <w:separator/>
      </w:r>
    </w:p>
  </w:footnote>
  <w:footnote w:type="continuationSeparator" w:id="0">
    <w:p w14:paraId="65DEBFE0" w14:textId="77777777" w:rsidR="00DA05F7" w:rsidRDefault="00DA05F7" w:rsidP="005E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06EB8"/>
    <w:multiLevelType w:val="multilevel"/>
    <w:tmpl w:val="82A09678"/>
    <w:name w:val="Firm Numbering"/>
    <w:lvl w:ilvl="0">
      <w:start w:val="1"/>
      <w:numFmt w:val="decimal"/>
      <w:pStyle w:val="Heading1"/>
      <w:lvlText w:val="%1"/>
      <w:lvlJc w:val="left"/>
      <w:pPr>
        <w:ind w:left="907" w:hanging="907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"/>
      <w:lvlJc w:val="left"/>
      <w:pPr>
        <w:ind w:left="907" w:hanging="907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1.%2.%3"/>
      <w:lvlJc w:val="left"/>
      <w:pPr>
        <w:ind w:left="907" w:hanging="907"/>
      </w:pPr>
      <w:rPr>
        <w:rFonts w:hint="default"/>
      </w:rPr>
    </w:lvl>
    <w:lvl w:ilvl="3">
      <w:start w:val="1"/>
      <w:numFmt w:val="lowerLetter"/>
      <w:pStyle w:val="Heading4"/>
      <w:lvlText w:val="(%4)"/>
      <w:lvlJc w:val="left"/>
      <w:pPr>
        <w:ind w:left="1644" w:hanging="737"/>
      </w:pPr>
      <w:rPr>
        <w:rFonts w:hint="default"/>
      </w:rPr>
    </w:lvl>
    <w:lvl w:ilvl="4">
      <w:start w:val="1"/>
      <w:numFmt w:val="lowerRoman"/>
      <w:pStyle w:val="Heading5"/>
      <w:lvlText w:val="(%5)"/>
      <w:lvlJc w:val="left"/>
      <w:pPr>
        <w:ind w:left="2381" w:hanging="737"/>
      </w:pPr>
      <w:rPr>
        <w:rFonts w:hint="default"/>
      </w:rPr>
    </w:lvl>
    <w:lvl w:ilvl="5">
      <w:start w:val="1"/>
      <w:numFmt w:val="upperLetter"/>
      <w:pStyle w:val="Heading6"/>
      <w:lvlText w:val="(%6)"/>
      <w:lvlJc w:val="left"/>
      <w:pPr>
        <w:ind w:left="3118" w:hanging="737"/>
      </w:pPr>
      <w:rPr>
        <w:rFonts w:hint="default"/>
      </w:rPr>
    </w:lvl>
    <w:lvl w:ilvl="6">
      <w:start w:val="1"/>
      <w:numFmt w:val="decimal"/>
      <w:pStyle w:val="Heading7"/>
      <w:lvlText w:val="(%7)"/>
      <w:lvlJc w:val="left"/>
      <w:pPr>
        <w:ind w:left="3855" w:hanging="737"/>
      </w:pPr>
      <w:rPr>
        <w:rFonts w:hint="default"/>
        <w:b w:val="0"/>
        <w:i w:val="0"/>
      </w:rPr>
    </w:lvl>
    <w:lvl w:ilvl="7">
      <w:start w:val="1"/>
      <w:numFmt w:val="lowerLetter"/>
      <w:pStyle w:val="Heading8"/>
      <w:lvlText w:val="%8."/>
      <w:lvlJc w:val="left"/>
      <w:pPr>
        <w:ind w:left="4592" w:hanging="737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5329" w:hanging="737"/>
      </w:pPr>
      <w:rPr>
        <w:rFonts w:hint="default"/>
        <w:b w:val="0"/>
        <w:i w:val="0"/>
      </w:rPr>
    </w:lvl>
  </w:abstractNum>
  <w:abstractNum w:abstractNumId="1" w15:restartNumberingAfterBreak="0">
    <w:nsid w:val="31A53E0D"/>
    <w:multiLevelType w:val="hybridMultilevel"/>
    <w:tmpl w:val="DBCCA0E4"/>
    <w:lvl w:ilvl="0" w:tplc="8A80F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EE803FB2" w:tentative="1">
      <w:start w:val="1"/>
      <w:numFmt w:val="lowerLetter"/>
      <w:lvlText w:val="%2."/>
      <w:lvlJc w:val="left"/>
      <w:pPr>
        <w:ind w:left="1800" w:hanging="360"/>
      </w:pPr>
    </w:lvl>
    <w:lvl w:ilvl="2" w:tplc="E6DC2E46" w:tentative="1">
      <w:start w:val="1"/>
      <w:numFmt w:val="lowerRoman"/>
      <w:lvlText w:val="%3."/>
      <w:lvlJc w:val="right"/>
      <w:pPr>
        <w:ind w:left="2520" w:hanging="180"/>
      </w:pPr>
    </w:lvl>
    <w:lvl w:ilvl="3" w:tplc="7AE8B72A" w:tentative="1">
      <w:start w:val="1"/>
      <w:numFmt w:val="decimal"/>
      <w:lvlText w:val="%4."/>
      <w:lvlJc w:val="left"/>
      <w:pPr>
        <w:ind w:left="3240" w:hanging="360"/>
      </w:pPr>
    </w:lvl>
    <w:lvl w:ilvl="4" w:tplc="76E21E84" w:tentative="1">
      <w:start w:val="1"/>
      <w:numFmt w:val="lowerLetter"/>
      <w:lvlText w:val="%5."/>
      <w:lvlJc w:val="left"/>
      <w:pPr>
        <w:ind w:left="3960" w:hanging="360"/>
      </w:pPr>
    </w:lvl>
    <w:lvl w:ilvl="5" w:tplc="10AA8A82" w:tentative="1">
      <w:start w:val="1"/>
      <w:numFmt w:val="lowerRoman"/>
      <w:lvlText w:val="%6."/>
      <w:lvlJc w:val="right"/>
      <w:pPr>
        <w:ind w:left="4680" w:hanging="180"/>
      </w:pPr>
    </w:lvl>
    <w:lvl w:ilvl="6" w:tplc="41CC9C88" w:tentative="1">
      <w:start w:val="1"/>
      <w:numFmt w:val="decimal"/>
      <w:lvlText w:val="%7."/>
      <w:lvlJc w:val="left"/>
      <w:pPr>
        <w:ind w:left="5400" w:hanging="360"/>
      </w:pPr>
    </w:lvl>
    <w:lvl w:ilvl="7" w:tplc="93A476AC" w:tentative="1">
      <w:start w:val="1"/>
      <w:numFmt w:val="lowerLetter"/>
      <w:lvlText w:val="%8."/>
      <w:lvlJc w:val="left"/>
      <w:pPr>
        <w:ind w:left="6120" w:hanging="360"/>
      </w:pPr>
    </w:lvl>
    <w:lvl w:ilvl="8" w:tplc="01486A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017AE8"/>
    <w:multiLevelType w:val="hybridMultilevel"/>
    <w:tmpl w:val="22F0A89C"/>
    <w:lvl w:ilvl="0" w:tplc="F370A0C6">
      <w:start w:val="1"/>
      <w:numFmt w:val="lowerRoman"/>
      <w:lvlText w:val="(%1)"/>
      <w:lvlJc w:val="left"/>
      <w:pPr>
        <w:ind w:left="1080" w:hanging="360"/>
      </w:pPr>
      <w:rPr>
        <w:rFonts w:asciiTheme="majorBidi" w:eastAsiaTheme="minorEastAsia" w:hAnsiTheme="majorBidi" w:cstheme="majorBidi"/>
      </w:rPr>
    </w:lvl>
    <w:lvl w:ilvl="1" w:tplc="5AD29DBA" w:tentative="1">
      <w:start w:val="1"/>
      <w:numFmt w:val="lowerLetter"/>
      <w:lvlText w:val="%2."/>
      <w:lvlJc w:val="left"/>
      <w:pPr>
        <w:ind w:left="1800" w:hanging="360"/>
      </w:pPr>
    </w:lvl>
    <w:lvl w:ilvl="2" w:tplc="821CFF38" w:tentative="1">
      <w:start w:val="1"/>
      <w:numFmt w:val="lowerRoman"/>
      <w:lvlText w:val="%3."/>
      <w:lvlJc w:val="right"/>
      <w:pPr>
        <w:ind w:left="2520" w:hanging="180"/>
      </w:pPr>
    </w:lvl>
    <w:lvl w:ilvl="3" w:tplc="C7CC9654" w:tentative="1">
      <w:start w:val="1"/>
      <w:numFmt w:val="decimal"/>
      <w:lvlText w:val="%4."/>
      <w:lvlJc w:val="left"/>
      <w:pPr>
        <w:ind w:left="3240" w:hanging="360"/>
      </w:pPr>
    </w:lvl>
    <w:lvl w:ilvl="4" w:tplc="BEA44C38" w:tentative="1">
      <w:start w:val="1"/>
      <w:numFmt w:val="lowerLetter"/>
      <w:lvlText w:val="%5."/>
      <w:lvlJc w:val="left"/>
      <w:pPr>
        <w:ind w:left="3960" w:hanging="360"/>
      </w:pPr>
    </w:lvl>
    <w:lvl w:ilvl="5" w:tplc="6A98D394" w:tentative="1">
      <w:start w:val="1"/>
      <w:numFmt w:val="lowerRoman"/>
      <w:lvlText w:val="%6."/>
      <w:lvlJc w:val="right"/>
      <w:pPr>
        <w:ind w:left="4680" w:hanging="180"/>
      </w:pPr>
    </w:lvl>
    <w:lvl w:ilvl="6" w:tplc="5D3C1B9E" w:tentative="1">
      <w:start w:val="1"/>
      <w:numFmt w:val="decimal"/>
      <w:lvlText w:val="%7."/>
      <w:lvlJc w:val="left"/>
      <w:pPr>
        <w:ind w:left="5400" w:hanging="360"/>
      </w:pPr>
    </w:lvl>
    <w:lvl w:ilvl="7" w:tplc="F5DCB40A" w:tentative="1">
      <w:start w:val="1"/>
      <w:numFmt w:val="lowerLetter"/>
      <w:lvlText w:val="%8."/>
      <w:lvlJc w:val="left"/>
      <w:pPr>
        <w:ind w:left="6120" w:hanging="360"/>
      </w:pPr>
    </w:lvl>
    <w:lvl w:ilvl="8" w:tplc="63AE98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A516DE"/>
    <w:multiLevelType w:val="hybridMultilevel"/>
    <w:tmpl w:val="E6C837AE"/>
    <w:lvl w:ilvl="0" w:tplc="88CA248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D8F030E8" w:tentative="1">
      <w:start w:val="1"/>
      <w:numFmt w:val="lowerLetter"/>
      <w:lvlText w:val="%2."/>
      <w:lvlJc w:val="left"/>
      <w:pPr>
        <w:ind w:left="1620" w:hanging="360"/>
      </w:pPr>
    </w:lvl>
    <w:lvl w:ilvl="2" w:tplc="C232B486" w:tentative="1">
      <w:start w:val="1"/>
      <w:numFmt w:val="lowerRoman"/>
      <w:lvlText w:val="%3."/>
      <w:lvlJc w:val="right"/>
      <w:pPr>
        <w:ind w:left="2340" w:hanging="180"/>
      </w:pPr>
    </w:lvl>
    <w:lvl w:ilvl="3" w:tplc="F438D3C0" w:tentative="1">
      <w:start w:val="1"/>
      <w:numFmt w:val="decimal"/>
      <w:lvlText w:val="%4."/>
      <w:lvlJc w:val="left"/>
      <w:pPr>
        <w:ind w:left="3060" w:hanging="360"/>
      </w:pPr>
    </w:lvl>
    <w:lvl w:ilvl="4" w:tplc="E4A65E56" w:tentative="1">
      <w:start w:val="1"/>
      <w:numFmt w:val="lowerLetter"/>
      <w:lvlText w:val="%5."/>
      <w:lvlJc w:val="left"/>
      <w:pPr>
        <w:ind w:left="3780" w:hanging="360"/>
      </w:pPr>
    </w:lvl>
    <w:lvl w:ilvl="5" w:tplc="72EC4D22" w:tentative="1">
      <w:start w:val="1"/>
      <w:numFmt w:val="lowerRoman"/>
      <w:lvlText w:val="%6."/>
      <w:lvlJc w:val="right"/>
      <w:pPr>
        <w:ind w:left="4500" w:hanging="180"/>
      </w:pPr>
    </w:lvl>
    <w:lvl w:ilvl="6" w:tplc="5F12D384" w:tentative="1">
      <w:start w:val="1"/>
      <w:numFmt w:val="decimal"/>
      <w:lvlText w:val="%7."/>
      <w:lvlJc w:val="left"/>
      <w:pPr>
        <w:ind w:left="5220" w:hanging="360"/>
      </w:pPr>
    </w:lvl>
    <w:lvl w:ilvl="7" w:tplc="E5AA3CF8" w:tentative="1">
      <w:start w:val="1"/>
      <w:numFmt w:val="lowerLetter"/>
      <w:lvlText w:val="%8."/>
      <w:lvlJc w:val="left"/>
      <w:pPr>
        <w:ind w:left="5940" w:hanging="360"/>
      </w:pPr>
    </w:lvl>
    <w:lvl w:ilvl="8" w:tplc="571E8C74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8566042"/>
    <w:multiLevelType w:val="hybridMultilevel"/>
    <w:tmpl w:val="EF0ADB5C"/>
    <w:lvl w:ilvl="0" w:tplc="532A0692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4E6E680E" w:tentative="1">
      <w:start w:val="1"/>
      <w:numFmt w:val="lowerLetter"/>
      <w:lvlText w:val="%2."/>
      <w:lvlJc w:val="left"/>
      <w:pPr>
        <w:ind w:left="1440" w:hanging="360"/>
      </w:pPr>
    </w:lvl>
    <w:lvl w:ilvl="2" w:tplc="63844614" w:tentative="1">
      <w:start w:val="1"/>
      <w:numFmt w:val="lowerRoman"/>
      <w:lvlText w:val="%3."/>
      <w:lvlJc w:val="right"/>
      <w:pPr>
        <w:ind w:left="2160" w:hanging="180"/>
      </w:pPr>
    </w:lvl>
    <w:lvl w:ilvl="3" w:tplc="EB8CD832" w:tentative="1">
      <w:start w:val="1"/>
      <w:numFmt w:val="decimal"/>
      <w:lvlText w:val="%4."/>
      <w:lvlJc w:val="left"/>
      <w:pPr>
        <w:ind w:left="2880" w:hanging="360"/>
      </w:pPr>
    </w:lvl>
    <w:lvl w:ilvl="4" w:tplc="9710A962" w:tentative="1">
      <w:start w:val="1"/>
      <w:numFmt w:val="lowerLetter"/>
      <w:lvlText w:val="%5."/>
      <w:lvlJc w:val="left"/>
      <w:pPr>
        <w:ind w:left="3600" w:hanging="360"/>
      </w:pPr>
    </w:lvl>
    <w:lvl w:ilvl="5" w:tplc="C71E43D6" w:tentative="1">
      <w:start w:val="1"/>
      <w:numFmt w:val="lowerRoman"/>
      <w:lvlText w:val="%6."/>
      <w:lvlJc w:val="right"/>
      <w:pPr>
        <w:ind w:left="4320" w:hanging="180"/>
      </w:pPr>
    </w:lvl>
    <w:lvl w:ilvl="6" w:tplc="FDB0EB5A" w:tentative="1">
      <w:start w:val="1"/>
      <w:numFmt w:val="decimal"/>
      <w:lvlText w:val="%7."/>
      <w:lvlJc w:val="left"/>
      <w:pPr>
        <w:ind w:left="5040" w:hanging="360"/>
      </w:pPr>
    </w:lvl>
    <w:lvl w:ilvl="7" w:tplc="5C10674C" w:tentative="1">
      <w:start w:val="1"/>
      <w:numFmt w:val="lowerLetter"/>
      <w:lvlText w:val="%8."/>
      <w:lvlJc w:val="left"/>
      <w:pPr>
        <w:ind w:left="5760" w:hanging="360"/>
      </w:pPr>
    </w:lvl>
    <w:lvl w:ilvl="8" w:tplc="5D641D4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DDF"/>
    <w:rsid w:val="000150AD"/>
    <w:rsid w:val="00024874"/>
    <w:rsid w:val="000250FA"/>
    <w:rsid w:val="0002644D"/>
    <w:rsid w:val="000362C0"/>
    <w:rsid w:val="000A68CA"/>
    <w:rsid w:val="000B0DDD"/>
    <w:rsid w:val="00126B27"/>
    <w:rsid w:val="00182481"/>
    <w:rsid w:val="001A494E"/>
    <w:rsid w:val="001E16EA"/>
    <w:rsid w:val="001E3537"/>
    <w:rsid w:val="00220131"/>
    <w:rsid w:val="00230A74"/>
    <w:rsid w:val="00253698"/>
    <w:rsid w:val="0025379A"/>
    <w:rsid w:val="00255E8E"/>
    <w:rsid w:val="00290D64"/>
    <w:rsid w:val="00297473"/>
    <w:rsid w:val="002E0039"/>
    <w:rsid w:val="002E1503"/>
    <w:rsid w:val="002E67CC"/>
    <w:rsid w:val="00315394"/>
    <w:rsid w:val="0031575C"/>
    <w:rsid w:val="0034273B"/>
    <w:rsid w:val="0038091D"/>
    <w:rsid w:val="00385D7A"/>
    <w:rsid w:val="00393166"/>
    <w:rsid w:val="003B1A78"/>
    <w:rsid w:val="003E6EFC"/>
    <w:rsid w:val="004113C8"/>
    <w:rsid w:val="00436248"/>
    <w:rsid w:val="00441D0E"/>
    <w:rsid w:val="00444841"/>
    <w:rsid w:val="0047017B"/>
    <w:rsid w:val="00486796"/>
    <w:rsid w:val="004B7B45"/>
    <w:rsid w:val="00510D7D"/>
    <w:rsid w:val="005142F3"/>
    <w:rsid w:val="005653EA"/>
    <w:rsid w:val="005919B9"/>
    <w:rsid w:val="005A0D6F"/>
    <w:rsid w:val="005B3BA6"/>
    <w:rsid w:val="005E1049"/>
    <w:rsid w:val="005E3D85"/>
    <w:rsid w:val="005E4663"/>
    <w:rsid w:val="00680597"/>
    <w:rsid w:val="006E328F"/>
    <w:rsid w:val="006F0024"/>
    <w:rsid w:val="00713690"/>
    <w:rsid w:val="00722A0E"/>
    <w:rsid w:val="00735C48"/>
    <w:rsid w:val="00766437"/>
    <w:rsid w:val="007D272F"/>
    <w:rsid w:val="007F6387"/>
    <w:rsid w:val="00800F2F"/>
    <w:rsid w:val="00804AAA"/>
    <w:rsid w:val="00841EA6"/>
    <w:rsid w:val="0087065F"/>
    <w:rsid w:val="008826B7"/>
    <w:rsid w:val="00893BF5"/>
    <w:rsid w:val="008C6F09"/>
    <w:rsid w:val="008F2791"/>
    <w:rsid w:val="009637C2"/>
    <w:rsid w:val="009B7BB5"/>
    <w:rsid w:val="00A07C84"/>
    <w:rsid w:val="00AC4618"/>
    <w:rsid w:val="00AF1739"/>
    <w:rsid w:val="00B278CB"/>
    <w:rsid w:val="00B55CE2"/>
    <w:rsid w:val="00C75FF6"/>
    <w:rsid w:val="00CA13CD"/>
    <w:rsid w:val="00D45AE7"/>
    <w:rsid w:val="00D77F9B"/>
    <w:rsid w:val="00DA05F7"/>
    <w:rsid w:val="00DB1DDF"/>
    <w:rsid w:val="00DE1C77"/>
    <w:rsid w:val="00E11E9E"/>
    <w:rsid w:val="00E24F67"/>
    <w:rsid w:val="00E30220"/>
    <w:rsid w:val="00E7094E"/>
    <w:rsid w:val="00E86F6D"/>
    <w:rsid w:val="00EF484B"/>
    <w:rsid w:val="00F32F59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A5D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D0E"/>
    <w:pPr>
      <w:spacing w:after="0" w:line="240" w:lineRule="auto"/>
    </w:pPr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7F9B"/>
    <w:pPr>
      <w:keepNext/>
      <w:numPr>
        <w:numId w:val="1"/>
      </w:numPr>
      <w:suppressAutoHyphens/>
      <w:spacing w:before="240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77F9B"/>
    <w:pPr>
      <w:keepNext/>
      <w:numPr>
        <w:ilvl w:val="1"/>
        <w:numId w:val="1"/>
      </w:numPr>
      <w:suppressAutoHyphens/>
      <w:spacing w:before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77F9B"/>
    <w:pPr>
      <w:numPr>
        <w:ilvl w:val="2"/>
        <w:numId w:val="1"/>
      </w:numPr>
      <w:suppressAutoHyphens/>
      <w:spacing w:before="24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77F9B"/>
    <w:pPr>
      <w:numPr>
        <w:ilvl w:val="3"/>
        <w:numId w:val="1"/>
      </w:numPr>
      <w:suppressAutoHyphens/>
      <w:spacing w:before="2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77F9B"/>
    <w:pPr>
      <w:numPr>
        <w:ilvl w:val="4"/>
        <w:numId w:val="1"/>
      </w:numPr>
      <w:suppressAutoHyphens/>
      <w:spacing w:before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77F9B"/>
    <w:pPr>
      <w:numPr>
        <w:ilvl w:val="5"/>
        <w:numId w:val="1"/>
      </w:numPr>
      <w:suppressAutoHyphens/>
      <w:spacing w:before="2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77F9B"/>
    <w:pPr>
      <w:numPr>
        <w:ilvl w:val="6"/>
        <w:numId w:val="1"/>
      </w:numPr>
      <w:suppressAutoHyphens/>
      <w:spacing w:before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7F9B"/>
    <w:pPr>
      <w:numPr>
        <w:ilvl w:val="7"/>
        <w:numId w:val="1"/>
      </w:numPr>
      <w:suppressAutoHyphens/>
      <w:spacing w:before="240"/>
      <w:outlineLvl w:val="7"/>
    </w:pPr>
    <w:rPr>
      <w:rFonts w:eastAsiaTheme="majorEastAsia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77F9B"/>
    <w:pPr>
      <w:numPr>
        <w:ilvl w:val="8"/>
        <w:numId w:val="1"/>
      </w:numPr>
      <w:suppressAutoHyphens/>
      <w:spacing w:before="240"/>
      <w:outlineLvl w:val="8"/>
    </w:pPr>
    <w:rPr>
      <w:rFonts w:eastAsiaTheme="majorEastAsia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7F9B"/>
    <w:rPr>
      <w:rFonts w:ascii="Tahoma" w:eastAsiaTheme="majorEastAsia" w:hAnsi="Tahoma" w:cstheme="majorBidi"/>
      <w:b/>
      <w:caps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77F9B"/>
    <w:rPr>
      <w:rFonts w:ascii="Tahoma" w:eastAsiaTheme="majorEastAsia" w:hAnsi="Tahoma" w:cstheme="majorBidi"/>
      <w:b/>
      <w:sz w:val="20"/>
      <w:szCs w:val="26"/>
    </w:rPr>
  </w:style>
  <w:style w:type="paragraph" w:styleId="BodyText">
    <w:name w:val="Body Text"/>
    <w:basedOn w:val="Normal"/>
    <w:link w:val="BodyTextChar"/>
    <w:uiPriority w:val="99"/>
    <w:rsid w:val="0031575C"/>
    <w:pPr>
      <w:suppressAutoHyphens/>
      <w:spacing w:before="240"/>
      <w:ind w:left="907"/>
    </w:pPr>
  </w:style>
  <w:style w:type="character" w:customStyle="1" w:styleId="BodyTextChar">
    <w:name w:val="Body Text Char"/>
    <w:basedOn w:val="DefaultParagraphFont"/>
    <w:link w:val="BodyText"/>
    <w:uiPriority w:val="99"/>
    <w:rsid w:val="0031575C"/>
    <w:rPr>
      <w:rFonts w:ascii="Tahoma" w:hAnsi="Tahoma"/>
      <w:sz w:val="20"/>
    </w:rPr>
  </w:style>
  <w:style w:type="paragraph" w:styleId="Footer">
    <w:name w:val="footer"/>
    <w:basedOn w:val="Normal"/>
    <w:link w:val="FooterChar"/>
    <w:uiPriority w:val="99"/>
    <w:rsid w:val="00735C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C48"/>
    <w:rPr>
      <w:rFonts w:ascii="Tahoma" w:hAnsi="Tahoma"/>
      <w:sz w:val="20"/>
    </w:rPr>
  </w:style>
  <w:style w:type="paragraph" w:styleId="Header">
    <w:name w:val="header"/>
    <w:basedOn w:val="Normal"/>
    <w:link w:val="HeaderChar"/>
    <w:uiPriority w:val="99"/>
    <w:rsid w:val="00735C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C48"/>
    <w:rPr>
      <w:rFonts w:ascii="Tahoma" w:hAnsi="Tahoma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77F9B"/>
    <w:rPr>
      <w:rFonts w:ascii="Tahoma" w:eastAsiaTheme="majorEastAsia" w:hAnsi="Tahoma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77F9B"/>
    <w:rPr>
      <w:rFonts w:ascii="Tahoma" w:eastAsiaTheme="majorEastAsia" w:hAnsi="Tahoma" w:cstheme="majorBidi"/>
      <w:iCs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77F9B"/>
    <w:rPr>
      <w:rFonts w:ascii="Tahoma" w:eastAsiaTheme="majorEastAsia" w:hAnsi="Tahom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D77F9B"/>
    <w:rPr>
      <w:rFonts w:ascii="Tahoma" w:eastAsiaTheme="majorEastAsia" w:hAnsi="Tahoma" w:cstheme="majorBidi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D77F9B"/>
    <w:rPr>
      <w:rFonts w:ascii="Tahoma" w:eastAsiaTheme="majorEastAsia" w:hAnsi="Tahoma" w:cstheme="majorBidi"/>
      <w:iCs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D77F9B"/>
    <w:rPr>
      <w:rFonts w:ascii="Tahoma" w:eastAsiaTheme="majorEastAsia" w:hAnsi="Tahoma" w:cstheme="majorBidi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D77F9B"/>
    <w:rPr>
      <w:rFonts w:ascii="Tahoma" w:eastAsiaTheme="majorEastAsia" w:hAnsi="Tahoma" w:cstheme="majorBidi"/>
      <w:iCs/>
      <w:sz w:val="20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DDF"/>
    <w:rPr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DDF"/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974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4AAA"/>
    <w:rPr>
      <w:color w:val="6365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2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winsider.com/dictionary/level-2-charg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pd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1 Firm-Standard">
  <a:themeElements>
    <a:clrScheme name="~BCLP Test 3">
      <a:dk1>
        <a:srgbClr val="636569"/>
      </a:dk1>
      <a:lt1>
        <a:srgbClr val="FFFFFF"/>
      </a:lt1>
      <a:dk2>
        <a:srgbClr val="00587C"/>
      </a:dk2>
      <a:lt2>
        <a:srgbClr val="FFFFFF"/>
      </a:lt2>
      <a:accent1>
        <a:srgbClr val="00587C"/>
      </a:accent1>
      <a:accent2>
        <a:srgbClr val="FF5519"/>
      </a:accent2>
      <a:accent3>
        <a:srgbClr val="FBB034"/>
      </a:accent3>
      <a:accent4>
        <a:srgbClr val="B1DEF8"/>
      </a:accent4>
      <a:accent5>
        <a:srgbClr val="FFCCBA"/>
      </a:accent5>
      <a:accent6>
        <a:srgbClr val="F7CE95"/>
      </a:accent6>
      <a:hlink>
        <a:srgbClr val="636569"/>
      </a:hlink>
      <a:folHlink>
        <a:srgbClr val="00587C"/>
      </a:folHlink>
    </a:clrScheme>
    <a:fontScheme name="1 Firm-Standard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1 Firm-Standard" id="{3FEEA8AD-058F-48AE-B9DE-B61818CE8E13}" vid="{0EEFDDA8-4CA3-48A4-907A-3E268A18B1E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2021-07-06T22:03:00Z</dcterms:created>
  <dcterms:modified xsi:type="dcterms:W3CDTF">2021-07-06T22:04:00Z</dcterms:modified>
</cp:coreProperties>
</file>