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9EBF" w14:textId="7A3123E1" w:rsidR="005C7945" w:rsidRDefault="00477F56" w:rsidP="00477F56">
      <w:pPr>
        <w:pStyle w:val="To"/>
        <w:tabs>
          <w:tab w:val="left" w:pos="0"/>
        </w:tabs>
        <w:ind w:left="0" w:firstLine="0"/>
        <w:jc w:val="center"/>
      </w:pPr>
      <w:r>
        <w:t xml:space="preserve">This document has been prepared as part of the implementation project of Legal Pathways to Deep Decarbonization (Michael B. Gerrard and John C. </w:t>
      </w:r>
      <w:proofErr w:type="spellStart"/>
      <w:r>
        <w:t>Dernbach</w:t>
      </w:r>
      <w:proofErr w:type="spellEnd"/>
      <w:r>
        <w:t>, eds. Environmental Law Institute [2019]) (LPDD). For background information on the project, see https://lpdd.org</w:t>
      </w:r>
    </w:p>
    <w:p w14:paraId="00ACDF88" w14:textId="0C56E646" w:rsidR="00546A99" w:rsidRDefault="007D396A" w:rsidP="00477F56">
      <w:pPr>
        <w:pStyle w:val="Re"/>
        <w:tabs>
          <w:tab w:val="left" w:pos="0"/>
        </w:tabs>
        <w:ind w:left="0" w:firstLine="0"/>
        <w:jc w:val="center"/>
      </w:pPr>
      <w:r>
        <w:t xml:space="preserve">Legal Analysis and Pathway for </w:t>
      </w:r>
      <w:r w:rsidR="00546A99">
        <w:t xml:space="preserve">Incorporation of </w:t>
      </w:r>
      <w:r w:rsidR="003947AC">
        <w:t xml:space="preserve">Climate Action Reserve </w:t>
      </w:r>
      <w:r w:rsidR="00546A99">
        <w:t xml:space="preserve">Nitrogen Management </w:t>
      </w:r>
      <w:r w:rsidR="003947AC">
        <w:t xml:space="preserve">Project </w:t>
      </w:r>
      <w:r w:rsidR="00546A99">
        <w:t xml:space="preserve">Protocol </w:t>
      </w:r>
      <w:r w:rsidR="003947AC">
        <w:t xml:space="preserve">2.0 </w:t>
      </w:r>
      <w:r w:rsidR="00546A99">
        <w:t>in</w:t>
      </w:r>
      <w:r w:rsidR="003947AC">
        <w:t>to</w:t>
      </w:r>
      <w:r w:rsidR="00546A99">
        <w:t xml:space="preserve"> State Law and Policy</w:t>
      </w:r>
    </w:p>
    <w:p w14:paraId="0308053B" w14:textId="77777777" w:rsidR="00DD4238" w:rsidRPr="00DD4238" w:rsidRDefault="00DD4238" w:rsidP="00DD4238">
      <w:pPr>
        <w:pStyle w:val="Heading1"/>
        <w:rPr>
          <w:b/>
        </w:rPr>
      </w:pPr>
      <w:r w:rsidRPr="00DD4238">
        <w:rPr>
          <w:b/>
        </w:rPr>
        <w:t>Introduction and Executive Summary</w:t>
      </w:r>
    </w:p>
    <w:p w14:paraId="67A05493" w14:textId="6D729EBC" w:rsidR="00860E8C" w:rsidRDefault="00DD4238" w:rsidP="00860E8C">
      <w:pPr>
        <w:pStyle w:val="Heading1"/>
        <w:numPr>
          <w:ilvl w:val="0"/>
          <w:numId w:val="0"/>
        </w:numPr>
        <w:jc w:val="both"/>
      </w:pPr>
      <w:r>
        <w:t>Emissions of nitrous oxide are a significant source of greenhouse gas (GHG) pollution</w:t>
      </w:r>
      <w:r w:rsidR="00627A8D">
        <w:t xml:space="preserve"> in the United States</w:t>
      </w:r>
      <w:r>
        <w:t xml:space="preserve">, amounting to approximately 5 percent of total U.S. GHG emissions on an annual basis. Agricultural </w:t>
      </w:r>
      <w:r w:rsidR="00627A8D">
        <w:t>soil management</w:t>
      </w:r>
      <w:r>
        <w:t xml:space="preserve"> </w:t>
      </w:r>
      <w:r w:rsidR="00627A8D">
        <w:t xml:space="preserve">as a source category accounts for nearly three quarters of those emissions. </w:t>
      </w:r>
      <w:r w:rsidR="00E247D8">
        <w:t>Nitrous oxide emissions resulting from agricultural activities have significant impacts on humans and the environment. Indeed, President Biden signed an executive order i</w:t>
      </w:r>
      <w:r w:rsidR="00B50F2A">
        <w:t>o</w:t>
      </w:r>
      <w:r w:rsidR="00E247D8">
        <w:t>n his first day in office requiring an interagency working group to calculate and publish the social cost of nitrous oxide, an estimate of the monetized damages associated with increases in this GHG based on the best available economics and science.</w:t>
      </w:r>
      <w:r w:rsidR="00E247D8">
        <w:rPr>
          <w:rStyle w:val="FootnoteReference"/>
        </w:rPr>
        <w:footnoteReference w:id="2"/>
      </w:r>
      <w:r w:rsidR="00E247D8">
        <w:t xml:space="preserve"> </w:t>
      </w:r>
      <w:r w:rsidR="00B50F2A">
        <w:t>In February 2021, the group announced it would reinstate the</w:t>
      </w:r>
      <w:r w:rsidR="004A7872">
        <w:t xml:space="preserve"> U.S. government’s</w:t>
      </w:r>
      <w:r w:rsidR="00B50F2A">
        <w:t xml:space="preserve"> 2017 estimate of the social cost of nitrous oxide, adjusted for inflation.</w:t>
      </w:r>
      <w:r w:rsidR="00B50F2A">
        <w:rPr>
          <w:rStyle w:val="FootnoteReference"/>
        </w:rPr>
        <w:footnoteReference w:id="3"/>
      </w:r>
      <w:r w:rsidR="00B50F2A">
        <w:t xml:space="preserve"> </w:t>
      </w:r>
      <w:r w:rsidR="00E247D8">
        <w:t xml:space="preserve">This quantification of externalities </w:t>
      </w:r>
      <w:r w:rsidR="004A7872">
        <w:t xml:space="preserve">is intended to be used in a variety of government </w:t>
      </w:r>
      <w:r w:rsidR="00E247D8">
        <w:t>programs</w:t>
      </w:r>
      <w:r w:rsidR="004A7872">
        <w:t>, which could include</w:t>
      </w:r>
      <w:r w:rsidR="00E247D8">
        <w:t xml:space="preserve"> offset regimes.</w:t>
      </w:r>
    </w:p>
    <w:p w14:paraId="65BD4AFA" w14:textId="7530AE6C" w:rsidR="00546A99" w:rsidRDefault="00627A8D" w:rsidP="00B42626">
      <w:pPr>
        <w:pStyle w:val="Heading1"/>
        <w:numPr>
          <w:ilvl w:val="0"/>
          <w:numId w:val="0"/>
        </w:numPr>
        <w:jc w:val="both"/>
      </w:pPr>
      <w:r>
        <w:t xml:space="preserve">To date, </w:t>
      </w:r>
      <w:r w:rsidR="00162CEB">
        <w:t>no significant legal controls</w:t>
      </w:r>
      <w:r w:rsidR="00EF0AE6">
        <w:t xml:space="preserve"> have been</w:t>
      </w:r>
      <w:r w:rsidR="00162CEB">
        <w:t xml:space="preserve"> applied</w:t>
      </w:r>
      <w:r w:rsidR="005C061F">
        <w:t xml:space="preserve"> to </w:t>
      </w:r>
      <w:r w:rsidR="00EF0AE6">
        <w:t>regulate</w:t>
      </w:r>
      <w:r w:rsidR="005C061F">
        <w:t xml:space="preserve"> </w:t>
      </w:r>
      <w:r w:rsidR="00CC5B3C" w:rsidRPr="00CC5B3C">
        <w:t>nitrous oxide</w:t>
      </w:r>
      <w:r w:rsidR="005C061F">
        <w:t xml:space="preserve"> pollution </w:t>
      </w:r>
      <w:r w:rsidR="00162CEB">
        <w:t>from agricultural soil management in the United States, and existing incentiv</w:t>
      </w:r>
      <w:r w:rsidR="00EF0AE6">
        <w:t>es</w:t>
      </w:r>
      <w:r w:rsidR="00162CEB">
        <w:t xml:space="preserve"> applied by the U.S. Depart</w:t>
      </w:r>
      <w:r w:rsidR="00EF0AE6">
        <w:t>ment of Agriculture (USDA) have yielded l</w:t>
      </w:r>
      <w:r w:rsidR="006669E8">
        <w:t>imited participation and impact on cumulative annual emissions</w:t>
      </w:r>
      <w:r w:rsidR="00EF0AE6">
        <w:t xml:space="preserve">. As a result, regulation of </w:t>
      </w:r>
      <w:r w:rsidR="00CC5B3C" w:rsidRPr="00CC5B3C">
        <w:t>nitrous oxide</w:t>
      </w:r>
      <w:r w:rsidR="00EF0AE6">
        <w:t xml:space="preserve"> pollution from this source </w:t>
      </w:r>
      <w:r w:rsidR="00B53E99">
        <w:t xml:space="preserve">category </w:t>
      </w:r>
      <w:r w:rsidR="00EF0AE6">
        <w:t>presents</w:t>
      </w:r>
      <w:r w:rsidR="002C69FD">
        <w:t xml:space="preserve"> an opportunity to </w:t>
      </w:r>
      <w:r w:rsidR="00C02902">
        <w:t>achiev</w:t>
      </w:r>
      <w:r w:rsidR="002C69FD">
        <w:t>e</w:t>
      </w:r>
      <w:r w:rsidR="00C02902">
        <w:t xml:space="preserve"> substantial reductions.</w:t>
      </w:r>
    </w:p>
    <w:p w14:paraId="29F2340B" w14:textId="680141D1" w:rsidR="0034179F" w:rsidRDefault="001B1827" w:rsidP="00CF54DF">
      <w:pPr>
        <w:pStyle w:val="BodyText"/>
        <w:jc w:val="both"/>
      </w:pPr>
      <w:r>
        <w:t xml:space="preserve">In </w:t>
      </w:r>
      <w:r>
        <w:rPr>
          <w:i/>
        </w:rPr>
        <w:t>Legal Pathways to Deep Decarbonization in the United States</w:t>
      </w:r>
      <w:r w:rsidR="00B53E99">
        <w:t>,</w:t>
      </w:r>
      <w:r>
        <w:rPr>
          <w:i/>
        </w:rPr>
        <w:t xml:space="preserve"> </w:t>
      </w:r>
      <w:r>
        <w:t xml:space="preserve">Chapter 35 (2018), Jessica Wentz and David Kanter provide a robust analysis of this sector and potential legal options for realizing significant reductions of </w:t>
      </w:r>
      <w:r w:rsidR="00CC5B3C" w:rsidRPr="00CC5B3C">
        <w:t>nitrous oxide</w:t>
      </w:r>
      <w:r>
        <w:t xml:space="preserve"> emissions. </w:t>
      </w:r>
      <w:r w:rsidR="00972530">
        <w:t xml:space="preserve">Among their </w:t>
      </w:r>
      <w:r w:rsidR="00AF1796">
        <w:t>recommendations</w:t>
      </w:r>
      <w:r w:rsidR="00972530">
        <w:t xml:space="preserve"> is for regulators to incentivize </w:t>
      </w:r>
      <w:r w:rsidR="00CC5B3C" w:rsidRPr="00CC5B3C">
        <w:t xml:space="preserve">nitrous oxide </w:t>
      </w:r>
      <w:r w:rsidR="00113147">
        <w:t xml:space="preserve">emission reductions </w:t>
      </w:r>
      <w:r w:rsidR="00972530">
        <w:t xml:space="preserve">at </w:t>
      </w:r>
      <w:r w:rsidR="00C02902">
        <w:t>agricultural</w:t>
      </w:r>
      <w:r w:rsidR="00972530">
        <w:t xml:space="preserve"> sources by providing offset credi</w:t>
      </w:r>
      <w:r w:rsidR="00113147">
        <w:t>t for reductions associated with improved</w:t>
      </w:r>
      <w:r w:rsidR="00C02902">
        <w:t xml:space="preserve"> soil</w:t>
      </w:r>
      <w:r w:rsidR="00113147">
        <w:t xml:space="preserve"> </w:t>
      </w:r>
      <w:r w:rsidR="00AF1796">
        <w:t xml:space="preserve">management practices. In our review of their analysis, we determined that implementation of this recommendation would be </w:t>
      </w:r>
      <w:r w:rsidR="00C02902">
        <w:t xml:space="preserve">best </w:t>
      </w:r>
      <w:r w:rsidR="00AF1796">
        <w:t>facilitated through creation of a model offset credit protocol</w:t>
      </w:r>
      <w:r w:rsidR="0034179F">
        <w:t xml:space="preserve"> for adoption</w:t>
      </w:r>
      <w:r w:rsidR="00AF1796">
        <w:t xml:space="preserve"> by states</w:t>
      </w:r>
      <w:r w:rsidR="0034179F">
        <w:t>, allowing for</w:t>
      </w:r>
      <w:r w:rsidR="00AF1796">
        <w:t xml:space="preserve"> </w:t>
      </w:r>
      <w:r w:rsidR="0034179F">
        <w:t>issuance of offset credits in the context of current or future GHG emission reduction programs</w:t>
      </w:r>
      <w:r w:rsidR="00B53E99">
        <w:t xml:space="preserve"> promulgated at the state level</w:t>
      </w:r>
      <w:r w:rsidR="0034179F">
        <w:t>.</w:t>
      </w:r>
      <w:r w:rsidR="00E52C23" w:rsidRPr="00E52C23">
        <w:t xml:space="preserve"> </w:t>
      </w:r>
    </w:p>
    <w:p w14:paraId="4BC365B5" w14:textId="51C29A9B" w:rsidR="0034179F" w:rsidRDefault="00DB2841" w:rsidP="00B42626">
      <w:pPr>
        <w:pStyle w:val="BodyText"/>
        <w:jc w:val="both"/>
      </w:pPr>
      <w:r>
        <w:lastRenderedPageBreak/>
        <w:t>In furtherance of this, our team</w:t>
      </w:r>
      <w:r w:rsidR="00B53E99">
        <w:t xml:space="preserve"> performed a review of existing</w:t>
      </w:r>
      <w:r w:rsidR="0034179F">
        <w:t xml:space="preserve"> </w:t>
      </w:r>
      <w:r w:rsidR="00B53E99">
        <w:t xml:space="preserve">resources for quantifying reductions from improved management practices, as well as existing protocols that have been created </w:t>
      </w:r>
      <w:r w:rsidR="00E506E3">
        <w:t xml:space="preserve">by registries </w:t>
      </w:r>
      <w:r w:rsidR="00B53E99">
        <w:t>or adopted in other jurisdict</w:t>
      </w:r>
      <w:r>
        <w:t>ions outside the U</w:t>
      </w:r>
      <w:r w:rsidR="00E506E3">
        <w:t>nited States</w:t>
      </w:r>
      <w:r w:rsidR="00C02902">
        <w:t xml:space="preserve"> to serve as a template</w:t>
      </w:r>
      <w:r w:rsidR="00E506E3">
        <w:t>. We found that one such protocol</w:t>
      </w:r>
      <w:r w:rsidR="00C02902">
        <w:t xml:space="preserve"> developed</w:t>
      </w:r>
      <w:r w:rsidR="00E506E3">
        <w:t xml:space="preserve"> by t</w:t>
      </w:r>
      <w:r w:rsidR="00C02902">
        <w:t xml:space="preserve">he Climate Action Reserve (CAR), as updated in 2018, very </w:t>
      </w:r>
      <w:r w:rsidR="00E506E3">
        <w:t xml:space="preserve">closely tracks </w:t>
      </w:r>
      <w:r w:rsidR="00D46BA5">
        <w:t xml:space="preserve">what we </w:t>
      </w:r>
      <w:r w:rsidR="00C02902">
        <w:t xml:space="preserve">had </w:t>
      </w:r>
      <w:r w:rsidR="00D46BA5">
        <w:t>contemplated in our proposal</w:t>
      </w:r>
      <w:r w:rsidR="00E506E3">
        <w:t xml:space="preserve">: CAR’s </w:t>
      </w:r>
      <w:r w:rsidR="00493EA8">
        <w:t>Nitrogen Management Project Protocol Version 2.0 (Oct. 2018)</w:t>
      </w:r>
      <w:r w:rsidR="007F6D89">
        <w:t xml:space="preserve"> (NMPP</w:t>
      </w:r>
      <w:r w:rsidR="00A3728F">
        <w:t xml:space="preserve"> or Protocol</w:t>
      </w:r>
      <w:r w:rsidR="007F6D89">
        <w:t>)</w:t>
      </w:r>
      <w:r w:rsidR="00E87065">
        <w:t xml:space="preserve">. </w:t>
      </w:r>
      <w:r w:rsidR="0034583F">
        <w:t>Th</w:t>
      </w:r>
      <w:r w:rsidR="00A3728F">
        <w:t>e</w:t>
      </w:r>
      <w:r w:rsidR="0034583F">
        <w:t xml:space="preserve"> </w:t>
      </w:r>
      <w:r w:rsidR="00A3728F">
        <w:t>P</w:t>
      </w:r>
      <w:r w:rsidR="0034583F">
        <w:t xml:space="preserve">rotocol </w:t>
      </w:r>
      <w:r w:rsidR="00493EA8">
        <w:t>now broadly accounts for emission reductions associated with implementation of cropland nitrogen management best practices across a wide range of crops and geographies for which CAR determined adequate quantification data and methodologies existed.</w:t>
      </w:r>
      <w:r w:rsidR="00DA1664">
        <w:rPr>
          <w:rStyle w:val="FootnoteReference"/>
        </w:rPr>
        <w:footnoteReference w:id="4"/>
      </w:r>
      <w:r w:rsidR="00493EA8">
        <w:t xml:space="preserve"> </w:t>
      </w:r>
    </w:p>
    <w:p w14:paraId="2221B72F" w14:textId="7FF5F7BA" w:rsidR="00A271E9" w:rsidRDefault="00D46BA5" w:rsidP="00F86B99">
      <w:pPr>
        <w:pStyle w:val="BodyText"/>
        <w:jc w:val="both"/>
      </w:pPr>
      <w:r>
        <w:t>Given the breadth</w:t>
      </w:r>
      <w:r w:rsidR="00F64B39">
        <w:t xml:space="preserve"> and quality</w:t>
      </w:r>
      <w:r>
        <w:t xml:space="preserve"> of CAR’s updated N</w:t>
      </w:r>
      <w:r w:rsidR="0034583F">
        <w:t>MPP</w:t>
      </w:r>
      <w:r w:rsidR="00393D15">
        <w:t xml:space="preserve"> </w:t>
      </w:r>
      <w:r w:rsidR="00F64B39">
        <w:t xml:space="preserve">and the broad stakeholder process from which it arose, we concluded that states seeking to provide offset credit for reductions in </w:t>
      </w:r>
      <w:r w:rsidR="00CC5B3C" w:rsidRPr="00CC5B3C">
        <w:t xml:space="preserve">nitrous oxide </w:t>
      </w:r>
      <w:r w:rsidR="00F64B39">
        <w:t xml:space="preserve">emissions through improved agricultural management practices would be best served by </w:t>
      </w:r>
      <w:r w:rsidR="00C80F2A">
        <w:t>incorporating the CAR Protocol</w:t>
      </w:r>
      <w:r w:rsidR="003947AC">
        <w:t xml:space="preserve"> itself</w:t>
      </w:r>
      <w:r w:rsidR="00C80F2A">
        <w:t xml:space="preserve"> into </w:t>
      </w:r>
      <w:r w:rsidR="003947AC">
        <w:t>state law, e</w:t>
      </w:r>
      <w:r w:rsidR="00A271E9">
        <w:t>ither directly or by reference, similar to the manner in which California has adopted some of CAR’s other protocols and/or recognized offset credits issued pursuant thereto within the context of its Cap-and-Trade Regulation.</w:t>
      </w:r>
      <w:r w:rsidR="005057E1">
        <w:rPr>
          <w:rStyle w:val="FootnoteReference"/>
        </w:rPr>
        <w:footnoteReference w:id="5"/>
      </w:r>
      <w:r w:rsidR="00A271E9">
        <w:t xml:space="preserve"> </w:t>
      </w:r>
      <w:r w:rsidR="00C02902">
        <w:t>This memorandum provides legal background and tools to</w:t>
      </w:r>
      <w:r w:rsidR="00393D15">
        <w:t xml:space="preserve"> better facilitate that process for state and regional policymakers.</w:t>
      </w:r>
      <w:r w:rsidR="00E52C23">
        <w:t xml:space="preserve"> The analysis in this memorandum is limited to the use of the CAR protocol for offsets. However, some states may wish to </w:t>
      </w:r>
      <w:r w:rsidR="00CF54DF">
        <w:t xml:space="preserve">use a rigorous offset protocol like the CAR protocol to verify mandatory reductions in nitrous oxide emissions. In fact, some jurisdictions may find that mandating reductions in these GHG emissions necessary to achieve their emissions goals in a timely manner. </w:t>
      </w:r>
      <w:r w:rsidR="00CC32A1">
        <w:t xml:space="preserve">To remain relevant and functional, any mandatory structure should be crafted in such a way that verification procedures can be updated as new methods and methodologies are developed without </w:t>
      </w:r>
      <w:r w:rsidR="00F86B99">
        <w:t xml:space="preserve">requiring intervention from state legislatures. </w:t>
      </w:r>
    </w:p>
    <w:p w14:paraId="027D452B" w14:textId="1794D5A3" w:rsidR="00FE5B27" w:rsidRDefault="00C02902" w:rsidP="00B42626">
      <w:pPr>
        <w:pStyle w:val="BodyText"/>
        <w:jc w:val="both"/>
      </w:pPr>
      <w:r>
        <w:t xml:space="preserve">First, this memorandum </w:t>
      </w:r>
      <w:r w:rsidR="000A2328">
        <w:t>provid</w:t>
      </w:r>
      <w:r>
        <w:t>es</w:t>
      </w:r>
      <w:r w:rsidR="000A2328">
        <w:t xml:space="preserve"> a background of offset credits generally, including the key legal criteria that are </w:t>
      </w:r>
      <w:r w:rsidR="00D2210F">
        <w:t xml:space="preserve">relied upon by </w:t>
      </w:r>
      <w:r w:rsidR="0034583F">
        <w:t xml:space="preserve">a number of </w:t>
      </w:r>
      <w:r w:rsidR="00D2210F">
        <w:t>jurisdictions</w:t>
      </w:r>
      <w:r w:rsidR="000A2328">
        <w:t xml:space="preserve"> to ensure that such credits represent legitima</w:t>
      </w:r>
      <w:r w:rsidR="00FE5B27">
        <w:t>te reductions in GHG emissions.</w:t>
      </w:r>
      <w:r w:rsidR="000A2328">
        <w:t xml:space="preserve"> </w:t>
      </w:r>
      <w:r w:rsidR="000656BC">
        <w:t xml:space="preserve">It then proceeds by describing the </w:t>
      </w:r>
      <w:r w:rsidR="00D2210F">
        <w:t xml:space="preserve">current </w:t>
      </w:r>
      <w:r w:rsidR="000656BC">
        <w:t xml:space="preserve">scope of </w:t>
      </w:r>
      <w:r w:rsidR="00D2210F">
        <w:t xml:space="preserve">CAR’s </w:t>
      </w:r>
      <w:r w:rsidR="007A1106">
        <w:t>NMPP</w:t>
      </w:r>
      <w:r w:rsidR="00393D15">
        <w:t xml:space="preserve"> </w:t>
      </w:r>
      <w:r w:rsidR="00FE5B27">
        <w:t xml:space="preserve">and </w:t>
      </w:r>
      <w:r w:rsidR="00D2210F">
        <w:t xml:space="preserve">evaluating </w:t>
      </w:r>
      <w:r w:rsidR="00FE5B27">
        <w:t xml:space="preserve">the </w:t>
      </w:r>
      <w:r w:rsidR="001A597D">
        <w:t xml:space="preserve">NMPP </w:t>
      </w:r>
      <w:r w:rsidR="00FE5B27">
        <w:t xml:space="preserve">against those hallmark criteria (e.g., additionally, </w:t>
      </w:r>
      <w:proofErr w:type="gramStart"/>
      <w:r w:rsidR="00FE5B27">
        <w:t>permanence,  quantifiability</w:t>
      </w:r>
      <w:proofErr w:type="gramEnd"/>
      <w:r w:rsidR="00D2210F">
        <w:t>, etc.</w:t>
      </w:r>
      <w:r w:rsidR="00FE5B27">
        <w:t>)</w:t>
      </w:r>
      <w:r w:rsidR="00D2210F">
        <w:t xml:space="preserve">. We also describe potential </w:t>
      </w:r>
      <w:r w:rsidR="000656BC">
        <w:t xml:space="preserve">areas for future expansion (in cooperation with CAR or through future </w:t>
      </w:r>
      <w:r w:rsidR="00FE5B27">
        <w:t xml:space="preserve">stakeholder-based </w:t>
      </w:r>
      <w:r w:rsidR="000656BC">
        <w:t xml:space="preserve">revisions to the </w:t>
      </w:r>
      <w:r w:rsidR="00AF0ED8">
        <w:t>NMPP</w:t>
      </w:r>
      <w:r w:rsidR="000656BC">
        <w:t xml:space="preserve">) once adequate data and quantification methods become available to ensure the legitimacy of reductions from </w:t>
      </w:r>
      <w:r w:rsidR="006447C7">
        <w:t xml:space="preserve">additional </w:t>
      </w:r>
      <w:r w:rsidR="000656BC">
        <w:t>activities (i.e., reductions associated with improve</w:t>
      </w:r>
      <w:r w:rsidR="00FE5B27">
        <w:t>d</w:t>
      </w:r>
      <w:r w:rsidR="000656BC">
        <w:t xml:space="preserve"> management of organic nitrogen). </w:t>
      </w:r>
      <w:r w:rsidR="00FE5B27">
        <w:t>This memorandum concludes by detailing how state</w:t>
      </w:r>
      <w:r w:rsidR="001A597D">
        <w:t xml:space="preserve"> or regional policymakers</w:t>
      </w:r>
      <w:r w:rsidR="00FE5B27">
        <w:t xml:space="preserve"> can incorporate this offset credit protocol within their current or future GHG reduction programs, and potential pitfalls and other issues that legislators and regulators should be aware of as they proceed.</w:t>
      </w:r>
    </w:p>
    <w:p w14:paraId="1AD333DA" w14:textId="77777777" w:rsidR="00D2210F" w:rsidRDefault="003A2C97" w:rsidP="00B42626">
      <w:pPr>
        <w:pStyle w:val="Heading1"/>
        <w:jc w:val="both"/>
        <w:rPr>
          <w:b/>
        </w:rPr>
      </w:pPr>
      <w:r>
        <w:rPr>
          <w:b/>
        </w:rPr>
        <w:lastRenderedPageBreak/>
        <w:t>Offset Credits and Key Criteria to Ensure Integrity of Reduction</w:t>
      </w:r>
    </w:p>
    <w:p w14:paraId="3378F2A3" w14:textId="77777777" w:rsidR="00612BF5" w:rsidRPr="006333B8" w:rsidRDefault="00612BF5" w:rsidP="00B42626">
      <w:pPr>
        <w:pStyle w:val="Heading2"/>
        <w:jc w:val="both"/>
        <w:rPr>
          <w:u w:val="single"/>
        </w:rPr>
      </w:pPr>
      <w:r>
        <w:rPr>
          <w:u w:val="single"/>
        </w:rPr>
        <w:t>Offset Credits as Legal Pathway for Achieving Reductions</w:t>
      </w:r>
    </w:p>
    <w:p w14:paraId="420129C9" w14:textId="4E11D534" w:rsidR="005A2735" w:rsidRDefault="005B0D33" w:rsidP="00B42626">
      <w:pPr>
        <w:pStyle w:val="BodyText"/>
        <w:jc w:val="both"/>
      </w:pPr>
      <w:r>
        <w:t xml:space="preserve">In general terms, an offset credit represents </w:t>
      </w:r>
      <w:r w:rsidR="000A092C">
        <w:t>the</w:t>
      </w:r>
      <w:r>
        <w:t xml:space="preserve"> reduction or sequestration of a </w:t>
      </w:r>
      <w:r w:rsidR="000A092C">
        <w:t xml:space="preserve">defined quantity of GHG emissions </w:t>
      </w:r>
      <w:r>
        <w:t>that mitigate</w:t>
      </w:r>
      <w:r w:rsidR="00E15E4B">
        <w:t>s</w:t>
      </w:r>
      <w:r>
        <w:t xml:space="preserve"> for an equivalent amount of GHG</w:t>
      </w:r>
      <w:r w:rsidR="000A092C">
        <w:t xml:space="preserve">s emitted </w:t>
      </w:r>
      <w:r>
        <w:t xml:space="preserve">elsewhere. </w:t>
      </w:r>
      <w:r w:rsidR="00E15E4B">
        <w:t xml:space="preserve">Ordinarily measured in metric tons of carbon dioxide equivalent (CO2e), offset credits can be procured and retired on a voluntary basis (e.g., an individual </w:t>
      </w:r>
      <w:r w:rsidR="00393D15">
        <w:t xml:space="preserve">or company </w:t>
      </w:r>
      <w:r w:rsidR="00E15E4B">
        <w:t>seeking to “offset” their GHG footprint) or</w:t>
      </w:r>
      <w:r w:rsidR="000A092C">
        <w:t xml:space="preserve"> by regulated entities subject to jurisdictional GHG reduction programs </w:t>
      </w:r>
      <w:r w:rsidR="006210AD">
        <w:t>that authorize their use</w:t>
      </w:r>
      <w:r w:rsidR="00393D15">
        <w:t xml:space="preserve"> to demonstrate compliance</w:t>
      </w:r>
      <w:r w:rsidR="000A092C">
        <w:t xml:space="preserve">. In the context of these </w:t>
      </w:r>
      <w:r w:rsidR="005057E1">
        <w:t xml:space="preserve">regulatory </w:t>
      </w:r>
      <w:r w:rsidR="000A092C">
        <w:t>programs, such as the California Cap-and-Trade Program</w:t>
      </w:r>
      <w:r w:rsidR="000A092C">
        <w:rPr>
          <w:rStyle w:val="FootnoteReference"/>
        </w:rPr>
        <w:footnoteReference w:id="6"/>
      </w:r>
      <w:r w:rsidR="000A092C">
        <w:t xml:space="preserve"> and the Regional Greenhouse Gas Initiative (RGGI)</w:t>
      </w:r>
      <w:r w:rsidR="006210AD">
        <w:t>,</w:t>
      </w:r>
      <w:r w:rsidR="000A092C">
        <w:rPr>
          <w:rStyle w:val="FootnoteReference"/>
        </w:rPr>
        <w:footnoteReference w:id="7"/>
      </w:r>
      <w:r w:rsidR="006210AD">
        <w:t xml:space="preserve"> offsets are issued for projects </w:t>
      </w:r>
      <w:r w:rsidR="00DA176F">
        <w:t>“</w:t>
      </w:r>
      <w:r w:rsidR="006210AD">
        <w:t>outside</w:t>
      </w:r>
      <w:r w:rsidR="00DA176F">
        <w:t>”</w:t>
      </w:r>
      <w:r w:rsidR="006210AD">
        <w:t xml:space="preserve"> the s</w:t>
      </w:r>
      <w:r w:rsidR="00DA176F">
        <w:t>cope of the regulatory program</w:t>
      </w:r>
      <w:r w:rsidR="00393D15">
        <w:t>.</w:t>
      </w:r>
    </w:p>
    <w:p w14:paraId="41ACE44D" w14:textId="4DF86D03" w:rsidR="00B25F48" w:rsidRDefault="006210AD" w:rsidP="00B42626">
      <w:pPr>
        <w:pStyle w:val="BodyText"/>
        <w:jc w:val="both"/>
      </w:pPr>
      <w:r>
        <w:t xml:space="preserve">These </w:t>
      </w:r>
      <w:r w:rsidR="005057E1">
        <w:t xml:space="preserve">regulatory </w:t>
      </w:r>
      <w:r>
        <w:t xml:space="preserve">programs generally operate by setting a jurisdiction-wide limit on </w:t>
      </w:r>
      <w:r w:rsidR="005A2735">
        <w:t xml:space="preserve">GHG emissions from regulated sources, typically </w:t>
      </w:r>
      <w:r w:rsidR="00DA176F">
        <w:t xml:space="preserve">comprising </w:t>
      </w:r>
      <w:r w:rsidR="005A2735">
        <w:t>large industrial sources, and then distributing “allowances” (</w:t>
      </w:r>
      <w:r w:rsidR="005057E1">
        <w:t xml:space="preserve">via </w:t>
      </w:r>
      <w:r w:rsidR="005A2735">
        <w:t>auctions, trading, free distribution) for each compliance period in an amount equivalent to th</w:t>
      </w:r>
      <w:r w:rsidR="00DA176F">
        <w:t>e</w:t>
      </w:r>
      <w:r w:rsidR="005A2735">
        <w:t xml:space="preserve"> economy-wide cap. As the cap declines over time</w:t>
      </w:r>
      <w:r w:rsidR="00DA176F">
        <w:t xml:space="preserve"> consistent with the jurisdiction’s emission reduction goals</w:t>
      </w:r>
      <w:r w:rsidR="005A2735">
        <w:t xml:space="preserve">, the number of allowances </w:t>
      </w:r>
      <w:r w:rsidR="008B574A">
        <w:t>made available</w:t>
      </w:r>
      <w:r w:rsidR="005A2735">
        <w:t xml:space="preserve"> by the jurisdiction decline</w:t>
      </w:r>
      <w:r w:rsidR="006447C7">
        <w:t>s</w:t>
      </w:r>
      <w:r w:rsidR="00DA176F">
        <w:t xml:space="preserve"> as well</w:t>
      </w:r>
      <w:r w:rsidR="005A2735">
        <w:t xml:space="preserve">, forcing regulated entities to reduce emissions </w:t>
      </w:r>
      <w:r w:rsidR="008B574A">
        <w:t>or acquire an increasingly scarce (and thus more costly) quantity of allo</w:t>
      </w:r>
      <w:r w:rsidR="008B1A0D">
        <w:t xml:space="preserve">wances to cover their emissions, and thereby driving least-cost reductions as individual entities engage in a cost-benefit </w:t>
      </w:r>
      <w:r w:rsidR="000F4B71">
        <w:t xml:space="preserve">analysis </w:t>
      </w:r>
      <w:r w:rsidR="008B1A0D">
        <w:t>comparing the cost of allowances to the value of emitting additional tons of GHGs.</w:t>
      </w:r>
      <w:r w:rsidR="008B574A">
        <w:t xml:space="preserve"> </w:t>
      </w:r>
    </w:p>
    <w:p w14:paraId="20BF4779" w14:textId="4E7ADE10" w:rsidR="00B25F48" w:rsidRDefault="008B1A0D" w:rsidP="00B42626">
      <w:pPr>
        <w:pStyle w:val="BodyText"/>
        <w:jc w:val="both"/>
      </w:pPr>
      <w:r>
        <w:t>When authorized by a</w:t>
      </w:r>
      <w:r w:rsidR="00B25F48">
        <w:t xml:space="preserve"> regulatory </w:t>
      </w:r>
      <w:r w:rsidR="001639D8">
        <w:t xml:space="preserve">GHG emission reduction </w:t>
      </w:r>
      <w:r w:rsidR="00B25F48">
        <w:t>program</w:t>
      </w:r>
      <w:r w:rsidR="008B574A">
        <w:t xml:space="preserve">, regulated entities can </w:t>
      </w:r>
      <w:r w:rsidR="00AC1566">
        <w:t>cover a portion of their emissions with offset credits in addition to</w:t>
      </w:r>
      <w:r w:rsidR="001639D8">
        <w:t>,</w:t>
      </w:r>
      <w:r>
        <w:t xml:space="preserve"> and as distinct from</w:t>
      </w:r>
      <w:r w:rsidR="001639D8">
        <w:t>,</w:t>
      </w:r>
      <w:r w:rsidR="00AC1566">
        <w:t xml:space="preserve"> allowances in certain circumstances, representing a 1-for-1 </w:t>
      </w:r>
      <w:r w:rsidR="00B25F48">
        <w:t>mitigation of the entity’s</w:t>
      </w:r>
      <w:r w:rsidR="00AC1566">
        <w:t xml:space="preserve"> emissions</w:t>
      </w:r>
      <w:r w:rsidR="00B25F48">
        <w:t xml:space="preserve"> from </w:t>
      </w:r>
      <w:r>
        <w:t xml:space="preserve">commensurate reductions or sequestration at </w:t>
      </w:r>
      <w:r w:rsidR="00B25F48">
        <w:t xml:space="preserve">sources outside the </w:t>
      </w:r>
      <w:r>
        <w:t>capped sectors</w:t>
      </w:r>
      <w:r w:rsidR="00AC1566">
        <w:t xml:space="preserve">. In practice, </w:t>
      </w:r>
      <w:r w:rsidR="00970386">
        <w:t xml:space="preserve">depending on how the economy-wide cap is set, </w:t>
      </w:r>
      <w:r w:rsidR="00AC1566">
        <w:t xml:space="preserve">this </w:t>
      </w:r>
      <w:r w:rsidR="00970386">
        <w:t xml:space="preserve">can </w:t>
      </w:r>
      <w:r w:rsidR="00AC1566">
        <w:t xml:space="preserve">result in regulated sources collectively emitting </w:t>
      </w:r>
      <w:r w:rsidR="00AC1566" w:rsidRPr="00B25F48">
        <w:rPr>
          <w:u w:val="single"/>
        </w:rPr>
        <w:t>more</w:t>
      </w:r>
      <w:r w:rsidR="00AC1566">
        <w:t xml:space="preserve"> than the economy-wide cap</w:t>
      </w:r>
      <w:r w:rsidR="00D33E97">
        <w:t>/allowance budget</w:t>
      </w:r>
      <w:r w:rsidR="00AC1566">
        <w:t xml:space="preserve">, but neutralizing that overage through reductions elsewhere. In California, for example, sources have historically been permitted to </w:t>
      </w:r>
      <w:r>
        <w:t>cover</w:t>
      </w:r>
      <w:r w:rsidR="00AC1566">
        <w:t xml:space="preserve"> 8 percent of their annual emissions with offset credits, instead of allowances.</w:t>
      </w:r>
      <w:r w:rsidR="001D56F9">
        <w:rPr>
          <w:rStyle w:val="FootnoteReference"/>
        </w:rPr>
        <w:footnoteReference w:id="8"/>
      </w:r>
      <w:r w:rsidR="00AC1566">
        <w:t xml:space="preserve"> </w:t>
      </w:r>
    </w:p>
    <w:p w14:paraId="6525BD34" w14:textId="6F5BB38A" w:rsidR="00B25F48" w:rsidRPr="00332122" w:rsidRDefault="00AC1566" w:rsidP="00B42626">
      <w:pPr>
        <w:pStyle w:val="BodyText"/>
        <w:jc w:val="both"/>
      </w:pPr>
      <w:r>
        <w:t xml:space="preserve">Offsets have been recognized as </w:t>
      </w:r>
      <w:r w:rsidR="00B25F48">
        <w:t>important, win-win</w:t>
      </w:r>
      <w:r>
        <w:t xml:space="preserve"> components of these programs, as they provide cost-containment </w:t>
      </w:r>
      <w:r w:rsidR="004C5A6C">
        <w:t xml:space="preserve">benefits </w:t>
      </w:r>
      <w:r w:rsidR="00450E8E">
        <w:t>for</w:t>
      </w:r>
      <w:r>
        <w:t xml:space="preserve"> regulated s</w:t>
      </w:r>
      <w:r w:rsidR="00450E8E">
        <w:t>ources</w:t>
      </w:r>
      <w:r>
        <w:t xml:space="preserve">, </w:t>
      </w:r>
      <w:r w:rsidR="001D56F9">
        <w:t xml:space="preserve">incentivize reductions </w:t>
      </w:r>
      <w:r w:rsidR="00450E8E">
        <w:t xml:space="preserve">outside of the capped sectors, and promote the </w:t>
      </w:r>
      <w:r w:rsidR="00B25F48">
        <w:t>positive aspects</w:t>
      </w:r>
      <w:r w:rsidR="00450E8E">
        <w:t xml:space="preserve"> of</w:t>
      </w:r>
      <w:r w:rsidR="001D56F9">
        <w:t xml:space="preserve"> regulating GHG emissions</w:t>
      </w:r>
      <w:r w:rsidR="00450E8E">
        <w:t xml:space="preserve"> to a wider </w:t>
      </w:r>
      <w:r w:rsidR="00B25F48">
        <w:t>population (e.g.,</w:t>
      </w:r>
      <w:r w:rsidR="001D56F9">
        <w:t xml:space="preserve"> by spreading the economic benefits of regulation to a more diverse base of </w:t>
      </w:r>
      <w:r w:rsidR="00450E8E">
        <w:t>communities and sectors</w:t>
      </w:r>
      <w:r w:rsidR="00B25F48">
        <w:t>, such as dairy farmers or</w:t>
      </w:r>
      <w:r w:rsidR="00450E8E">
        <w:t xml:space="preserve"> forest owners,</w:t>
      </w:r>
      <w:r w:rsidR="00B25F48">
        <w:t xml:space="preserve"> which </w:t>
      </w:r>
      <w:r w:rsidR="00450E8E">
        <w:t xml:space="preserve">can generate revenue by </w:t>
      </w:r>
      <w:r w:rsidR="00450E8E">
        <w:lastRenderedPageBreak/>
        <w:t>sequestering or avoiding the</w:t>
      </w:r>
      <w:r w:rsidR="00B25F48">
        <w:t>ir own smaller-scale GHG emissions). Re</w:t>
      </w:r>
      <w:r w:rsidR="008B1A0D">
        <w:t>ducing</w:t>
      </w:r>
      <w:r w:rsidR="00B25F48">
        <w:t xml:space="preserve"> </w:t>
      </w:r>
      <w:r w:rsidR="00CC5B3C" w:rsidRPr="00CC5B3C">
        <w:t xml:space="preserve">nitrous oxide </w:t>
      </w:r>
      <w:r w:rsidR="00B25F48">
        <w:t>emissions at agricultural sources fits squarely within this paradigm, a</w:t>
      </w:r>
      <w:r w:rsidR="004B3A07">
        <w:t>s</w:t>
      </w:r>
      <w:r w:rsidR="00B25F48">
        <w:t xml:space="preserve"> inclusion of a protocol for generating credits from </w:t>
      </w:r>
      <w:r w:rsidR="00533850">
        <w:t xml:space="preserve">improved </w:t>
      </w:r>
      <w:r w:rsidR="00B25F48">
        <w:t>nitrogen management practices within the context of a broa</w:t>
      </w:r>
      <w:r w:rsidR="004B3A07">
        <w:t xml:space="preserve">der GHG reduction program would leverage </w:t>
      </w:r>
      <w:r w:rsidR="008B1A0D">
        <w:t xml:space="preserve">market forces to positively incentivize improved behavior in a sector that heretofore has escaped direct GHG regulation. </w:t>
      </w:r>
    </w:p>
    <w:p w14:paraId="73D86255" w14:textId="77777777" w:rsidR="00A07CEB" w:rsidRDefault="002538A2" w:rsidP="00B42626">
      <w:pPr>
        <w:pStyle w:val="Heading2"/>
        <w:jc w:val="both"/>
        <w:rPr>
          <w:u w:val="single"/>
        </w:rPr>
      </w:pPr>
      <w:r>
        <w:rPr>
          <w:u w:val="single"/>
        </w:rPr>
        <w:t>Key Legal Criteria Must Be Satisfied to Ensure Offsets Possess Complete Environmental Integrity</w:t>
      </w:r>
    </w:p>
    <w:p w14:paraId="4F414D0A" w14:textId="028E6EE1" w:rsidR="00450E8E" w:rsidRDefault="00C56BE1" w:rsidP="00B42626">
      <w:pPr>
        <w:pStyle w:val="BodyText"/>
        <w:jc w:val="both"/>
      </w:pPr>
      <w:r>
        <w:t>For offset credits to function a</w:t>
      </w:r>
      <w:r w:rsidR="00AA5042">
        <w:t>s intended, it is essential that the GHG emi</w:t>
      </w:r>
      <w:r w:rsidR="002538A2">
        <w:t xml:space="preserve">ssion reductions they represent </w:t>
      </w:r>
      <w:r w:rsidR="00DF4C70">
        <w:t xml:space="preserve">maintain </w:t>
      </w:r>
      <w:r w:rsidR="0000741C">
        <w:t xml:space="preserve">complete </w:t>
      </w:r>
      <w:r w:rsidR="002538A2">
        <w:t xml:space="preserve">environmental integrity. Across </w:t>
      </w:r>
      <w:r w:rsidR="00B63BA7">
        <w:t xml:space="preserve">exiting </w:t>
      </w:r>
      <w:r w:rsidR="002538A2">
        <w:t xml:space="preserve">regulatory programs, </w:t>
      </w:r>
      <w:r w:rsidR="00B63BA7">
        <w:t>several core</w:t>
      </w:r>
      <w:r w:rsidR="002538A2">
        <w:t xml:space="preserve"> </w:t>
      </w:r>
      <w:r w:rsidR="00B63BA7">
        <w:t xml:space="preserve">legal </w:t>
      </w:r>
      <w:r w:rsidR="00DF4C70">
        <w:t>criteria are generally applied to ensure this, and</w:t>
      </w:r>
      <w:r w:rsidR="0000741C">
        <w:t xml:space="preserve"> represent widely</w:t>
      </w:r>
      <w:r w:rsidR="000848C6">
        <w:t>-accepted standards that offset projects must achieve</w:t>
      </w:r>
      <w:r w:rsidR="0000741C">
        <w:t xml:space="preserve">, regardless of jurisdiction: real, additional, quantifiable, permanent, </w:t>
      </w:r>
      <w:r w:rsidR="00CD7737">
        <w:t>v</w:t>
      </w:r>
      <w:r w:rsidR="0000741C">
        <w:t>erifiable</w:t>
      </w:r>
      <w:r w:rsidR="00CD7737">
        <w:t>, and enforceable</w:t>
      </w:r>
      <w:r w:rsidR="00B42626">
        <w:t>. These</w:t>
      </w:r>
      <w:r w:rsidR="00531B64">
        <w:t xml:space="preserve"> </w:t>
      </w:r>
      <w:r w:rsidR="0000741C">
        <w:t xml:space="preserve">criteria </w:t>
      </w:r>
      <w:r w:rsidR="00B42626">
        <w:t>have been recognized in various incarnations for decades.</w:t>
      </w:r>
      <w:r w:rsidR="00531B64">
        <w:t xml:space="preserve"> </w:t>
      </w:r>
      <w:r w:rsidR="00EC7C1C">
        <w:t xml:space="preserve">More recently, the </w:t>
      </w:r>
      <w:r w:rsidR="0000741C">
        <w:t>Western Climate Initiative</w:t>
      </w:r>
      <w:r w:rsidR="00412B28">
        <w:t xml:space="preserve"> (WCI)</w:t>
      </w:r>
      <w:r w:rsidR="0000741C">
        <w:t xml:space="preserve"> </w:t>
      </w:r>
      <w:r w:rsidR="006453B9">
        <w:t xml:space="preserve">in July 2010 released final recommendations for its partner jurisdictions following an extensive stakeholder process that </w:t>
      </w:r>
      <w:r w:rsidR="000875DA">
        <w:t>reviewed and distilled existing offset programs and protocols</w:t>
      </w:r>
      <w:r w:rsidR="005A7E49">
        <w:t>.</w:t>
      </w:r>
      <w:r w:rsidR="005A7E49">
        <w:rPr>
          <w:rStyle w:val="FootnoteReference"/>
        </w:rPr>
        <w:footnoteReference w:id="9"/>
      </w:r>
      <w:r w:rsidR="005A7E49">
        <w:t xml:space="preserve"> </w:t>
      </w:r>
      <w:r w:rsidR="000875DA">
        <w:t xml:space="preserve"> </w:t>
      </w:r>
      <w:r w:rsidR="00A33C3E">
        <w:t xml:space="preserve">In short, </w:t>
      </w:r>
      <w:r w:rsidR="00412B28">
        <w:t xml:space="preserve">as set forth by the WCI, </w:t>
      </w:r>
      <w:r w:rsidR="000848C6">
        <w:t xml:space="preserve">reductions or removals must be </w:t>
      </w:r>
      <w:r w:rsidR="000848C6" w:rsidRPr="00412B28">
        <w:rPr>
          <w:u w:val="single"/>
        </w:rPr>
        <w:t>real</w:t>
      </w:r>
      <w:r w:rsidR="000848C6">
        <w:t xml:space="preserve"> (representing </w:t>
      </w:r>
      <w:r w:rsidR="00412B28">
        <w:t xml:space="preserve">a clearly identified action or decision, </w:t>
      </w:r>
      <w:r w:rsidR="00D160FB">
        <w:t xml:space="preserve">conservatively and </w:t>
      </w:r>
      <w:r w:rsidR="00412B28">
        <w:t xml:space="preserve">accurately </w:t>
      </w:r>
      <w:r w:rsidR="00412B28" w:rsidRPr="00D160FB">
        <w:rPr>
          <w:u w:val="single"/>
        </w:rPr>
        <w:t>quantified</w:t>
      </w:r>
      <w:r w:rsidR="00412B28">
        <w:t xml:space="preserve">, accounting for leakage), </w:t>
      </w:r>
      <w:r w:rsidR="00412B28">
        <w:rPr>
          <w:u w:val="single"/>
        </w:rPr>
        <w:t>additional</w:t>
      </w:r>
      <w:r w:rsidR="00412B28">
        <w:t xml:space="preserve"> (beyond what would occur under a baseline scenario</w:t>
      </w:r>
      <w:r w:rsidR="00B619E4">
        <w:t>, reflecting existing legal requirements</w:t>
      </w:r>
      <w:r w:rsidR="00412B28">
        <w:t>),</w:t>
      </w:r>
      <w:r w:rsidR="00B619E4">
        <w:t xml:space="preserve"> </w:t>
      </w:r>
      <w:r w:rsidR="00B619E4">
        <w:rPr>
          <w:u w:val="single"/>
        </w:rPr>
        <w:t>permanent</w:t>
      </w:r>
      <w:r w:rsidR="00B619E4">
        <w:t xml:space="preserve"> (</w:t>
      </w:r>
      <w:r w:rsidR="003A2BE2">
        <w:t xml:space="preserve">reductions or removals are irreversible or replaceable), and </w:t>
      </w:r>
      <w:r w:rsidR="003A2BE2">
        <w:rPr>
          <w:u w:val="single"/>
        </w:rPr>
        <w:t>verifiable</w:t>
      </w:r>
      <w:r w:rsidR="003A2BE2">
        <w:t xml:space="preserve"> (reductions or removals are well-documented and transparent such that they </w:t>
      </w:r>
      <w:r w:rsidR="00D160FB">
        <w:t xml:space="preserve">are </w:t>
      </w:r>
      <w:r w:rsidR="00D160FB" w:rsidRPr="00D160FB">
        <w:rPr>
          <w:u w:val="single"/>
        </w:rPr>
        <w:t>enforceable</w:t>
      </w:r>
      <w:r w:rsidR="00D160FB">
        <w:t xml:space="preserve"> </w:t>
      </w:r>
      <w:r w:rsidR="009E4604">
        <w:t xml:space="preserve">and </w:t>
      </w:r>
      <w:r w:rsidR="003A2BE2">
        <w:t>can be objectively reviewed and confirmed by a third-party).</w:t>
      </w:r>
      <w:r w:rsidR="003A2BE2">
        <w:rPr>
          <w:rStyle w:val="FootnoteReference"/>
        </w:rPr>
        <w:footnoteReference w:id="10"/>
      </w:r>
      <w:r w:rsidR="00B619E4">
        <w:t xml:space="preserve"> </w:t>
      </w:r>
      <w:r w:rsidR="00412B28">
        <w:t xml:space="preserve"> </w:t>
      </w:r>
    </w:p>
    <w:p w14:paraId="173563B5" w14:textId="2D405839" w:rsidR="009E4604" w:rsidRDefault="00C27BDD" w:rsidP="00B42626">
      <w:pPr>
        <w:pStyle w:val="BodyText"/>
        <w:jc w:val="both"/>
      </w:pPr>
      <w:r>
        <w:t xml:space="preserve">The Regional Greenhouse Gas Initiative (RGGI) </w:t>
      </w:r>
      <w:r w:rsidR="00FE6D4B">
        <w:t>has established s</w:t>
      </w:r>
      <w:r>
        <w:t>ubstantially the same criteria in the offsets section of its Model Rule</w:t>
      </w:r>
      <w:r w:rsidR="00FE6D4B">
        <w:t xml:space="preserve">, requiring that offsets represent reductions or sequestration that </w:t>
      </w:r>
      <w:r w:rsidR="00273B2D">
        <w:t xml:space="preserve">are </w:t>
      </w:r>
      <w:r w:rsidR="00FE6D4B">
        <w:t>real, additional, verifiable, enforceable, and permanent utilizing a standards-based approach.</w:t>
      </w:r>
      <w:r w:rsidR="00FE6D4B">
        <w:rPr>
          <w:rStyle w:val="FootnoteReference"/>
        </w:rPr>
        <w:footnoteReference w:id="11"/>
      </w:r>
      <w:r w:rsidR="00FE6D4B">
        <w:t xml:space="preserve">  </w:t>
      </w:r>
      <w:r w:rsidR="0076117A">
        <w:t>California</w:t>
      </w:r>
      <w:r w:rsidR="002F112D">
        <w:t xml:space="preserve"> </w:t>
      </w:r>
      <w:r>
        <w:t xml:space="preserve">likewise </w:t>
      </w:r>
      <w:r w:rsidR="002F112D">
        <w:t>applies these same eligibility requirements for offset credits within its Cap-and-Trade Program, requiring that offsets represent reductions or removals that are real, additional, quantifiable, permanent, verifiable, and enforceable.</w:t>
      </w:r>
      <w:r w:rsidR="002F112D">
        <w:rPr>
          <w:rStyle w:val="FootnoteReference"/>
        </w:rPr>
        <w:footnoteReference w:id="12"/>
      </w:r>
      <w:r w:rsidR="00A35F06">
        <w:t xml:space="preserve"> Each of these criteria are defined in further detail by California’s Air Resources Board (CARB).</w:t>
      </w:r>
      <w:r w:rsidR="00A35F06">
        <w:rPr>
          <w:rStyle w:val="FootnoteReference"/>
        </w:rPr>
        <w:footnoteReference w:id="13"/>
      </w:r>
      <w:r w:rsidR="00A35F06">
        <w:t xml:space="preserve"> </w:t>
      </w:r>
      <w:r w:rsidR="00F55C75">
        <w:t>For example, CARB defines “additional”</w:t>
      </w:r>
      <w:r w:rsidR="00A05615">
        <w:t xml:space="preserve"> in explicit terms </w:t>
      </w:r>
      <w:r w:rsidR="00F55C75">
        <w:t xml:space="preserve">as “greenhouse gas emission reductions or removals that exceed any greenhouse gas reduction or removals otherwise required by law, regulation or legally </w:t>
      </w:r>
      <w:r w:rsidR="00F55C75">
        <w:lastRenderedPageBreak/>
        <w:t>binding mandate, and that exceed any greenhouse gas reductions or removals that would otherwise occur in a conservative business-as-usual scenario.”</w:t>
      </w:r>
      <w:r w:rsidR="00F55C75">
        <w:rPr>
          <w:rStyle w:val="FootnoteReference"/>
        </w:rPr>
        <w:footnoteReference w:id="14"/>
      </w:r>
      <w:r w:rsidR="00A05615">
        <w:t xml:space="preserve">  In 2015, the California Court of Appeals </w:t>
      </w:r>
      <w:r w:rsidR="00CB187C">
        <w:t>up</w:t>
      </w:r>
      <w:r w:rsidR="006565D9">
        <w:t xml:space="preserve">held CARB’s regulatory additionality </w:t>
      </w:r>
      <w:r w:rsidR="004C5A6C">
        <w:t>standards</w:t>
      </w:r>
      <w:r w:rsidR="006565D9">
        <w:t xml:space="preserve"> as satisfying AB 32’s general </w:t>
      </w:r>
      <w:r w:rsidR="004C5A6C">
        <w:t>(</w:t>
      </w:r>
      <w:r w:rsidR="006565D9">
        <w:t xml:space="preserve">and </w:t>
      </w:r>
      <w:r w:rsidR="004C5A6C">
        <w:t xml:space="preserve">otherwise </w:t>
      </w:r>
      <w:r w:rsidR="006565D9">
        <w:t>undefined</w:t>
      </w:r>
      <w:r w:rsidR="004C5A6C">
        <w:t>)</w:t>
      </w:r>
      <w:r w:rsidR="006565D9">
        <w:t xml:space="preserve"> requirement that reductions be “in addition to any greenhouse gas emission reduction . . . that otherwise would occur,” reinforcing the soundness of CARB’s approach.</w:t>
      </w:r>
      <w:r w:rsidR="0098101C">
        <w:rPr>
          <w:rStyle w:val="FootnoteReference"/>
        </w:rPr>
        <w:footnoteReference w:id="15"/>
      </w:r>
      <w:r w:rsidR="006565D9">
        <w:t xml:space="preserve"> </w:t>
      </w:r>
    </w:p>
    <w:p w14:paraId="763EDFE2" w14:textId="65541C22" w:rsidR="006565D9" w:rsidRPr="006565D9" w:rsidRDefault="006565D9" w:rsidP="00B42626">
      <w:pPr>
        <w:pStyle w:val="BodyText"/>
        <w:jc w:val="both"/>
      </w:pPr>
      <w:r>
        <w:t xml:space="preserve">As detailed further </w:t>
      </w:r>
      <w:r>
        <w:rPr>
          <w:i/>
        </w:rPr>
        <w:t>infra</w:t>
      </w:r>
      <w:r w:rsidR="00E574D9" w:rsidRPr="00EC7C1C">
        <w:t xml:space="preserve"> </w:t>
      </w:r>
      <w:r w:rsidR="00AF0ED8">
        <w:t xml:space="preserve">in </w:t>
      </w:r>
      <w:r w:rsidR="00E574D9" w:rsidRPr="00EC7C1C">
        <w:t>Section VI.A</w:t>
      </w:r>
      <w:r w:rsidR="004C5A6C">
        <w:t>,</w:t>
      </w:r>
      <w:r>
        <w:t xml:space="preserve"> CARB has adapted a number of existing Climate Action Reserve (CAR) protocols for use </w:t>
      </w:r>
      <w:r w:rsidR="004E40CE">
        <w:t xml:space="preserve">in </w:t>
      </w:r>
      <w:r>
        <w:t>California</w:t>
      </w:r>
      <w:r w:rsidR="009E4604">
        <w:t xml:space="preserve"> without substantial change, speaking to their general consistency with these criteria, including additionally.</w:t>
      </w:r>
    </w:p>
    <w:p w14:paraId="651FC5BA" w14:textId="164A4CD0" w:rsidR="003A2C97" w:rsidRPr="00A07CEB" w:rsidRDefault="003A2C97" w:rsidP="00B42626">
      <w:pPr>
        <w:pStyle w:val="Heading1"/>
        <w:jc w:val="both"/>
        <w:rPr>
          <w:b/>
        </w:rPr>
      </w:pPr>
      <w:r>
        <w:rPr>
          <w:b/>
        </w:rPr>
        <w:t xml:space="preserve">Nitrogen Management Project Protocol </w:t>
      </w:r>
      <w:r w:rsidR="00A07CEB">
        <w:rPr>
          <w:b/>
        </w:rPr>
        <w:t xml:space="preserve">V2.0 </w:t>
      </w:r>
      <w:r>
        <w:rPr>
          <w:b/>
        </w:rPr>
        <w:t>Scope</w:t>
      </w:r>
    </w:p>
    <w:p w14:paraId="0EF16EAE" w14:textId="7C35376D" w:rsidR="0009666C" w:rsidRDefault="0079625B" w:rsidP="00B42626">
      <w:pPr>
        <w:pStyle w:val="Heading2"/>
        <w:jc w:val="both"/>
        <w:rPr>
          <w:u w:val="single"/>
        </w:rPr>
      </w:pPr>
      <w:r>
        <w:rPr>
          <w:u w:val="single"/>
        </w:rPr>
        <w:t>NMPP Version 2.0 Stakeholder Engagement Process and Updates</w:t>
      </w:r>
    </w:p>
    <w:p w14:paraId="5FBE2248" w14:textId="5FB94A92" w:rsidR="0023736E" w:rsidRDefault="00FA3BEF" w:rsidP="00B42626">
      <w:pPr>
        <w:pStyle w:val="BodyText"/>
        <w:jc w:val="both"/>
      </w:pPr>
      <w:r>
        <w:t xml:space="preserve">The </w:t>
      </w:r>
      <w:r w:rsidR="000C2E04">
        <w:t xml:space="preserve">first </w:t>
      </w:r>
      <w:r>
        <w:t>version of CAR’s</w:t>
      </w:r>
      <w:r w:rsidR="0023736E">
        <w:t xml:space="preserve"> </w:t>
      </w:r>
      <w:r w:rsidR="0023736E" w:rsidRPr="0023736E">
        <w:t xml:space="preserve">Nitrogen </w:t>
      </w:r>
      <w:r w:rsidR="0023736E">
        <w:t xml:space="preserve">Management Project Protocol Version 1.0 was published in 2012. This </w:t>
      </w:r>
      <w:r w:rsidR="00A3728F">
        <w:t xml:space="preserve">Protocol </w:t>
      </w:r>
      <w:r w:rsidR="0023736E">
        <w:t xml:space="preserve">was the product of </w:t>
      </w:r>
      <w:r w:rsidR="00600B98">
        <w:t>significant</w:t>
      </w:r>
      <w:r w:rsidR="0023736E">
        <w:t xml:space="preserve"> research and analysis regarding methods for quantifying </w:t>
      </w:r>
      <w:r w:rsidR="00CC5B3C" w:rsidRPr="00CC5B3C">
        <w:t xml:space="preserve">nitrous oxide </w:t>
      </w:r>
      <w:r w:rsidR="0023736E">
        <w:t>emissions, options for determining the additionality of offset projects, and opportunities for land use management in the United States</w:t>
      </w:r>
      <w:r w:rsidR="00767445">
        <w:t>, however was limited at that time to reductions in corn fields only</w:t>
      </w:r>
      <w:r w:rsidR="0023736E">
        <w:t>.</w:t>
      </w:r>
      <w:r w:rsidR="0023736E">
        <w:rPr>
          <w:rStyle w:val="FootnoteReference"/>
        </w:rPr>
        <w:footnoteReference w:id="16"/>
      </w:r>
      <w:r w:rsidR="0023736E">
        <w:t xml:space="preserve"> </w:t>
      </w:r>
    </w:p>
    <w:p w14:paraId="5F2FB139" w14:textId="066CD5C2" w:rsidR="005A78A5" w:rsidRDefault="00FA3BEF" w:rsidP="00B42626">
      <w:pPr>
        <w:pStyle w:val="BodyText"/>
        <w:jc w:val="both"/>
      </w:pPr>
      <w:r>
        <w:t xml:space="preserve">In 2016, </w:t>
      </w:r>
      <w:r w:rsidR="005A78A5">
        <w:t xml:space="preserve">CAR circulated a survey to key stakeholders to assess opportunities for improvement and expansion of the </w:t>
      </w:r>
      <w:r w:rsidR="00A3728F">
        <w:t>Protocol</w:t>
      </w:r>
      <w:r w:rsidR="005A78A5">
        <w:t>.</w:t>
      </w:r>
      <w:r w:rsidR="005A78A5">
        <w:rPr>
          <w:rStyle w:val="FootnoteReference"/>
        </w:rPr>
        <w:footnoteReference w:id="17"/>
      </w:r>
      <w:r w:rsidR="005A78A5">
        <w:t xml:space="preserve"> </w:t>
      </w:r>
      <w:r w:rsidR="00677AEF">
        <w:t xml:space="preserve"> </w:t>
      </w:r>
      <w:r w:rsidR="00600B98">
        <w:t xml:space="preserve">In short order, </w:t>
      </w:r>
      <w:r w:rsidR="00273B2D">
        <w:t>CAR</w:t>
      </w:r>
      <w:r w:rsidR="00600B98">
        <w:t xml:space="preserve"> also </w:t>
      </w:r>
      <w:r w:rsidR="00677AEF">
        <w:t>circulated a request for proposals to support the development of a new quantification methodology</w:t>
      </w:r>
      <w:r w:rsidR="00677AEF">
        <w:rPr>
          <w:rStyle w:val="FootnoteReference"/>
        </w:rPr>
        <w:footnoteReference w:id="18"/>
      </w:r>
      <w:r w:rsidR="00677AEF">
        <w:t xml:space="preserve"> </w:t>
      </w:r>
      <w:r w:rsidR="00AF0ED8">
        <w:t xml:space="preserve">and </w:t>
      </w:r>
      <w:r w:rsidR="00677AEF">
        <w:t>held four workgrou</w:t>
      </w:r>
      <w:r>
        <w:t>p</w:t>
      </w:r>
      <w:r w:rsidR="00677AEF">
        <w:t xml:space="preserve"> meetings as a </w:t>
      </w:r>
      <w:r w:rsidR="00677AEF">
        <w:lastRenderedPageBreak/>
        <w:t>part of its multi</w:t>
      </w:r>
      <w:r>
        <w:t>-</w:t>
      </w:r>
      <w:r w:rsidR="00677AEF">
        <w:t xml:space="preserve">stakeholder workgroup process </w:t>
      </w:r>
      <w:r w:rsidR="00600B98">
        <w:t xml:space="preserve">to expand the protocol. CAR </w:t>
      </w:r>
      <w:r w:rsidR="00677AEF">
        <w:t xml:space="preserve">sought public comments in response to the August 2018 draft of the </w:t>
      </w:r>
      <w:r w:rsidR="00AF0ED8">
        <w:t>P</w:t>
      </w:r>
      <w:r w:rsidR="00677AEF">
        <w:t>rotocol</w:t>
      </w:r>
      <w:r w:rsidR="00600B98">
        <w:t>, and released Version 2.0 of the Protocol in late 2018.</w:t>
      </w:r>
      <w:r>
        <w:rPr>
          <w:rStyle w:val="FootnoteReference"/>
        </w:rPr>
        <w:footnoteReference w:id="19"/>
      </w:r>
      <w:r>
        <w:t xml:space="preserve"> </w:t>
      </w:r>
      <w:r w:rsidR="00767445">
        <w:t xml:space="preserve">As part of this process, CAR considered a wide range of potential </w:t>
      </w:r>
      <w:r w:rsidR="00B73CF4">
        <w:t>practices, including manure management, the 4Rs (Right Rate, Right Time, Right Source, Right Place), cover crops, and precision agriculture.</w:t>
      </w:r>
      <w:r w:rsidR="00B73CF4">
        <w:rPr>
          <w:rStyle w:val="FootnoteReference"/>
        </w:rPr>
        <w:footnoteReference w:id="20"/>
      </w:r>
    </w:p>
    <w:p w14:paraId="43AEB165" w14:textId="006272B5" w:rsidR="005A78A5" w:rsidRPr="003B39F0" w:rsidRDefault="00A03954" w:rsidP="00B42626">
      <w:pPr>
        <w:pStyle w:val="BodyText"/>
        <w:jc w:val="both"/>
      </w:pPr>
      <w:r w:rsidRPr="00C025C3">
        <w:t>Version 2.0 of the Protocol</w:t>
      </w:r>
      <w:r w:rsidR="00F417F9" w:rsidRPr="00C025C3">
        <w:t xml:space="preserve"> made a series of important changes to Version 1.0, including</w:t>
      </w:r>
      <w:r w:rsidRPr="00C025C3">
        <w:t xml:space="preserve"> implement</w:t>
      </w:r>
      <w:r w:rsidR="00F417F9" w:rsidRPr="00C025C3">
        <w:t>ing</w:t>
      </w:r>
      <w:r w:rsidRPr="00C025C3">
        <w:t xml:space="preserve"> hei</w:t>
      </w:r>
      <w:r w:rsidR="00FA3BEF" w:rsidRPr="00C025C3">
        <w:t>ghted requirements for quant</w:t>
      </w:r>
      <w:r w:rsidR="00600B98" w:rsidRPr="00C025C3">
        <w:t xml:space="preserve">ifying GHG emissions reductions. The revised version </w:t>
      </w:r>
      <w:r w:rsidR="005A78A5" w:rsidRPr="00C025C3">
        <w:t>also included adjusted legal requirements for purposes of determining additionality</w:t>
      </w:r>
      <w:r w:rsidR="00600B98" w:rsidRPr="00C025C3">
        <w:t xml:space="preserve"> and features updated monitoring, reporting, and verification requirements</w:t>
      </w:r>
      <w:r w:rsidR="005A78A5" w:rsidRPr="00C025C3">
        <w:t>.</w:t>
      </w:r>
      <w:r w:rsidR="00E87065" w:rsidRPr="00C025C3">
        <w:rPr>
          <w:rStyle w:val="FootnoteReference"/>
        </w:rPr>
        <w:footnoteReference w:id="21"/>
      </w:r>
      <w:r w:rsidR="00FA3BEF" w:rsidRPr="00C025C3">
        <w:t xml:space="preserve"> </w:t>
      </w:r>
      <w:r w:rsidR="00545C5D" w:rsidRPr="00C025C3">
        <w:t>The Protocol also significantly expanded the crops and geographies for eligibl</w:t>
      </w:r>
      <w:r w:rsidR="005D1400" w:rsidRPr="00C025C3">
        <w:t>e project activities</w:t>
      </w:r>
      <w:r w:rsidR="00F417F9" w:rsidRPr="00C025C3">
        <w:t>. Project activities eligible for quantification and credit generation under Version 2.0 include (1) reductions</w:t>
      </w:r>
      <w:r w:rsidR="0042298E" w:rsidRPr="00C025C3">
        <w:t xml:space="preserve"> </w:t>
      </w:r>
      <w:r w:rsidR="00D36000" w:rsidRPr="00C025C3">
        <w:t xml:space="preserve">in </w:t>
      </w:r>
      <w:r w:rsidR="0042298E" w:rsidRPr="00C025C3">
        <w:t>the annual synthetic nitrogen application rate compared to baseline levels, without going below nitrogen demand and</w:t>
      </w:r>
      <w:r w:rsidR="00F417F9" w:rsidRPr="00C025C3">
        <w:t xml:space="preserve"> (2) use of enhanced efficiency fertilizers (EEFs), </w:t>
      </w:r>
      <w:r w:rsidR="00D36000" w:rsidRPr="00C025C3">
        <w:t xml:space="preserve">both of which are </w:t>
      </w:r>
      <w:r w:rsidR="0042298E" w:rsidRPr="00C025C3">
        <w:t>applicable</w:t>
      </w:r>
      <w:r w:rsidR="00F417F9" w:rsidRPr="00C025C3">
        <w:t xml:space="preserve"> to </w:t>
      </w:r>
      <w:r w:rsidR="005D1400" w:rsidRPr="00C025C3">
        <w:t xml:space="preserve">8 crops across </w:t>
      </w:r>
      <w:r w:rsidR="008D1E8E" w:rsidRPr="00C025C3">
        <w:t>31</w:t>
      </w:r>
      <w:r w:rsidR="005D1400" w:rsidRPr="00C025C3">
        <w:t xml:space="preserve"> states.</w:t>
      </w:r>
      <w:r w:rsidR="0042298E" w:rsidRPr="00C025C3">
        <w:rPr>
          <w:rStyle w:val="FootnoteReference"/>
        </w:rPr>
        <w:footnoteReference w:id="22"/>
      </w:r>
      <w:r w:rsidR="005D1400" w:rsidRPr="00C025C3">
        <w:t xml:space="preserve"> </w:t>
      </w:r>
      <w:r w:rsidR="00AF0ED8">
        <w:t>While CAR evaluated a wide</w:t>
      </w:r>
      <w:r w:rsidR="00C00048" w:rsidRPr="00C025C3">
        <w:t xml:space="preserve"> range of potential management practices described above, CAR concluded that the lack of comprehensive datasets on “business as usual” nitrogen management practices and </w:t>
      </w:r>
      <w:r w:rsidR="00D36000" w:rsidRPr="00C025C3">
        <w:t xml:space="preserve">the </w:t>
      </w:r>
      <w:r w:rsidR="00CB136D" w:rsidRPr="00C025C3">
        <w:t xml:space="preserve">absence of </w:t>
      </w:r>
      <w:r w:rsidR="00C00048" w:rsidRPr="00C025C3">
        <w:t>quan</w:t>
      </w:r>
      <w:r w:rsidR="00CB136D" w:rsidRPr="00C025C3">
        <w:t>tification methodologies that met CAR’s criteria</w:t>
      </w:r>
      <w:r w:rsidR="00C00048" w:rsidRPr="00C025C3">
        <w:t xml:space="preserve"> precluded development of standards </w:t>
      </w:r>
      <w:r w:rsidR="00D36000" w:rsidRPr="00C025C3">
        <w:t xml:space="preserve">at this time </w:t>
      </w:r>
      <w:r w:rsidR="00C00048" w:rsidRPr="00C025C3">
        <w:t xml:space="preserve">for </w:t>
      </w:r>
      <w:r w:rsidR="00CB136D" w:rsidRPr="00C025C3">
        <w:t xml:space="preserve">a number of the practices </w:t>
      </w:r>
      <w:r w:rsidR="00D36000" w:rsidRPr="00C025C3">
        <w:t xml:space="preserve">that were </w:t>
      </w:r>
      <w:r w:rsidR="00CB136D" w:rsidRPr="00C025C3">
        <w:t>considered, including for cover crops, manure management, precision agriculture, “right time”</w:t>
      </w:r>
      <w:r w:rsidR="00D36000" w:rsidRPr="00C025C3">
        <w:t xml:space="preserve"> practices</w:t>
      </w:r>
      <w:r w:rsidR="00CB136D" w:rsidRPr="00C025C3">
        <w:t xml:space="preserve"> (e.g., season of fertilizer application), “right source” </w:t>
      </w:r>
      <w:r w:rsidR="00D36000" w:rsidRPr="00C025C3">
        <w:t xml:space="preserve">practices </w:t>
      </w:r>
      <w:r w:rsidR="00CB136D" w:rsidRPr="00C025C3">
        <w:t xml:space="preserve">(e.g., switching from anhydrous ammonia to urea), and “right place” </w:t>
      </w:r>
      <w:r w:rsidR="00D36000" w:rsidRPr="00C025C3">
        <w:t xml:space="preserve">practices </w:t>
      </w:r>
      <w:r w:rsidR="00CB136D" w:rsidRPr="00C025C3">
        <w:t>(e.g., applying nitrogen below soil surface closer to roots).</w:t>
      </w:r>
      <w:r w:rsidR="00CB136D" w:rsidRPr="00C025C3">
        <w:rPr>
          <w:rStyle w:val="FootnoteReference"/>
        </w:rPr>
        <w:footnoteReference w:id="23"/>
      </w:r>
      <w:r w:rsidR="00D36000" w:rsidRPr="00C025C3">
        <w:t xml:space="preserve"> As detailed below, we consider these and other practices as areas for future expansion of the NMPP, as adequate data becomes available.</w:t>
      </w:r>
      <w:r w:rsidR="00D36000">
        <w:t xml:space="preserve"> </w:t>
      </w:r>
    </w:p>
    <w:p w14:paraId="1FD859CB" w14:textId="7E7B33A2" w:rsidR="003A2C97" w:rsidRPr="003B39F0" w:rsidRDefault="00600B98" w:rsidP="00B42626">
      <w:pPr>
        <w:pStyle w:val="Heading2"/>
        <w:jc w:val="both"/>
        <w:rPr>
          <w:u w:val="single"/>
        </w:rPr>
      </w:pPr>
      <w:r w:rsidRPr="003B39F0">
        <w:rPr>
          <w:u w:val="single"/>
        </w:rPr>
        <w:t xml:space="preserve">NMPP </w:t>
      </w:r>
      <w:r w:rsidR="003A2C97" w:rsidRPr="003B39F0">
        <w:rPr>
          <w:u w:val="single"/>
        </w:rPr>
        <w:t xml:space="preserve">Meets Basic </w:t>
      </w:r>
      <w:r w:rsidR="00A07CEB" w:rsidRPr="003B39F0">
        <w:rPr>
          <w:u w:val="single"/>
        </w:rPr>
        <w:t xml:space="preserve">Legal </w:t>
      </w:r>
      <w:r w:rsidR="003A2C97" w:rsidRPr="003B39F0">
        <w:rPr>
          <w:u w:val="single"/>
        </w:rPr>
        <w:t>Criteria</w:t>
      </w:r>
    </w:p>
    <w:p w14:paraId="08D896A6" w14:textId="5F6AC7C6" w:rsidR="003B39F0" w:rsidRPr="003B39F0" w:rsidRDefault="004E40CE" w:rsidP="00B42626">
      <w:pPr>
        <w:pStyle w:val="BodyText"/>
        <w:jc w:val="both"/>
      </w:pPr>
      <w:r w:rsidRPr="003B39F0">
        <w:t xml:space="preserve">CAR’s </w:t>
      </w:r>
      <w:r w:rsidR="00600B98" w:rsidRPr="003B39F0">
        <w:t xml:space="preserve">NMPP </w:t>
      </w:r>
      <w:r w:rsidRPr="003B39F0">
        <w:t xml:space="preserve">meets accepted offset criteria, including ensuring that offset projects represent emissions reductions that are real, additional, verifiable, </w:t>
      </w:r>
      <w:r w:rsidR="003A3C70" w:rsidRPr="003B39F0">
        <w:t xml:space="preserve">quantifiable, </w:t>
      </w:r>
      <w:r w:rsidRPr="003B39F0">
        <w:t>enforceable, and permanent.</w:t>
      </w:r>
      <w:r w:rsidR="00355DB0" w:rsidRPr="003B39F0">
        <w:rPr>
          <w:rStyle w:val="FootnoteReference"/>
        </w:rPr>
        <w:footnoteReference w:id="24"/>
      </w:r>
      <w:r w:rsidRPr="003B39F0">
        <w:t xml:space="preserve"> </w:t>
      </w:r>
      <w:r w:rsidR="00270FB6">
        <w:t xml:space="preserve"> Although our analysis focuses on the use of the CAR protocol for offsets, given the rigor of the program, the CAR protocol could potentially be used to measure and verify emissions reductions that are required by law. </w:t>
      </w:r>
    </w:p>
    <w:p w14:paraId="031772EF" w14:textId="701FA3B7" w:rsidR="004E40CE" w:rsidRPr="003B39F0" w:rsidRDefault="004E40CE" w:rsidP="00B42626">
      <w:pPr>
        <w:pStyle w:val="Heading3"/>
        <w:jc w:val="both"/>
      </w:pPr>
      <w:r w:rsidRPr="003B39F0">
        <w:lastRenderedPageBreak/>
        <w:t>Real</w:t>
      </w:r>
    </w:p>
    <w:p w14:paraId="35A0E742" w14:textId="1784F024" w:rsidR="004E40CE" w:rsidRPr="004A0AA0" w:rsidRDefault="004E40CE" w:rsidP="00B42626">
      <w:pPr>
        <w:pStyle w:val="BodyText"/>
        <w:jc w:val="both"/>
      </w:pPr>
      <w:r w:rsidRPr="003B39F0">
        <w:t xml:space="preserve">To qualify as real, offset credits should be offered only for activities that result in a net greenhouse gas emission reduction. As a result, an offset credit should either avoid or account for “leakage,” the process by which an offset credit project owner shifts the location of an emitting activity rather than eliminating a certain source of emissions. The result of leakage is that emissions are </w:t>
      </w:r>
      <w:r w:rsidR="00935B90" w:rsidRPr="003B39F0">
        <w:t>constrained</w:t>
      </w:r>
      <w:r w:rsidRPr="003B39F0">
        <w:t xml:space="preserve"> locally, but not </w:t>
      </w:r>
      <w:r w:rsidR="00935B90" w:rsidRPr="003B39F0">
        <w:t xml:space="preserve">actually reduced </w:t>
      </w:r>
      <w:r w:rsidRPr="003B39F0">
        <w:t xml:space="preserve">on a global scale. The NMPP only </w:t>
      </w:r>
      <w:r w:rsidR="00935B90" w:rsidRPr="003B39F0">
        <w:t>features</w:t>
      </w:r>
      <w:r w:rsidRPr="003B39F0">
        <w:t xml:space="preserve"> practices with consistent nitrogen emission reduction potential.</w:t>
      </w:r>
      <w:r w:rsidR="00E87065" w:rsidRPr="003B39F0">
        <w:rPr>
          <w:rStyle w:val="FootnoteReference"/>
        </w:rPr>
        <w:footnoteReference w:id="25"/>
      </w:r>
      <w:r w:rsidRPr="003B39F0">
        <w:t xml:space="preserve"> </w:t>
      </w:r>
      <w:r w:rsidR="00935B90" w:rsidRPr="003B39F0">
        <w:t xml:space="preserve">Furthermore the </w:t>
      </w:r>
      <w:r w:rsidR="00CC6E37">
        <w:t>P</w:t>
      </w:r>
      <w:r w:rsidR="00CC6E37" w:rsidRPr="003B39F0">
        <w:t xml:space="preserve">rotocol </w:t>
      </w:r>
      <w:r w:rsidR="00935B90" w:rsidRPr="003B39F0">
        <w:t xml:space="preserve">contains a performance standard to </w:t>
      </w:r>
      <w:r w:rsidR="00247B25" w:rsidRPr="003B39F0">
        <w:t xml:space="preserve">account for any </w:t>
      </w:r>
      <w:r w:rsidR="00935B90" w:rsidRPr="003B39F0">
        <w:t>reductions in</w:t>
      </w:r>
      <w:r w:rsidR="00247B25" w:rsidRPr="003B39F0">
        <w:t xml:space="preserve"> yield as a result of decreased nitrogen use.</w:t>
      </w:r>
      <w:r w:rsidR="007B2997" w:rsidRPr="003B39F0">
        <w:rPr>
          <w:rStyle w:val="FootnoteReference"/>
        </w:rPr>
        <w:footnoteReference w:id="26"/>
      </w:r>
      <w:r w:rsidR="00247B25" w:rsidRPr="003B39F0">
        <w:t xml:space="preserve"> </w:t>
      </w:r>
      <w:r w:rsidR="003B39F0" w:rsidRPr="003B39F0">
        <w:t>T</w:t>
      </w:r>
      <w:r w:rsidR="00247B25" w:rsidRPr="003B39F0">
        <w:t xml:space="preserve">he </w:t>
      </w:r>
      <w:r w:rsidR="00CC6E37">
        <w:t>P</w:t>
      </w:r>
      <w:r w:rsidR="00CC6E37" w:rsidRPr="003B39F0">
        <w:t xml:space="preserve">rotocol </w:t>
      </w:r>
      <w:r w:rsidR="00247B25" w:rsidRPr="003B39F0">
        <w:t xml:space="preserve">addresses any significant decreases in yield that could result in greater </w:t>
      </w:r>
      <w:r w:rsidR="00CC5B3C" w:rsidRPr="00CC5B3C">
        <w:t xml:space="preserve">nitrous oxide </w:t>
      </w:r>
      <w:r w:rsidR="00247B25" w:rsidRPr="003B39F0">
        <w:t>emissions outside of the project area.</w:t>
      </w:r>
      <w:r w:rsidR="007B2997" w:rsidRPr="003B39F0">
        <w:rPr>
          <w:rStyle w:val="FootnoteReference"/>
        </w:rPr>
        <w:footnoteReference w:id="27"/>
      </w:r>
      <w:r w:rsidR="00247B25" w:rsidRPr="003B39F0">
        <w:t xml:space="preserve"> </w:t>
      </w:r>
      <w:r w:rsidR="003B39F0" w:rsidRPr="003B39F0">
        <w:t xml:space="preserve">In drafting the Protocol, CAR </w:t>
      </w:r>
      <w:r w:rsidR="0088170B">
        <w:t xml:space="preserve">also </w:t>
      </w:r>
      <w:r w:rsidR="003B39F0" w:rsidRPr="003B39F0">
        <w:t xml:space="preserve">took </w:t>
      </w:r>
      <w:r w:rsidRPr="003B39F0">
        <w:t xml:space="preserve">a </w:t>
      </w:r>
      <w:r w:rsidRPr="004A0AA0">
        <w:t xml:space="preserve">conservative approach to quantifying nitrogen emission reductions to help ensure that all offset projects result in </w:t>
      </w:r>
      <w:r w:rsidR="0088170B">
        <w:t>“</w:t>
      </w:r>
      <w:r w:rsidRPr="004A0AA0">
        <w:t>real</w:t>
      </w:r>
      <w:r w:rsidR="0088170B">
        <w:t>”</w:t>
      </w:r>
      <w:r w:rsidRPr="004A0AA0">
        <w:t xml:space="preserve"> emissions reductions</w:t>
      </w:r>
      <w:r w:rsidR="0088170B">
        <w:t>, consistent with this criterion.</w:t>
      </w:r>
      <w:r w:rsidR="00355DB0" w:rsidRPr="004A0AA0">
        <w:rPr>
          <w:rStyle w:val="FootnoteReference"/>
        </w:rPr>
        <w:footnoteReference w:id="28"/>
      </w:r>
      <w:r w:rsidRPr="004A0AA0">
        <w:t xml:space="preserve"> </w:t>
      </w:r>
    </w:p>
    <w:p w14:paraId="78D49DCD" w14:textId="77777777" w:rsidR="004E40CE" w:rsidRPr="004A0AA0" w:rsidRDefault="004E40CE" w:rsidP="00B42626">
      <w:pPr>
        <w:pStyle w:val="Heading3"/>
        <w:jc w:val="both"/>
      </w:pPr>
      <w:r w:rsidRPr="004A0AA0">
        <w:t>Additionality</w:t>
      </w:r>
    </w:p>
    <w:p w14:paraId="0FB6B59D" w14:textId="1F55EF9E" w:rsidR="004E40CE" w:rsidRPr="004A0AA0" w:rsidRDefault="0098101C" w:rsidP="00B42626">
      <w:pPr>
        <w:pStyle w:val="BodyText"/>
        <w:jc w:val="both"/>
      </w:pPr>
      <w:r w:rsidRPr="004A0AA0">
        <w:t xml:space="preserve">As discussed </w:t>
      </w:r>
      <w:r w:rsidR="00CC6E37">
        <w:t xml:space="preserve">below and referenced </w:t>
      </w:r>
      <w:r w:rsidR="00CC6E37">
        <w:rPr>
          <w:i/>
        </w:rPr>
        <w:t>supra</w:t>
      </w:r>
      <w:r w:rsidRPr="004A0AA0">
        <w:t xml:space="preserve">, the California Court of Appeals </w:t>
      </w:r>
      <w:r w:rsidR="00CC6E37">
        <w:t xml:space="preserve">has </w:t>
      </w:r>
      <w:r w:rsidR="004E40CE" w:rsidRPr="004A0AA0">
        <w:t xml:space="preserve">held that CARB’s </w:t>
      </w:r>
      <w:r w:rsidR="0088170B">
        <w:t xml:space="preserve">regulatory </w:t>
      </w:r>
      <w:r w:rsidR="008635DC">
        <w:t>implementation</w:t>
      </w:r>
      <w:r w:rsidR="008635DC" w:rsidRPr="004A0AA0">
        <w:t xml:space="preserve"> </w:t>
      </w:r>
      <w:r w:rsidR="004E40CE" w:rsidRPr="004A0AA0">
        <w:t xml:space="preserve">of </w:t>
      </w:r>
      <w:r w:rsidR="008635DC">
        <w:t>“</w:t>
      </w:r>
      <w:r w:rsidR="004E40CE" w:rsidRPr="004A0AA0">
        <w:t>additional</w:t>
      </w:r>
      <w:r w:rsidR="008635DC">
        <w:t>”</w:t>
      </w:r>
      <w:r w:rsidR="004E40CE" w:rsidRPr="004A0AA0">
        <w:t xml:space="preserve"> greenhouse gas </w:t>
      </w:r>
      <w:r w:rsidR="0088170B">
        <w:t xml:space="preserve">emission </w:t>
      </w:r>
      <w:r w:rsidR="004E40CE" w:rsidRPr="004A0AA0">
        <w:t xml:space="preserve">reductions </w:t>
      </w:r>
      <w:r w:rsidR="0088170B">
        <w:t>adequately implemented the</w:t>
      </w:r>
      <w:r w:rsidR="008635DC">
        <w:t xml:space="preserve"> relatively sparse and undefined</w:t>
      </w:r>
      <w:r w:rsidR="0088170B">
        <w:t xml:space="preserve"> statutory additionality requirement</w:t>
      </w:r>
      <w:r w:rsidR="008635DC">
        <w:t xml:space="preserve"> adopted by California in AB 32</w:t>
      </w:r>
      <w:r w:rsidR="004E40CE" w:rsidRPr="004A0AA0">
        <w:t>.</w:t>
      </w:r>
      <w:r w:rsidR="00355DB0" w:rsidRPr="004A0AA0">
        <w:rPr>
          <w:rStyle w:val="FootnoteReference"/>
        </w:rPr>
        <w:footnoteReference w:id="29"/>
      </w:r>
      <w:r w:rsidR="004E40CE" w:rsidRPr="004A0AA0">
        <w:t xml:space="preserve"> The definition of additionality </w:t>
      </w:r>
      <w:r w:rsidRPr="004A0AA0">
        <w:t xml:space="preserve">used by </w:t>
      </w:r>
      <w:r w:rsidR="0088170B">
        <w:t>CARB</w:t>
      </w:r>
      <w:r w:rsidRPr="004A0AA0">
        <w:t xml:space="preserve"> </w:t>
      </w:r>
      <w:r w:rsidR="0088170B">
        <w:t xml:space="preserve">and affirmed by the </w:t>
      </w:r>
      <w:r w:rsidR="0088170B">
        <w:rPr>
          <w:i/>
        </w:rPr>
        <w:t xml:space="preserve">Our Children’s Earth </w:t>
      </w:r>
      <w:r w:rsidR="0088170B">
        <w:t xml:space="preserve">court </w:t>
      </w:r>
      <w:r w:rsidR="004E40CE" w:rsidRPr="004A0AA0">
        <w:t>read</w:t>
      </w:r>
      <w:r w:rsidRPr="004A0AA0">
        <w:t>s</w:t>
      </w:r>
      <w:r w:rsidR="004E40CE" w:rsidRPr="004A0AA0">
        <w:t xml:space="preserve"> as follows: “in the context of offset credits, greenhouse gas emission reductions or removals that exceed any greenhouse gas reduction or removals otherwise required by law, regulation or legally binding mandate, and that exceed any greenhouse gas reductions or removals that would otherwise occur in a conservative business-as-usua</w:t>
      </w:r>
      <w:r w:rsidR="0042298E">
        <w:t>l scenario.” 17 Cal. Code Regs.</w:t>
      </w:r>
      <w:r w:rsidR="004E40CE" w:rsidRPr="004A0AA0">
        <w:t xml:space="preserve"> § 95802</w:t>
      </w:r>
      <w:r w:rsidR="0042298E">
        <w:t>(</w:t>
      </w:r>
      <w:r w:rsidR="004E40CE" w:rsidRPr="004A0AA0">
        <w:t>a)(4</w:t>
      </w:r>
      <w:r w:rsidRPr="004A0AA0">
        <w:t>)</w:t>
      </w:r>
      <w:r w:rsidR="004E40CE" w:rsidRPr="004A0AA0">
        <w:t xml:space="preserve">. </w:t>
      </w:r>
      <w:r w:rsidR="008635DC">
        <w:t>Importantly, in</w:t>
      </w:r>
      <w:r w:rsidR="00C568F5">
        <w:t xml:space="preserve"> </w:t>
      </w:r>
      <w:r w:rsidR="008635DC">
        <w:t>squarely affirming</w:t>
      </w:r>
      <w:r w:rsidR="00C568F5">
        <w:t xml:space="preserve"> the </w:t>
      </w:r>
      <w:r w:rsidR="006211D5">
        <w:t xml:space="preserve">legal </w:t>
      </w:r>
      <w:r w:rsidR="00C568F5">
        <w:t xml:space="preserve">sufficiency of CARB’s regulatory definition </w:t>
      </w:r>
      <w:r w:rsidR="008635DC">
        <w:t>as</w:t>
      </w:r>
      <w:r w:rsidR="00C568F5">
        <w:t xml:space="preserve"> meeting </w:t>
      </w:r>
      <w:proofErr w:type="gramStart"/>
      <w:r w:rsidR="00C568F5">
        <w:t xml:space="preserve">this </w:t>
      </w:r>
      <w:r w:rsidR="006211D5">
        <w:t xml:space="preserve">universal </w:t>
      </w:r>
      <w:r w:rsidR="00C568F5">
        <w:t>criteria</w:t>
      </w:r>
      <w:proofErr w:type="gramEnd"/>
      <w:r w:rsidR="00C568F5">
        <w:t xml:space="preserve">, </w:t>
      </w:r>
      <w:r w:rsidR="008635DC">
        <w:t xml:space="preserve">the Court also </w:t>
      </w:r>
      <w:r w:rsidR="000D2805">
        <w:t>specifically referenced and effectively affirmed</w:t>
      </w:r>
      <w:r w:rsidR="008635DC">
        <w:t xml:space="preserve"> </w:t>
      </w:r>
      <w:r w:rsidR="00C568F5">
        <w:t xml:space="preserve">the standards-based approach </w:t>
      </w:r>
      <w:r w:rsidR="000D2805">
        <w:t xml:space="preserve">to additionality </w:t>
      </w:r>
      <w:r w:rsidR="00C568F5">
        <w:t>applied by CAR in creating its protocol</w:t>
      </w:r>
      <w:r w:rsidR="000D2805">
        <w:t>s, some of which had already been adopted by CARB under its regulatory additionality criteria</w:t>
      </w:r>
      <w:r w:rsidR="00C568F5" w:rsidRPr="004A0AA0">
        <w:t>.</w:t>
      </w:r>
      <w:r w:rsidR="00C568F5" w:rsidRPr="004A0AA0">
        <w:rPr>
          <w:rStyle w:val="FootnoteReference"/>
        </w:rPr>
        <w:footnoteReference w:id="30"/>
      </w:r>
      <w:r w:rsidR="00C568F5" w:rsidRPr="004A0AA0">
        <w:t xml:space="preserve"> </w:t>
      </w:r>
    </w:p>
    <w:p w14:paraId="6F62107D" w14:textId="777CF3DF" w:rsidR="004E40CE" w:rsidRPr="004A0AA0" w:rsidRDefault="006211D5" w:rsidP="00B42626">
      <w:pPr>
        <w:pStyle w:val="BodyText"/>
        <w:jc w:val="both"/>
      </w:pPr>
      <w:r>
        <w:t xml:space="preserve">The NMPP is no different. </w:t>
      </w:r>
      <w:r w:rsidR="0098101C" w:rsidRPr="004A0AA0">
        <w:t>CAR</w:t>
      </w:r>
      <w:r w:rsidR="004E40CE" w:rsidRPr="004A0AA0">
        <w:t xml:space="preserve"> carefully considered whether the elements of the Protocol allowed for certification of offset projects that were truly additional in California.</w:t>
      </w:r>
      <w:r w:rsidR="009C3D38" w:rsidRPr="004A0AA0">
        <w:t xml:space="preserve"> The </w:t>
      </w:r>
      <w:r>
        <w:t>P</w:t>
      </w:r>
      <w:r w:rsidRPr="004A0AA0">
        <w:t xml:space="preserve">rotocol </w:t>
      </w:r>
      <w:r w:rsidR="009C3D38" w:rsidRPr="004A0AA0">
        <w:t>indicates that fields are ineligible for inclusion in offset projects if there is no county nitrogen use efficiency threshold for use in assessing additionality.</w:t>
      </w:r>
      <w:r w:rsidR="00F97C68" w:rsidRPr="004A0AA0">
        <w:rPr>
          <w:rStyle w:val="FootnoteReference"/>
        </w:rPr>
        <w:footnoteReference w:id="31"/>
      </w:r>
      <w:r w:rsidR="009C3D38" w:rsidRPr="004A0AA0">
        <w:t xml:space="preserve"> </w:t>
      </w:r>
      <w:r w:rsidR="004E40CE" w:rsidRPr="004A0AA0">
        <w:t xml:space="preserve">CAR </w:t>
      </w:r>
      <w:r>
        <w:t xml:space="preserve">also </w:t>
      </w:r>
      <w:r w:rsidR="004E40CE" w:rsidRPr="004A0AA0">
        <w:t xml:space="preserve">determined that the contents of this Protocol could meet this standard based on regulations at the time of publishing version 2.0 in October 2018. As this </w:t>
      </w:r>
      <w:r>
        <w:t>P</w:t>
      </w:r>
      <w:r w:rsidR="004E40CE" w:rsidRPr="004A0AA0">
        <w:t xml:space="preserve">rotocol is adopted </w:t>
      </w:r>
      <w:r>
        <w:t xml:space="preserve">within </w:t>
      </w:r>
      <w:r w:rsidR="004E40CE" w:rsidRPr="004A0AA0">
        <w:t xml:space="preserve">emissions trading schemes or </w:t>
      </w:r>
      <w:r>
        <w:t xml:space="preserve">by </w:t>
      </w:r>
      <w:r w:rsidR="004E40CE" w:rsidRPr="004A0AA0">
        <w:t xml:space="preserve">other entities, it </w:t>
      </w:r>
      <w:r>
        <w:t xml:space="preserve">can </w:t>
      </w:r>
      <w:r w:rsidR="004E40CE" w:rsidRPr="004A0AA0">
        <w:t xml:space="preserve">be adjusted to reflect the regulations existing in relevant jurisdictions. </w:t>
      </w:r>
      <w:r w:rsidR="006C023A">
        <w:t xml:space="preserve">CAR </w:t>
      </w:r>
      <w:r w:rsidR="00D50D50">
        <w:t>or governments that adopt an offset standard could schedule protocol</w:t>
      </w:r>
      <w:r w:rsidR="006C023A">
        <w:t xml:space="preserve"> reviews at regular intervals </w:t>
      </w:r>
      <w:r w:rsidR="00D50D50">
        <w:t xml:space="preserve">and/or after key program updates </w:t>
      </w:r>
      <w:r w:rsidR="006C023A">
        <w:t xml:space="preserve">to incorporate </w:t>
      </w:r>
      <w:r w:rsidR="00D50D50">
        <w:t>changes</w:t>
      </w:r>
      <w:r w:rsidR="006C023A">
        <w:t xml:space="preserve"> in mandatory</w:t>
      </w:r>
      <w:r w:rsidR="00F23AA4">
        <w:t xml:space="preserve"> government programs </w:t>
      </w:r>
      <w:r w:rsidR="00D50D50">
        <w:t xml:space="preserve">to ensure they are </w:t>
      </w:r>
      <w:r w:rsidR="00D50D50">
        <w:lastRenderedPageBreak/>
        <w:t>not identified as opportunities for additional offsets.  As new voluntary man</w:t>
      </w:r>
      <w:r w:rsidR="00E504C4">
        <w:t>agement standards are developed, these can also be incorporated into offset programs as appropriate.</w:t>
      </w:r>
      <w:r w:rsidR="006C023A">
        <w:t xml:space="preserve"> </w:t>
      </w:r>
      <w:r w:rsidR="004E40CE" w:rsidRPr="004A0AA0">
        <w:t xml:space="preserve">In addition to ensuring that the </w:t>
      </w:r>
      <w:r w:rsidR="009974E8">
        <w:t>P</w:t>
      </w:r>
      <w:r w:rsidR="009974E8" w:rsidRPr="004A0AA0">
        <w:t xml:space="preserve">rotocol </w:t>
      </w:r>
      <w:r w:rsidR="004E40CE" w:rsidRPr="004A0AA0">
        <w:t>includes only projects not required by laws and regulations, entities that implement</w:t>
      </w:r>
      <w:r w:rsidR="009974E8">
        <w:t xml:space="preserve"> it</w:t>
      </w:r>
      <w:r w:rsidR="004E40CE" w:rsidRPr="004A0AA0">
        <w:t xml:space="preserve"> must further confirm that specific offset projects were not required by judicial or administrative orders.</w:t>
      </w:r>
      <w:r w:rsidR="009974E8">
        <w:t xml:space="preserve"> The </w:t>
      </w:r>
      <w:r w:rsidR="009974E8" w:rsidRPr="004A0AA0">
        <w:t xml:space="preserve">Protocol </w:t>
      </w:r>
      <w:r w:rsidR="009974E8">
        <w:t>is also c</w:t>
      </w:r>
      <w:r w:rsidR="009974E8" w:rsidRPr="004A0AA0">
        <w:t xml:space="preserve">arefully designed to ensure that </w:t>
      </w:r>
      <w:r w:rsidR="009974E8">
        <w:t xml:space="preserve">qualifying projects </w:t>
      </w:r>
      <w:r w:rsidR="009974E8" w:rsidRPr="004A0AA0">
        <w:t>would not have occurred in a business-as-usual scenario</w:t>
      </w:r>
      <w:r w:rsidR="000D2805">
        <w:t>, effectively satisfying this core criteria</w:t>
      </w:r>
      <w:r w:rsidR="009974E8" w:rsidRPr="004A0AA0">
        <w:t>.</w:t>
      </w:r>
      <w:r w:rsidR="009974E8">
        <w:rPr>
          <w:rStyle w:val="FootnoteReference"/>
        </w:rPr>
        <w:footnoteReference w:id="32"/>
      </w:r>
      <w:r w:rsidR="004E40CE" w:rsidRPr="004A0AA0">
        <w:t xml:space="preserve"> </w:t>
      </w:r>
    </w:p>
    <w:p w14:paraId="73338F43" w14:textId="77777777" w:rsidR="003A3C70" w:rsidRPr="00B532FB" w:rsidRDefault="003A3C70" w:rsidP="00B42626">
      <w:pPr>
        <w:pStyle w:val="Heading3"/>
        <w:jc w:val="both"/>
      </w:pPr>
      <w:r w:rsidRPr="00D439C7">
        <w:t xml:space="preserve">Verifiable </w:t>
      </w:r>
      <w:r w:rsidR="0080069F" w:rsidRPr="00D439C7">
        <w:t>and Q</w:t>
      </w:r>
      <w:r w:rsidRPr="00D439C7">
        <w:t>uantifiable</w:t>
      </w:r>
    </w:p>
    <w:p w14:paraId="1C0BF5AD" w14:textId="4DB706A2" w:rsidR="003A3C70" w:rsidRDefault="003A3C70" w:rsidP="00B42626">
      <w:pPr>
        <w:pStyle w:val="BodyText"/>
        <w:jc w:val="both"/>
      </w:pPr>
      <w:r w:rsidRPr="00B532FB">
        <w:t xml:space="preserve">Projects should only </w:t>
      </w:r>
      <w:r w:rsidR="00606228">
        <w:t>generate</w:t>
      </w:r>
      <w:r w:rsidRPr="00B532FB">
        <w:t xml:space="preserve"> offset credits when their impact on net greenhouse gas emissions can be monitored, quantified, and verified. As a result, the NMPP includes careful reporting requirements and excludes projects with difficult-to-measure emissions impacts.</w:t>
      </w:r>
      <w:r w:rsidR="00B532FB">
        <w:rPr>
          <w:rStyle w:val="FootnoteReference"/>
        </w:rPr>
        <w:footnoteReference w:id="33"/>
      </w:r>
      <w:r w:rsidRPr="00B532FB">
        <w:t xml:space="preserve"> </w:t>
      </w:r>
      <w:r w:rsidR="00B533D2">
        <w:t xml:space="preserve">The </w:t>
      </w:r>
      <w:r w:rsidR="00A3728F">
        <w:t>P</w:t>
      </w:r>
      <w:r w:rsidR="00B533D2">
        <w:t>rotocol establishes a broad framework for verification as well as detailed requirements</w:t>
      </w:r>
      <w:r w:rsidR="00606228">
        <w:t>,</w:t>
      </w:r>
      <w:r w:rsidR="00B533D2">
        <w:t xml:space="preserve"> such as </w:t>
      </w:r>
      <w:r w:rsidR="00606228">
        <w:t xml:space="preserve">a detailed </w:t>
      </w:r>
      <w:r w:rsidR="00B533D2">
        <w:t xml:space="preserve">sampling methodology </w:t>
      </w:r>
      <w:r w:rsidR="00606228">
        <w:t>and requirements for verifiers</w:t>
      </w:r>
      <w:r w:rsidR="00B533D2">
        <w:t>. The NMPP and supplemental materials provide a clear verification standard on which to base the review and identify priority areas that are key to the functioning of the program.</w:t>
      </w:r>
      <w:r w:rsidR="00B533D2">
        <w:rPr>
          <w:rStyle w:val="FootnoteReference"/>
        </w:rPr>
        <w:footnoteReference w:id="34"/>
      </w:r>
    </w:p>
    <w:p w14:paraId="11DCBCE6" w14:textId="09A7D294" w:rsidR="009C3D38" w:rsidRPr="00D439C7" w:rsidRDefault="00B533D2" w:rsidP="00B42626">
      <w:pPr>
        <w:pStyle w:val="BodyText"/>
        <w:jc w:val="both"/>
      </w:pPr>
      <w:r>
        <w:t>As a baseline principle, the NMPP states that a</w:t>
      </w:r>
      <w:r w:rsidR="009C3D38">
        <w:t xml:space="preserve"> field is ineligible for inclusion in an offset project if </w:t>
      </w:r>
      <w:r w:rsidR="00606228">
        <w:t>key “</w:t>
      </w:r>
      <w:proofErr w:type="spellStart"/>
      <w:r w:rsidR="009C3D38">
        <w:t>NMQuanTool</w:t>
      </w:r>
      <w:proofErr w:type="spellEnd"/>
      <w:r w:rsidR="00606228">
        <w:t>”</w:t>
      </w:r>
      <w:r w:rsidR="009C3D38">
        <w:t xml:space="preserve"> cannot </w:t>
      </w:r>
      <w:r w:rsidR="00B66D7E">
        <w:t>quantify</w:t>
      </w:r>
      <w:r w:rsidR="009C3D38">
        <w:t xml:space="preserve"> emissions reductions for its crop-region combination.</w:t>
      </w:r>
      <w:r>
        <w:rPr>
          <w:rStyle w:val="FootnoteReference"/>
        </w:rPr>
        <w:footnoteReference w:id="35"/>
      </w:r>
      <w:r w:rsidR="009C3D38">
        <w:t xml:space="preserve"> </w:t>
      </w:r>
      <w:r w:rsidR="00545C5D">
        <w:t xml:space="preserve">The </w:t>
      </w:r>
      <w:proofErr w:type="spellStart"/>
      <w:r w:rsidR="00545C5D">
        <w:t>NMQuanTool</w:t>
      </w:r>
      <w:proofErr w:type="spellEnd"/>
      <w:r w:rsidR="00545C5D">
        <w:t xml:space="preserve"> is an emission factor-based quantification tool used to calculate </w:t>
      </w:r>
      <w:r w:rsidR="00CC5B3C" w:rsidRPr="00CC5B3C">
        <w:t>nitrous oxide</w:t>
      </w:r>
      <w:r w:rsidR="00545C5D">
        <w:t xml:space="preserve"> emission reductions from an offset project based on information about the field’s region, crop, and other farm management practices.</w:t>
      </w:r>
    </w:p>
    <w:p w14:paraId="5C478F3B" w14:textId="77777777" w:rsidR="004E40CE" w:rsidRPr="00D439C7" w:rsidRDefault="004E40CE" w:rsidP="00B42626">
      <w:pPr>
        <w:pStyle w:val="Heading3"/>
        <w:jc w:val="both"/>
      </w:pPr>
      <w:r w:rsidRPr="00D439C7">
        <w:t>Enforceable</w:t>
      </w:r>
    </w:p>
    <w:p w14:paraId="404EB5CE" w14:textId="7DC43BB0" w:rsidR="004E40CE" w:rsidRPr="00D439C7" w:rsidRDefault="003A3C70" w:rsidP="00B42626">
      <w:pPr>
        <w:pStyle w:val="BodyText"/>
        <w:jc w:val="both"/>
      </w:pPr>
      <w:r w:rsidRPr="00D439C7">
        <w:t xml:space="preserve">Transparency and clear ownership roles are key elements of ensuring that an offset </w:t>
      </w:r>
      <w:r w:rsidR="00606228" w:rsidRPr="00D439C7">
        <w:t>pro</w:t>
      </w:r>
      <w:r w:rsidR="00606228">
        <w:t>ject</w:t>
      </w:r>
      <w:r w:rsidR="00606228" w:rsidRPr="00D439C7">
        <w:t xml:space="preserve"> </w:t>
      </w:r>
      <w:r w:rsidRPr="00D439C7">
        <w:t xml:space="preserve">is enforceable and accurately accounts for emissions without double-counting. The </w:t>
      </w:r>
      <w:r w:rsidR="00606228">
        <w:t xml:space="preserve">NMPP </w:t>
      </w:r>
      <w:r w:rsidR="0080069F" w:rsidRPr="00D439C7">
        <w:t xml:space="preserve">clearly indicates acceptable </w:t>
      </w:r>
      <w:r w:rsidR="004F2D56" w:rsidRPr="00D439C7">
        <w:t>ownership</w:t>
      </w:r>
      <w:r w:rsidR="0080069F" w:rsidRPr="00D439C7">
        <w:t xml:space="preserve"> structures and implements policies to ensure that project owners </w:t>
      </w:r>
      <w:r w:rsidR="00606228">
        <w:t xml:space="preserve">coordinate </w:t>
      </w:r>
      <w:r w:rsidR="0080069F" w:rsidRPr="00D439C7">
        <w:t>with other key stakeholders that could also seek offset credit for a particular project.</w:t>
      </w:r>
      <w:r w:rsidR="00E87065" w:rsidRPr="00D439C7">
        <w:rPr>
          <w:rStyle w:val="FootnoteReference"/>
        </w:rPr>
        <w:footnoteReference w:id="36"/>
      </w:r>
      <w:r w:rsidR="00B61F01">
        <w:t xml:space="preserve"> In addition, the NMPP’s reporting rules help ensure the transparent disclosure of information.</w:t>
      </w:r>
      <w:r w:rsidR="00B61F01">
        <w:rPr>
          <w:rStyle w:val="FootnoteReference"/>
        </w:rPr>
        <w:footnoteReference w:id="37"/>
      </w:r>
      <w:r w:rsidR="00B61F01">
        <w:t xml:space="preserve"> </w:t>
      </w:r>
    </w:p>
    <w:p w14:paraId="26A184D7" w14:textId="77777777" w:rsidR="004E40CE" w:rsidRPr="00D439C7" w:rsidRDefault="004E40CE" w:rsidP="00B42626">
      <w:pPr>
        <w:pStyle w:val="Heading3"/>
        <w:jc w:val="both"/>
      </w:pPr>
      <w:r w:rsidRPr="00D439C7">
        <w:t>Permanen</w:t>
      </w:r>
      <w:r w:rsidR="003A3C70" w:rsidRPr="00D439C7">
        <w:t>ce</w:t>
      </w:r>
    </w:p>
    <w:p w14:paraId="1D720041" w14:textId="7DD0A4F4" w:rsidR="00EB4DBD" w:rsidRPr="00EB4DBD" w:rsidRDefault="00FF15A4" w:rsidP="00B42626">
      <w:pPr>
        <w:pStyle w:val="BodyText"/>
        <w:jc w:val="both"/>
      </w:pPr>
      <w:r w:rsidRPr="00B532FB">
        <w:t>T</w:t>
      </w:r>
      <w:r w:rsidR="004E40CE" w:rsidRPr="00B532FB">
        <w:t xml:space="preserve">he permanence </w:t>
      </w:r>
      <w:r w:rsidRPr="00B532FB">
        <w:t>of an offset project is most</w:t>
      </w:r>
      <w:r w:rsidR="004E40CE" w:rsidRPr="00B532FB">
        <w:t xml:space="preserve"> relevant to greenhouse gas sequestration or storage projects, such as the potential for soils </w:t>
      </w:r>
      <w:r w:rsidR="00606228">
        <w:t xml:space="preserve">or forests </w:t>
      </w:r>
      <w:r w:rsidR="004E40CE" w:rsidRPr="00B532FB">
        <w:t>to release emissions due to land use changes or disturbances.</w:t>
      </w:r>
      <w:r w:rsidR="004E40CE">
        <w:t xml:space="preserve"> </w:t>
      </w:r>
      <w:r w:rsidR="004F2D56">
        <w:t>A</w:t>
      </w:r>
      <w:r w:rsidR="002D28CA">
        <w:t xml:space="preserve">s discussed in III.C.2, </w:t>
      </w:r>
      <w:r w:rsidR="002D28CA" w:rsidRPr="002D28CA">
        <w:rPr>
          <w:i/>
        </w:rPr>
        <w:t>infra</w:t>
      </w:r>
      <w:r w:rsidR="002D28CA">
        <w:t xml:space="preserve">, </w:t>
      </w:r>
      <w:r w:rsidR="006F662F">
        <w:t xml:space="preserve">to the extent sequestration-based </w:t>
      </w:r>
      <w:r w:rsidR="002D28CA">
        <w:t xml:space="preserve">projects are </w:t>
      </w:r>
      <w:r w:rsidR="002D28CA">
        <w:lastRenderedPageBreak/>
        <w:t xml:space="preserve">integrated into the </w:t>
      </w:r>
      <w:r w:rsidR="00D439C7">
        <w:t xml:space="preserve">Protocol, it </w:t>
      </w:r>
      <w:r w:rsidR="006F662F">
        <w:t>would be necessary</w:t>
      </w:r>
      <w:r w:rsidR="00D439C7">
        <w:t xml:space="preserve"> to incorporate more checks on the permanence of its offset projects</w:t>
      </w:r>
      <w:r w:rsidR="006F662F">
        <w:t>, e.g., via extended crediting periods and ongoing reporting and quantification.</w:t>
      </w:r>
      <w:r w:rsidR="00D439C7">
        <w:t xml:space="preserve"> </w:t>
      </w:r>
    </w:p>
    <w:p w14:paraId="3980706A" w14:textId="375DBE25" w:rsidR="003A2C97" w:rsidRDefault="000A59A8" w:rsidP="00B42626">
      <w:pPr>
        <w:pStyle w:val="Heading2"/>
        <w:jc w:val="both"/>
      </w:pPr>
      <w:r w:rsidRPr="000A59A8">
        <w:rPr>
          <w:u w:val="single"/>
        </w:rPr>
        <w:t xml:space="preserve">Areas for Potential Future Expansion </w:t>
      </w:r>
    </w:p>
    <w:p w14:paraId="34B96992" w14:textId="485524FE" w:rsidR="009238C6" w:rsidRDefault="009238C6" w:rsidP="00B42626">
      <w:pPr>
        <w:pStyle w:val="Heading3"/>
        <w:jc w:val="both"/>
      </w:pPr>
      <w:r>
        <w:t xml:space="preserve">Management Practices </w:t>
      </w:r>
      <w:proofErr w:type="gramStart"/>
      <w:r w:rsidR="00C819E1">
        <w:t>For</w:t>
      </w:r>
      <w:proofErr w:type="gramEnd"/>
      <w:r w:rsidR="00C819E1">
        <w:t xml:space="preserve"> Which Adequate </w:t>
      </w:r>
      <w:r w:rsidR="009D5417">
        <w:t xml:space="preserve">Quantification </w:t>
      </w:r>
      <w:r w:rsidR="00C819E1">
        <w:t>Data</w:t>
      </w:r>
      <w:r w:rsidR="006F662F">
        <w:t>/Methods</w:t>
      </w:r>
      <w:r w:rsidR="00C819E1">
        <w:t xml:space="preserve"> </w:t>
      </w:r>
      <w:r w:rsidR="006F662F">
        <w:t xml:space="preserve">are </w:t>
      </w:r>
      <w:r w:rsidR="009D5417">
        <w:t xml:space="preserve">Currently </w:t>
      </w:r>
      <w:r w:rsidR="00C819E1">
        <w:t>Lacking</w:t>
      </w:r>
    </w:p>
    <w:p w14:paraId="63836E65" w14:textId="6F68A724" w:rsidR="00C819E1" w:rsidRPr="0047512A" w:rsidRDefault="00C819E1" w:rsidP="003E445E">
      <w:pPr>
        <w:pStyle w:val="BodyText"/>
        <w:jc w:val="both"/>
      </w:pPr>
      <w:r>
        <w:t xml:space="preserve">As outlined above, the current NMPP is limited to a discrete set of eligible project activities over a significantly expanded, but still limited set of crops and geographies. Among those project activities considered by CAR, but ultimately rejected due to lack of adequate </w:t>
      </w:r>
      <w:r w:rsidR="009D5417">
        <w:t xml:space="preserve">baseline </w:t>
      </w:r>
      <w:r>
        <w:t>data</w:t>
      </w:r>
      <w:r w:rsidR="009D5417">
        <w:t xml:space="preserve"> and/or presenting quantification p</w:t>
      </w:r>
      <w:r w:rsidR="009D5417" w:rsidRPr="0047512A">
        <w:t>roblems,</w:t>
      </w:r>
      <w:r w:rsidR="009D5417" w:rsidRPr="001A0DD7">
        <w:t xml:space="preserve"> were use of</w:t>
      </w:r>
      <w:r w:rsidRPr="001A0DD7">
        <w:t xml:space="preserve"> cover crops, </w:t>
      </w:r>
      <w:r w:rsidR="009D5417" w:rsidRPr="001A0DD7">
        <w:t xml:space="preserve">improved </w:t>
      </w:r>
      <w:r w:rsidRPr="001A0DD7">
        <w:t>manure management, precision agriculture, “right time” practices (e.g., season of fertilizer application), “right source” practices (e.g., switching from anhydrous ammonia to urea), and “right place” practices (e.g., applying nitrogen below soil surface closer to roots)</w:t>
      </w:r>
      <w:r w:rsidR="009D5417" w:rsidRPr="0047512A">
        <w:t xml:space="preserve">. </w:t>
      </w:r>
      <w:r w:rsidR="009D5417">
        <w:t>We consider all of these promising opportunities for future expansion of the NMPP, either via a subsequent update of the NMPP or for which a jurisdiction might consider inviting comment on when adopting the NMPP as a matter of local law.</w:t>
      </w:r>
    </w:p>
    <w:p w14:paraId="3C8BB53B" w14:textId="307B1750" w:rsidR="000A59A8" w:rsidRDefault="000A59A8" w:rsidP="00B42626">
      <w:pPr>
        <w:pStyle w:val="Heading3"/>
        <w:jc w:val="both"/>
      </w:pPr>
      <w:r>
        <w:t>Grazing Land Management Projects</w:t>
      </w:r>
    </w:p>
    <w:p w14:paraId="00C58760" w14:textId="62E992AB" w:rsidR="0089759C" w:rsidRDefault="003A4B39" w:rsidP="00B42626">
      <w:pPr>
        <w:pStyle w:val="BodyText"/>
        <w:jc w:val="both"/>
      </w:pPr>
      <w:r>
        <w:t xml:space="preserve">More broadly, another important source of agricultural </w:t>
      </w:r>
      <w:r w:rsidR="00CC5B3C" w:rsidRPr="00CC5B3C">
        <w:t xml:space="preserve">nitrous oxide </w:t>
      </w:r>
      <w:r>
        <w:t xml:space="preserve">emissions not addressed by the </w:t>
      </w:r>
      <w:proofErr w:type="gramStart"/>
      <w:r>
        <w:t xml:space="preserve">NMPP </w:t>
      </w:r>
      <w:r w:rsidR="0089759C">
        <w:t xml:space="preserve"> </w:t>
      </w:r>
      <w:r>
        <w:t>relates</w:t>
      </w:r>
      <w:proofErr w:type="gramEnd"/>
      <w:r>
        <w:t xml:space="preserve"> to livestock, rather than crops</w:t>
      </w:r>
      <w:r w:rsidR="0089759C">
        <w:t xml:space="preserve">. Cattle waste alone accounts for nearly 16% of nitrous oxide emissions in the United States. By </w:t>
      </w:r>
      <w:r>
        <w:t xml:space="preserve">potentially </w:t>
      </w:r>
      <w:r w:rsidR="0089759C">
        <w:t xml:space="preserve">expanding the scope of the </w:t>
      </w:r>
      <w:r w:rsidR="009238C6">
        <w:t xml:space="preserve">NMPP </w:t>
      </w:r>
      <w:r w:rsidR="0047512A">
        <w:t xml:space="preserve">in the future </w:t>
      </w:r>
      <w:r w:rsidR="0089759C">
        <w:t xml:space="preserve">to include projects that reduce nitrous oxide emissions from cattle waste, more sources of emissions </w:t>
      </w:r>
      <w:r w:rsidR="0047512A">
        <w:t xml:space="preserve">could </w:t>
      </w:r>
      <w:r w:rsidR="0089759C">
        <w:t xml:space="preserve">be targeted and projects in all states </w:t>
      </w:r>
      <w:r>
        <w:t>c</w:t>
      </w:r>
      <w:r w:rsidR="0047512A">
        <w:t>ould</w:t>
      </w:r>
      <w:r>
        <w:t xml:space="preserve"> potentially be included.</w:t>
      </w:r>
    </w:p>
    <w:p w14:paraId="0D061A73" w14:textId="3786BE1E" w:rsidR="0089759C" w:rsidRDefault="003A4B39" w:rsidP="001A0DD7">
      <w:pPr>
        <w:pStyle w:val="BodyText"/>
        <w:jc w:val="both"/>
      </w:pPr>
      <w:r>
        <w:t xml:space="preserve">The scientific literature in this area continues to develop positively. </w:t>
      </w:r>
      <w:r w:rsidR="0089759C">
        <w:t xml:space="preserve">Multiple studies have indicated that </w:t>
      </w:r>
      <w:r>
        <w:t xml:space="preserve">in the context of livestock, </w:t>
      </w:r>
      <w:r w:rsidR="0089759C">
        <w:t xml:space="preserve">modifying ground cover, increasing the percentage of ground cover, and limiting grazing are pathways to significantly reduce nitrous oxide emissions from cattle waste. A 2010 USDA report studied cattle farms in the Northern Great Plains (Montana, Wyoming, North and South Dakota) with various levels of grazing (high vs low) and different types of ground cover (native ground cover vs crested wheatgrass). The study found that, regardless of the amount of grazing, pastures with native vegetation absorbed more nitrous oxide than was deposited via animal waste. </w:t>
      </w:r>
      <w:r w:rsidR="00591971">
        <w:t xml:space="preserve">In contrast, </w:t>
      </w:r>
      <w:r w:rsidR="0089759C">
        <w:t>heavily grazed crested wheatgrass pastures emitted three times more nitrous oxide than native plant pastures.</w:t>
      </w:r>
      <w:r w:rsidR="0089759C">
        <w:rPr>
          <w:rStyle w:val="FootnoteReference"/>
        </w:rPr>
        <w:footnoteReference w:id="38"/>
      </w:r>
      <w:r w:rsidR="0089759C">
        <w:t xml:space="preserve">  The results suggest that replacing nonnative cultivated ground cover with native species will</w:t>
      </w:r>
      <w:r w:rsidR="00591971">
        <w:t xml:space="preserve"> alone</w:t>
      </w:r>
      <w:r w:rsidR="0089759C">
        <w:t xml:space="preserve"> reduce nitrous oxide emissions</w:t>
      </w:r>
      <w:r w:rsidR="006F662F">
        <w:t>, and that a pathway for recognizing offset credits may be on the horizon as project-specific quantification methodologies develop.</w:t>
      </w:r>
      <w:r w:rsidR="0047512A">
        <w:rPr>
          <w:rStyle w:val="FootnoteReference"/>
        </w:rPr>
        <w:footnoteReference w:id="39"/>
      </w:r>
      <w:r w:rsidR="0089759C">
        <w:t xml:space="preserve"> </w:t>
      </w:r>
    </w:p>
    <w:p w14:paraId="704E9B14" w14:textId="6F71FE03" w:rsidR="001A0DD7" w:rsidRDefault="0089759C" w:rsidP="001A0DD7">
      <w:pPr>
        <w:jc w:val="both"/>
      </w:pPr>
      <w:r>
        <w:lastRenderedPageBreak/>
        <w:t>Grazing management projects</w:t>
      </w:r>
      <w:r w:rsidR="0047512A">
        <w:t>, based primarily on sequestration,</w:t>
      </w:r>
      <w:r>
        <w:t xml:space="preserve"> </w:t>
      </w:r>
      <w:r w:rsidR="0047512A">
        <w:t xml:space="preserve">would present more difficult questions of permanence than the NMPP </w:t>
      </w:r>
      <w:r w:rsidR="001A0DD7">
        <w:t xml:space="preserve">presently does </w:t>
      </w:r>
      <w:r w:rsidR="0047512A">
        <w:t>(focused instead on reduced application/emissions)</w:t>
      </w:r>
      <w:r>
        <w:t xml:space="preserve">. </w:t>
      </w:r>
      <w:r w:rsidR="0047512A">
        <w:t>If the NMPP</w:t>
      </w:r>
      <w:r>
        <w:t xml:space="preserve"> </w:t>
      </w:r>
      <w:r w:rsidR="0047512A">
        <w:t>were</w:t>
      </w:r>
      <w:r>
        <w:t xml:space="preserve"> expanded to include grazing management, permanence would need to be </w:t>
      </w:r>
      <w:r w:rsidR="00347226">
        <w:t>considered carefully, and</w:t>
      </w:r>
      <w:r w:rsidR="001A0DD7">
        <w:t xml:space="preserve"> </w:t>
      </w:r>
      <w:r w:rsidR="000A4322">
        <w:t>would need to be</w:t>
      </w:r>
      <w:r w:rsidR="00347226">
        <w:t xml:space="preserve"> </w:t>
      </w:r>
      <w:r>
        <w:t>addressed</w:t>
      </w:r>
      <w:r w:rsidR="0047512A">
        <w:t xml:space="preserve"> in a manner consistent with</w:t>
      </w:r>
      <w:r w:rsidR="001A0DD7">
        <w:t xml:space="preserve"> how</w:t>
      </w:r>
      <w:r w:rsidR="0047512A">
        <w:t xml:space="preserve"> </w:t>
      </w:r>
      <w:r w:rsidR="000A4322">
        <w:t xml:space="preserve">other sequestration-based projects operate, such as the </w:t>
      </w:r>
      <w:r w:rsidR="0047512A">
        <w:t>forestry-based offset protocols in place in</w:t>
      </w:r>
      <w:r>
        <w:t xml:space="preserve"> California</w:t>
      </w:r>
      <w:r w:rsidR="001A0DD7">
        <w:t>.</w:t>
      </w:r>
      <w:r w:rsidR="001A0DD7">
        <w:rPr>
          <w:rStyle w:val="FootnoteReference"/>
        </w:rPr>
        <w:footnoteReference w:id="40"/>
      </w:r>
      <w:r w:rsidR="001A0DD7">
        <w:t xml:space="preserve"> These include much longer crediting periods (e.g., 25-100 years), annual reporting, buffers, and explicit mechanisms to address reversals</w:t>
      </w:r>
      <w:r>
        <w:t>.</w:t>
      </w:r>
      <w:r>
        <w:rPr>
          <w:rStyle w:val="FootnoteReference"/>
        </w:rPr>
        <w:footnoteReference w:id="41"/>
      </w:r>
    </w:p>
    <w:p w14:paraId="34846876" w14:textId="2BFBC956" w:rsidR="0089759C" w:rsidRPr="0089759C" w:rsidRDefault="0089759C" w:rsidP="001A0DD7">
      <w:pPr>
        <w:jc w:val="both"/>
      </w:pPr>
    </w:p>
    <w:p w14:paraId="41DA99EB" w14:textId="77777777" w:rsidR="003A2C97" w:rsidRDefault="00A07CEB" w:rsidP="00B42626">
      <w:pPr>
        <w:pStyle w:val="Heading1"/>
        <w:jc w:val="both"/>
        <w:rPr>
          <w:b/>
        </w:rPr>
      </w:pPr>
      <w:r>
        <w:rPr>
          <w:b/>
        </w:rPr>
        <w:t>Pathway for State Incorporation</w:t>
      </w:r>
    </w:p>
    <w:p w14:paraId="7A4F9739" w14:textId="77777777" w:rsidR="00A07CEB" w:rsidRDefault="00937DA0" w:rsidP="00B42626">
      <w:pPr>
        <w:pStyle w:val="Heading2"/>
        <w:jc w:val="both"/>
        <w:rPr>
          <w:u w:val="single"/>
        </w:rPr>
      </w:pPr>
      <w:r>
        <w:rPr>
          <w:u w:val="single"/>
        </w:rPr>
        <w:t>Jurisdictions May Adopt the Protocol Without Substantial Change in a Manner Consistent with CARB’s Process</w:t>
      </w:r>
    </w:p>
    <w:p w14:paraId="5A695127" w14:textId="582BD2B8" w:rsidR="00562169" w:rsidRDefault="00143D9B" w:rsidP="00B42626">
      <w:pPr>
        <w:pStyle w:val="BodyText"/>
        <w:jc w:val="both"/>
      </w:pPr>
      <w:r>
        <w:t>Because CAR’s protocols are designed to conform with</w:t>
      </w:r>
      <w:r w:rsidR="00D15310">
        <w:t xml:space="preserve"> the same </w:t>
      </w:r>
      <w:r>
        <w:t xml:space="preserve">eligibility criteria relied upon across jurisdictions, they can be adopted by other jurisdictions </w:t>
      </w:r>
      <w:r w:rsidR="00D35FFA">
        <w:t>with relative ease</w:t>
      </w:r>
      <w:r w:rsidR="003A46F0">
        <w:t xml:space="preserve"> </w:t>
      </w:r>
      <w:r>
        <w:t xml:space="preserve">without substantial change through state-level rulemaking processes. </w:t>
      </w:r>
      <w:r w:rsidR="00D15310">
        <w:t>For example, CARB</w:t>
      </w:r>
      <w:r w:rsidR="006F662F">
        <w:t xml:space="preserve"> </w:t>
      </w:r>
      <w:r w:rsidR="00D15310">
        <w:t>has adapted a number of CAR’s existing protocols for use</w:t>
      </w:r>
      <w:r w:rsidR="003A46F0">
        <w:t xml:space="preserve"> at the state level</w:t>
      </w:r>
      <w:r w:rsidR="00D15310">
        <w:t xml:space="preserve">, typically with </w:t>
      </w:r>
      <w:r w:rsidR="00E3579C">
        <w:t xml:space="preserve">relatively </w:t>
      </w:r>
      <w:r w:rsidR="00D15310">
        <w:t xml:space="preserve">minor changes to </w:t>
      </w:r>
      <w:r w:rsidR="003A46F0">
        <w:t xml:space="preserve">each </w:t>
      </w:r>
      <w:r w:rsidR="00D15310">
        <w:t>protocol’</w:t>
      </w:r>
      <w:r w:rsidR="003A46F0">
        <w:t xml:space="preserve">s overall framework and specific </w:t>
      </w:r>
      <w:r w:rsidR="00D35FFA">
        <w:t>requirements, and following a standardized evaluation process.</w:t>
      </w:r>
    </w:p>
    <w:p w14:paraId="155B314B" w14:textId="77777777" w:rsidR="00D35FFA" w:rsidRDefault="00E75D94" w:rsidP="00B42626">
      <w:pPr>
        <w:pStyle w:val="BodyText"/>
        <w:jc w:val="both"/>
      </w:pPr>
      <w:r>
        <w:t xml:space="preserve">It is CARB procedure to </w:t>
      </w:r>
      <w:r w:rsidR="00D35FFA">
        <w:t>periodically canvas</w:t>
      </w:r>
      <w:r>
        <w:t xml:space="preserve"> protocols developed by third-parties,</w:t>
      </w:r>
      <w:r w:rsidR="00D35FFA">
        <w:t xml:space="preserve"> and then</w:t>
      </w:r>
      <w:r>
        <w:t xml:space="preserve"> to</w:t>
      </w:r>
      <w:r w:rsidR="00D35FFA">
        <w:t xml:space="preserve"> </w:t>
      </w:r>
      <w:r>
        <w:t>evaluate those</w:t>
      </w:r>
      <w:r w:rsidR="00D35FFA">
        <w:t xml:space="preserve"> </w:t>
      </w:r>
      <w:r w:rsidR="00D15310">
        <w:t>protocols</w:t>
      </w:r>
      <w:r w:rsidR="00D35FFA">
        <w:t xml:space="preserve"> for inclusion within the California Cap-and-Trade Regulation</w:t>
      </w:r>
      <w:r w:rsidR="00D15310">
        <w:t>.</w:t>
      </w:r>
      <w:r w:rsidR="00D15310">
        <w:rPr>
          <w:rStyle w:val="FootnoteReference"/>
        </w:rPr>
        <w:footnoteReference w:id="42"/>
      </w:r>
      <w:r w:rsidR="00D35FFA">
        <w:t xml:space="preserve"> California examines whether such</w:t>
      </w:r>
      <w:r w:rsidR="003A46F0">
        <w:t xml:space="preserve"> protocols</w:t>
      </w:r>
      <w:r w:rsidR="00D35FFA">
        <w:t xml:space="preserve"> meet the</w:t>
      </w:r>
      <w:r w:rsidR="003A46F0">
        <w:t xml:space="preserve"> </w:t>
      </w:r>
      <w:r>
        <w:t xml:space="preserve">standard </w:t>
      </w:r>
      <w:r w:rsidR="003A46F0">
        <w:t>of</w:t>
      </w:r>
      <w:r w:rsidR="00D35FFA">
        <w:t>fset criteria set forth in the</w:t>
      </w:r>
      <w:r w:rsidR="003A46F0">
        <w:t xml:space="preserve"> Regulation</w:t>
      </w:r>
      <w:r>
        <w:t xml:space="preserve"> and state law (e.g., whether they will adequately assure that reductions are real, permanent, additional, quantifiable, verifiable and enforceable)</w:t>
      </w:r>
      <w:r w:rsidR="003A46F0">
        <w:t>. Protocols deemed to meet these and other state-</w:t>
      </w:r>
      <w:r w:rsidR="00CF2EED">
        <w:t>specific policy preferences (e.g., cost-effectiveness, potential for California-specific projects, potential supply of credits) are then adapted for state-level adoption and subject to a standard rulemaking process under the state Administrative Procedures Act (APA).</w:t>
      </w:r>
      <w:r w:rsidR="00D35FFA">
        <w:rPr>
          <w:rStyle w:val="FootnoteReference"/>
        </w:rPr>
        <w:footnoteReference w:id="43"/>
      </w:r>
      <w:r w:rsidR="00CF2EED">
        <w:t xml:space="preserve"> </w:t>
      </w:r>
      <w:r w:rsidR="00D35FFA">
        <w:t>Through the state-level</w:t>
      </w:r>
      <w:r w:rsidR="00CF2EED">
        <w:t xml:space="preserve"> notice and comment process, external protocols </w:t>
      </w:r>
      <w:r w:rsidR="00D35FFA">
        <w:t xml:space="preserve">may be refined, </w:t>
      </w:r>
      <w:r w:rsidR="00CF2EED">
        <w:t xml:space="preserve">but they typically retain the same structure and </w:t>
      </w:r>
      <w:r w:rsidR="00F1614F">
        <w:t>basic content</w:t>
      </w:r>
      <w:r w:rsidR="00CF2EED">
        <w:t xml:space="preserve"> as the version initially published by CAR </w:t>
      </w:r>
      <w:r w:rsidR="00F1614F">
        <w:t xml:space="preserve">(or other registries) </w:t>
      </w:r>
      <w:r w:rsidR="00CF2EED">
        <w:t xml:space="preserve">for use in voluntary programs. </w:t>
      </w:r>
    </w:p>
    <w:p w14:paraId="667EC1D7" w14:textId="3CF0F0C4" w:rsidR="00EB4DBD" w:rsidRPr="00EB4DBD" w:rsidRDefault="00D35FFA" w:rsidP="00B42626">
      <w:pPr>
        <w:pStyle w:val="BodyText"/>
        <w:jc w:val="both"/>
      </w:pPr>
      <w:r>
        <w:t xml:space="preserve">To date, </w:t>
      </w:r>
      <w:r w:rsidR="00CF2EED">
        <w:t>CARB has</w:t>
      </w:r>
      <w:r w:rsidR="00562169">
        <w:t xml:space="preserve"> already</w:t>
      </w:r>
      <w:r w:rsidR="00CF2EED">
        <w:t xml:space="preserve"> adopted </w:t>
      </w:r>
      <w:r w:rsidR="00562169">
        <w:t xml:space="preserve">versions of </w:t>
      </w:r>
      <w:r w:rsidR="00CF2EED">
        <w:t xml:space="preserve">a number of </w:t>
      </w:r>
      <w:r>
        <w:t>protocols first developed by CAR</w:t>
      </w:r>
      <w:r w:rsidR="00315305">
        <w:t xml:space="preserve"> or </w:t>
      </w:r>
      <w:r w:rsidR="002664EB">
        <w:t>developed corresponding</w:t>
      </w:r>
      <w:r w:rsidR="00315305">
        <w:t xml:space="preserve"> protocols with substantial overlap</w:t>
      </w:r>
      <w:r w:rsidR="00CF2EED">
        <w:t xml:space="preserve">, including </w:t>
      </w:r>
      <w:r w:rsidR="002664EB">
        <w:t>CAR’s</w:t>
      </w:r>
      <w:r w:rsidR="00CF2EED">
        <w:t xml:space="preserve"> protocols for </w:t>
      </w:r>
      <w:r w:rsidR="00CF2EED">
        <w:lastRenderedPageBreak/>
        <w:t>forestry, livestock, ozone depleting substances, mine methane capture, and urban forests.</w:t>
      </w:r>
      <w:r w:rsidR="00626A2C">
        <w:rPr>
          <w:rStyle w:val="FootnoteReference"/>
        </w:rPr>
        <w:footnoteReference w:id="44"/>
      </w:r>
      <w:r w:rsidR="00CF2EED">
        <w:t xml:space="preserve"> </w:t>
      </w:r>
      <w:r w:rsidR="00562169">
        <w:t xml:space="preserve">As discussed in the footnoted material, there are typically only </w:t>
      </w:r>
      <w:r w:rsidR="00315305">
        <w:t xml:space="preserve">relatively </w:t>
      </w:r>
      <w:r w:rsidR="00562169">
        <w:t xml:space="preserve">minor </w:t>
      </w:r>
      <w:r w:rsidR="00315305">
        <w:t>differences between the CARB and</w:t>
      </w:r>
      <w:r w:rsidR="00937DA0">
        <w:t xml:space="preserve"> </w:t>
      </w:r>
      <w:r w:rsidR="00562169">
        <w:t xml:space="preserve">CAR version of a particular protocol. </w:t>
      </w:r>
      <w:r w:rsidR="002664EB">
        <w:t>CARB has also adopted a number of CAR’s protocols by reference for purposes of its “early action offset credit” recognition program.</w:t>
      </w:r>
      <w:r w:rsidR="003E7C88">
        <w:rPr>
          <w:rStyle w:val="FootnoteReference"/>
        </w:rPr>
        <w:footnoteReference w:id="45"/>
      </w:r>
      <w:r w:rsidR="003E7C88">
        <w:t xml:space="preserve"> </w:t>
      </w:r>
      <w:r w:rsidR="00562169">
        <w:t>This speaks to the quality of the existing CAR protocols and their suitability for adoption by other jurisdictions. Based on our review</w:t>
      </w:r>
      <w:r w:rsidR="00937DA0">
        <w:t xml:space="preserve"> of the </w:t>
      </w:r>
      <w:r w:rsidR="00E3579C">
        <w:t>NMPP</w:t>
      </w:r>
      <w:r w:rsidR="00562169">
        <w:t xml:space="preserve"> </w:t>
      </w:r>
      <w:r w:rsidR="00937DA0">
        <w:t xml:space="preserve">as detailed above, it </w:t>
      </w:r>
      <w:r w:rsidR="00562169">
        <w:t xml:space="preserve">is likewise suitable for adoption without substantial change by other states and regional </w:t>
      </w:r>
      <w:r w:rsidR="00F1614F">
        <w:t>trading programs seeking to incorporate offset credit recognition within such programs.</w:t>
      </w:r>
    </w:p>
    <w:p w14:paraId="27DF4CC5" w14:textId="77777777" w:rsidR="00D2210F" w:rsidRDefault="008C64DF" w:rsidP="00B42626">
      <w:pPr>
        <w:pStyle w:val="Heading2"/>
        <w:jc w:val="both"/>
        <w:rPr>
          <w:u w:val="single"/>
        </w:rPr>
      </w:pPr>
      <w:r>
        <w:rPr>
          <w:u w:val="single"/>
        </w:rPr>
        <w:t>Policymakers Must be Sensitive to Opposition to Offset Credits When Pursuing Adoption</w:t>
      </w:r>
      <w:r w:rsidR="00A07CEB" w:rsidRPr="00A07CEB">
        <w:rPr>
          <w:u w:val="single"/>
        </w:rPr>
        <w:t xml:space="preserve"> </w:t>
      </w:r>
    </w:p>
    <w:p w14:paraId="3C90D81D" w14:textId="05A27A6B" w:rsidR="00023094" w:rsidRDefault="00937DA0" w:rsidP="00B42626">
      <w:pPr>
        <w:pStyle w:val="BodyText"/>
        <w:jc w:val="both"/>
      </w:pPr>
      <w:r>
        <w:t xml:space="preserve">In evaluating the feasibility of adopting the </w:t>
      </w:r>
      <w:r w:rsidR="00E3579C">
        <w:t xml:space="preserve">NMPP </w:t>
      </w:r>
      <w:r>
        <w:t>at the local level, policymakers must be aware of the br</w:t>
      </w:r>
      <w:r w:rsidR="006E1F10">
        <w:t xml:space="preserve">oader discussion concerning offset credits that has played out over recent years and criticisms regarding their ongoing suitability within broader GHG </w:t>
      </w:r>
      <w:r w:rsidR="006437D7">
        <w:t>reduction</w:t>
      </w:r>
      <w:r w:rsidR="006E1F10">
        <w:t xml:space="preserve"> regulatory frameworks. While offset credits ha</w:t>
      </w:r>
      <w:r w:rsidR="004038FC">
        <w:t>ve</w:t>
      </w:r>
      <w:r w:rsidR="006E1F10">
        <w:t xml:space="preserve"> long been recognized as a key cost-containment </w:t>
      </w:r>
      <w:r w:rsidR="00626A2C">
        <w:t>t</w:t>
      </w:r>
      <w:r w:rsidR="00567BB4">
        <w:t>ool and pathway for incentivizing GHG reductions outside of directly regulated sectors</w:t>
      </w:r>
      <w:r w:rsidR="004038FC">
        <w:t xml:space="preserve">, they have come under attack over the last decade from multiple angles. In California and elsewhere, environmental justice </w:t>
      </w:r>
      <w:r w:rsidR="00B1574B">
        <w:t>advocates have strenuously opposed</w:t>
      </w:r>
      <w:r w:rsidR="004038FC">
        <w:t xml:space="preserve"> </w:t>
      </w:r>
      <w:r w:rsidR="00EC7C1C">
        <w:t xml:space="preserve">inclusion of </w:t>
      </w:r>
      <w:r w:rsidR="004038FC">
        <w:t>offset credits</w:t>
      </w:r>
      <w:r w:rsidR="00EC7C1C">
        <w:t xml:space="preserve"> within market-based GHG regulatory programs</w:t>
      </w:r>
      <w:r w:rsidR="004038FC">
        <w:t>, arguing that their use results in higher emissions from sources that are subject to direct regulation</w:t>
      </w:r>
      <w:r w:rsidR="00B1574B">
        <w:t>.</w:t>
      </w:r>
      <w:r w:rsidR="00EC7C1C">
        <w:rPr>
          <w:rStyle w:val="FootnoteReference"/>
        </w:rPr>
        <w:footnoteReference w:id="46"/>
      </w:r>
      <w:r w:rsidR="00B1574B">
        <w:t xml:space="preserve">  </w:t>
      </w:r>
    </w:p>
    <w:p w14:paraId="2450E708" w14:textId="36657BA8" w:rsidR="003E7C88" w:rsidRDefault="00970386" w:rsidP="00B42626">
      <w:pPr>
        <w:pStyle w:val="BodyText"/>
        <w:jc w:val="both"/>
      </w:pPr>
      <w:r>
        <w:t>To briefly outline th</w:t>
      </w:r>
      <w:r w:rsidR="00E3579C">
        <w:t>ese criticisms</w:t>
      </w:r>
      <w:r>
        <w:t>,</w:t>
      </w:r>
      <w:r w:rsidR="00B1574B">
        <w:t xml:space="preserve"> an industrial source subject to a cap-and-trade program must procure allowances</w:t>
      </w:r>
      <w:r w:rsidR="00023094">
        <w:t xml:space="preserve"> equivalent to its emissions</w:t>
      </w:r>
      <w:r w:rsidR="00B1574B">
        <w:t xml:space="preserve"> (which are distributed </w:t>
      </w:r>
      <w:r w:rsidR="008C64DF">
        <w:t xml:space="preserve">by the regulator </w:t>
      </w:r>
      <w:r w:rsidR="00B1574B">
        <w:t xml:space="preserve">in amounts that equal the </w:t>
      </w:r>
      <w:r w:rsidR="004D68B5">
        <w:t xml:space="preserve">declining </w:t>
      </w:r>
      <w:r w:rsidR="00B1574B">
        <w:t>economy-wide cap)</w:t>
      </w:r>
      <w:r w:rsidR="00023094">
        <w:t xml:space="preserve">. By incorporating offset credits into the program, </w:t>
      </w:r>
      <w:r>
        <w:t>and depending on the manner in which the cap was set</w:t>
      </w:r>
      <w:r w:rsidR="00736CAF">
        <w:t xml:space="preserve">, it is possible for sources to </w:t>
      </w:r>
      <w:r w:rsidR="004D68B5">
        <w:t xml:space="preserve">collectively </w:t>
      </w:r>
      <w:r w:rsidR="00736CAF">
        <w:t xml:space="preserve">emit </w:t>
      </w:r>
      <w:r w:rsidR="004D68B5">
        <w:t>beyond the cap</w:t>
      </w:r>
      <w:r w:rsidR="00023094">
        <w:t>, and cover that overage with offset credits, which reduce emissions elsewhere</w:t>
      </w:r>
      <w:r w:rsidR="004D68B5">
        <w:t xml:space="preserve"> and “offset” the overage (e.g., at an agricultural field). Environmental justice advocates have worked to eliminate the use of offset credits in such programs, </w:t>
      </w:r>
      <w:r w:rsidR="00736CAF">
        <w:t xml:space="preserve">arguing </w:t>
      </w:r>
      <w:r w:rsidR="004D68B5">
        <w:t xml:space="preserve">that doing so will result in sharper reductions from capped sources. Policymakers must be aware that this opposition may </w:t>
      </w:r>
      <w:r w:rsidR="004D68B5">
        <w:lastRenderedPageBreak/>
        <w:t>materialize in response to their own adoption of an offset program generally, including the specific protocol reviewed in this memorandum.</w:t>
      </w:r>
      <w:r w:rsidR="00736CAF">
        <w:rPr>
          <w:rStyle w:val="FootnoteReference"/>
        </w:rPr>
        <w:footnoteReference w:id="47"/>
      </w:r>
      <w:r w:rsidR="004D68B5">
        <w:t xml:space="preserve"> </w:t>
      </w:r>
    </w:p>
    <w:p w14:paraId="4EBBD521" w14:textId="0898C356" w:rsidR="00AE4DB3" w:rsidRDefault="0077221A" w:rsidP="00B42626">
      <w:pPr>
        <w:pStyle w:val="BodyText"/>
        <w:jc w:val="both"/>
      </w:pPr>
      <w:r>
        <w:t xml:space="preserve">Relatedly, </w:t>
      </w:r>
      <w:r w:rsidR="004D68B5">
        <w:t xml:space="preserve">policymakers should anticipate that </w:t>
      </w:r>
      <w:r w:rsidR="005A5865">
        <w:t>legislators and interest</w:t>
      </w:r>
      <w:r w:rsidR="006333B8">
        <w:t xml:space="preserve"> groups may seek to limit the benefits of the offset program to projects located within the </w:t>
      </w:r>
      <w:r w:rsidR="00E3579C">
        <w:t>jurisdiction</w:t>
      </w:r>
      <w:r w:rsidR="006333B8">
        <w:t xml:space="preserve">. </w:t>
      </w:r>
      <w:r w:rsidR="000E5B92">
        <w:t>In 2018, California adopted amendments to its Cap-and-Trade Regulation in response to these pressures, which required that in future years, 50 percent of offset credits must be from projects that provide “direct environmental benefits</w:t>
      </w:r>
      <w:r w:rsidR="00BF0AEC">
        <w:t>”</w:t>
      </w:r>
      <w:r w:rsidR="000E5B92">
        <w:t xml:space="preserve"> </w:t>
      </w:r>
      <w:r w:rsidR="00543494">
        <w:t xml:space="preserve">(DEBS) </w:t>
      </w:r>
      <w:r w:rsidR="00BF0AEC">
        <w:t>within the state</w:t>
      </w:r>
      <w:r w:rsidR="00E3579C">
        <w:t>. This</w:t>
      </w:r>
      <w:r w:rsidR="00543494">
        <w:t xml:space="preserve"> generated some degree of</w:t>
      </w:r>
      <w:r w:rsidR="000E5B92">
        <w:t xml:space="preserve"> controv</w:t>
      </w:r>
      <w:r w:rsidR="00543494">
        <w:t>ersy</w:t>
      </w:r>
      <w:r w:rsidR="000E5B92">
        <w:t xml:space="preserve">. </w:t>
      </w:r>
      <w:r w:rsidR="00543494">
        <w:t xml:space="preserve">In terms of atmospheric warming impact, it is </w:t>
      </w:r>
      <w:r w:rsidR="000E5B92">
        <w:t xml:space="preserve">immaterial where an offset project takes place, as GHGs are global pollutants and the </w:t>
      </w:r>
      <w:r w:rsidR="00543494">
        <w:t xml:space="preserve">atmospheric </w:t>
      </w:r>
      <w:r w:rsidR="000E5B92">
        <w:t xml:space="preserve">benefits of </w:t>
      </w:r>
      <w:r w:rsidR="00BF0AEC">
        <w:t>a</w:t>
      </w:r>
      <w:r w:rsidR="000E5B92">
        <w:t xml:space="preserve"> project are the same whether GHGs are sequestered or avoided in the jurisdiction itself or </w:t>
      </w:r>
      <w:r w:rsidR="00543494">
        <w:t>elsewhere</w:t>
      </w:r>
      <w:r w:rsidR="000E5B92">
        <w:t>.</w:t>
      </w:r>
      <w:r w:rsidR="005A5865">
        <w:t xml:space="preserve"> Further, limiting projects to those within the jurisdiction’s boundaries raises questions of validity under the Dormant Commerce Clause, as </w:t>
      </w:r>
      <w:r w:rsidR="00BF0AEC">
        <w:t xml:space="preserve">such a limitation favors in-state projects over </w:t>
      </w:r>
      <w:r w:rsidR="00E3579C">
        <w:t>(</w:t>
      </w:r>
      <w:r w:rsidR="00543494">
        <w:t>arguably fungible</w:t>
      </w:r>
      <w:r w:rsidR="00E3579C">
        <w:t>)</w:t>
      </w:r>
      <w:r w:rsidR="00543494">
        <w:t xml:space="preserve"> </w:t>
      </w:r>
      <w:r w:rsidR="00BF0AEC">
        <w:t>out-of-state projects</w:t>
      </w:r>
      <w:r w:rsidR="00E3579C">
        <w:t>, on ostensibly economic grounds</w:t>
      </w:r>
      <w:r w:rsidR="00BF0AEC">
        <w:t xml:space="preserve">. </w:t>
      </w:r>
    </w:p>
    <w:p w14:paraId="16EC27CF" w14:textId="297CA0E4" w:rsidR="00BF0AEC" w:rsidRDefault="00BF0AEC" w:rsidP="00B42626">
      <w:pPr>
        <w:pStyle w:val="BodyText"/>
        <w:jc w:val="both"/>
      </w:pPr>
      <w:r>
        <w:t xml:space="preserve">The </w:t>
      </w:r>
      <w:r w:rsidR="00543494">
        <w:t>DEBS requirement was crafted in part to</w:t>
      </w:r>
      <w:r>
        <w:t xml:space="preserve"> address </w:t>
      </w:r>
      <w:r w:rsidR="00543494">
        <w:t xml:space="preserve">this constitutional concern </w:t>
      </w:r>
      <w:r>
        <w:t xml:space="preserve">(by </w:t>
      </w:r>
      <w:r w:rsidR="00543494">
        <w:t xml:space="preserve">emphasizing </w:t>
      </w:r>
      <w:r>
        <w:t xml:space="preserve">a concern with substantive environmental policy, rather than economic protectionism), but it has yet to be challenged and withstand judicial scrutiny. Policymakers should therefore also anticipate pressure to similarly limit the scope of project eligibility, and should seek to counter this pressure in order to promote the better policy of offering offset credits for projects that meet the </w:t>
      </w:r>
      <w:r w:rsidR="00A3728F">
        <w:t xml:space="preserve">Protocol’s </w:t>
      </w:r>
      <w:r>
        <w:t>stringent requirements, regardless of their location.</w:t>
      </w:r>
    </w:p>
    <w:p w14:paraId="4B1CCAEA" w14:textId="098CE44E" w:rsidR="005C5A86" w:rsidRDefault="005C5A86" w:rsidP="00B42626">
      <w:pPr>
        <w:pStyle w:val="BodyText"/>
        <w:jc w:val="both"/>
      </w:pPr>
    </w:p>
    <w:p w14:paraId="4B43CC7D" w14:textId="77777777" w:rsidR="001369BC" w:rsidRDefault="001369BC">
      <w:r>
        <w:br w:type="page"/>
      </w:r>
    </w:p>
    <w:p w14:paraId="7D1F290C" w14:textId="7D16CEA7" w:rsidR="005C5A86" w:rsidRPr="003E445E" w:rsidRDefault="005C5A86" w:rsidP="003E445E">
      <w:pPr>
        <w:pStyle w:val="BodyText"/>
        <w:jc w:val="center"/>
        <w:rPr>
          <w:b/>
        </w:rPr>
      </w:pPr>
      <w:r w:rsidRPr="003E445E">
        <w:rPr>
          <w:b/>
        </w:rPr>
        <w:lastRenderedPageBreak/>
        <w:t>Appendix</w:t>
      </w:r>
      <w:r w:rsidR="001369BC" w:rsidRPr="003E445E">
        <w:rPr>
          <w:b/>
        </w:rPr>
        <w:t>:</w:t>
      </w:r>
      <w:r w:rsidR="001369BC">
        <w:rPr>
          <w:b/>
        </w:rPr>
        <w:t xml:space="preserve"> </w:t>
      </w:r>
      <w:r w:rsidR="001369BC" w:rsidRPr="003E445E">
        <w:rPr>
          <w:b/>
        </w:rPr>
        <w:t>Commentary on Climate Action Reserve’s Nitrogen Management Project Protocol Version 2.0</w:t>
      </w:r>
    </w:p>
    <w:p w14:paraId="30E4A215" w14:textId="7B92CDDD" w:rsidR="001369BC" w:rsidRDefault="001369BC" w:rsidP="00B42626">
      <w:pPr>
        <w:pStyle w:val="BodyText"/>
        <w:jc w:val="both"/>
      </w:pPr>
      <w:r>
        <w:t xml:space="preserve">The below comments reflect </w:t>
      </w:r>
      <w:r w:rsidR="008B0EE4">
        <w:t xml:space="preserve">our summary </w:t>
      </w:r>
      <w:r w:rsidR="00A045C2">
        <w:t xml:space="preserve">on </w:t>
      </w:r>
      <w:r w:rsidR="008B0EE4">
        <w:t>select</w:t>
      </w:r>
      <w:r w:rsidR="00A045C2">
        <w:t xml:space="preserve"> sections of the </w:t>
      </w:r>
      <w:r w:rsidR="00A045C2" w:rsidRPr="00A045C2">
        <w:t>Climate Action Reserve’s Nitrogen Management Project Protocol Version 2.0</w:t>
      </w:r>
      <w:r w:rsidR="00A045C2">
        <w:t>, published October 17, 2018</w:t>
      </w:r>
      <w:r w:rsidR="008B0EE4">
        <w:t>. In our view, the Protocol is already highly descriptive in nature and, together with its accompanying plain-language Handbook, is accessible to policymakers without need for substantial explanatory commentary.</w:t>
      </w:r>
    </w:p>
    <w:p w14:paraId="0246DC02" w14:textId="57061E3B" w:rsidR="00A045C2" w:rsidRPr="003E445E" w:rsidRDefault="00A045C2" w:rsidP="00A045C2">
      <w:pPr>
        <w:pStyle w:val="BodyText"/>
        <w:jc w:val="both"/>
        <w:rPr>
          <w:b/>
        </w:rPr>
      </w:pPr>
      <w:r w:rsidRPr="003E445E">
        <w:rPr>
          <w:b/>
        </w:rPr>
        <w:t xml:space="preserve">Comment on §2.2 (The Greenhouse Gas Reduction Project: Eligible Project Area) </w:t>
      </w:r>
    </w:p>
    <w:p w14:paraId="2BA93E8D" w14:textId="2F7A365E" w:rsidR="00A045C2" w:rsidRDefault="00A045C2" w:rsidP="00A045C2">
      <w:pPr>
        <w:pStyle w:val="BodyText"/>
        <w:jc w:val="both"/>
      </w:pPr>
      <w:r>
        <w:t xml:space="preserve">This section defines eligible project activities for credit generation. As discussed in the legal memorandum, the </w:t>
      </w:r>
      <w:r w:rsidR="00A3728F">
        <w:t>P</w:t>
      </w:r>
      <w:r>
        <w:t xml:space="preserve">rotocol could be expanded in the future to include additional project activities, such as manure management and precision agriculture, as adequate data becomes available. Another potential avenue for expansion would be to include grazing projects, which would entail more substantial changes to the </w:t>
      </w:r>
      <w:r w:rsidR="00A3728F">
        <w:t>P</w:t>
      </w:r>
      <w:r>
        <w:t>rotocol or adoption of a complementary version.</w:t>
      </w:r>
    </w:p>
    <w:p w14:paraId="3E4BBEFD" w14:textId="4EA8E20B" w:rsidR="00A045C2" w:rsidRPr="003E445E" w:rsidRDefault="00A045C2" w:rsidP="00A045C2">
      <w:pPr>
        <w:pStyle w:val="BodyText"/>
        <w:jc w:val="both"/>
        <w:rPr>
          <w:b/>
        </w:rPr>
      </w:pPr>
      <w:r w:rsidRPr="003E445E">
        <w:rPr>
          <w:b/>
        </w:rPr>
        <w:t>Comment on § 5 (Quantifying GHG Emission Reductions)</w:t>
      </w:r>
    </w:p>
    <w:p w14:paraId="2E1579A9" w14:textId="7E847209" w:rsidR="00A045C2" w:rsidRDefault="00A045C2" w:rsidP="00A045C2">
      <w:pPr>
        <w:pStyle w:val="BodyText"/>
        <w:jc w:val="both"/>
      </w:pPr>
      <w:r>
        <w:t xml:space="preserve">Quantifiability represents a key criterion for ensuring the environmental integrity of offset credits. This section establishes rigorous quantification methods and uniform standards, consistent with this criterion, that nitrogen management projects eligible for generating credits under the </w:t>
      </w:r>
      <w:r w:rsidR="00A3728F">
        <w:t>P</w:t>
      </w:r>
      <w:r>
        <w:t>rotocol must utilize and meet to quantify emission reductions. It provides a standardized approach for determining baseline emissions, requires accounting for leakage, and includes equations for addressing increases in emissions from previous cultivation years, among other conservative, science-based calculation requirements (e.g., secondary effect emissions).</w:t>
      </w:r>
    </w:p>
    <w:p w14:paraId="30CEFC21" w14:textId="02D5E132" w:rsidR="00A045C2" w:rsidRPr="003E445E" w:rsidRDefault="00A045C2" w:rsidP="00A045C2">
      <w:pPr>
        <w:pStyle w:val="BodyText"/>
        <w:jc w:val="both"/>
        <w:rPr>
          <w:b/>
        </w:rPr>
      </w:pPr>
      <w:r w:rsidRPr="003E445E">
        <w:rPr>
          <w:b/>
        </w:rPr>
        <w:t>Comment on § 7 (Reporting and Record Keeping)</w:t>
      </w:r>
    </w:p>
    <w:p w14:paraId="36E6BD19" w14:textId="787D1AD5" w:rsidR="00A045C2" w:rsidRDefault="00A045C2" w:rsidP="00A045C2">
      <w:pPr>
        <w:pStyle w:val="BodyText"/>
        <w:jc w:val="both"/>
      </w:pPr>
      <w:r>
        <w:t>These specifications for record keeping ensure that key information is collected on projects on an ongoing basis. This method of accountability and verification is robust and can be duplicated for state-level emissions trading schemes (ETS). ETS</w:t>
      </w:r>
      <w:r w:rsidR="002825DF">
        <w:t>s</w:t>
      </w:r>
      <w:r>
        <w:t xml:space="preserve"> with existing record keeping forms and processes may prefer to integrate nitrogen management into existing processes and systems. </w:t>
      </w:r>
    </w:p>
    <w:p w14:paraId="2C84B069" w14:textId="4CB0C6AC" w:rsidR="00A045C2" w:rsidRPr="003E445E" w:rsidRDefault="00E32179" w:rsidP="00A045C2">
      <w:pPr>
        <w:pStyle w:val="BodyText"/>
        <w:jc w:val="both"/>
        <w:rPr>
          <w:b/>
        </w:rPr>
      </w:pPr>
      <w:r w:rsidRPr="003E445E">
        <w:rPr>
          <w:b/>
        </w:rPr>
        <w:t>Comment on § 8 (Verification Guidance)</w:t>
      </w:r>
    </w:p>
    <w:p w14:paraId="73DF4A2A" w14:textId="72831C58" w:rsidR="00A045C2" w:rsidRPr="006E450E" w:rsidRDefault="00A045C2" w:rsidP="00A045C2">
      <w:pPr>
        <w:pStyle w:val="BodyText"/>
        <w:jc w:val="both"/>
      </w:pPr>
      <w:r>
        <w:t>Emissions trading schemes (ETS) may choose to use documents produced by the Climate Action Reserve</w:t>
      </w:r>
      <w:r w:rsidR="002825DF">
        <w:t>,</w:t>
      </w:r>
      <w:r>
        <w:t xml:space="preserve"> including the Verification Program Manual and Program Manual. An ETS incorporating the Protocol by reference may also adopt its own program guidelines to match existing ETS structures and processes.</w:t>
      </w:r>
    </w:p>
    <w:sectPr w:rsidR="00A045C2" w:rsidRPr="006E450E" w:rsidSect="00477F56">
      <w:headerReference w:type="default" r:id="rId7"/>
      <w:footerReference w:type="even" r:id="rId8"/>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D73B" w14:textId="77777777" w:rsidR="00293847" w:rsidRDefault="00293847">
      <w:r>
        <w:separator/>
      </w:r>
    </w:p>
  </w:endnote>
  <w:endnote w:type="continuationSeparator" w:id="0">
    <w:p w14:paraId="2F902188" w14:textId="77777777" w:rsidR="00293847" w:rsidRDefault="0029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2B8" w14:textId="77777777" w:rsidR="00B95975" w:rsidRDefault="00B95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C57D5C"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91406"/>
      <w:docPartObj>
        <w:docPartGallery w:val="Page Numbers (Bottom of Page)"/>
        <w:docPartUnique/>
      </w:docPartObj>
    </w:sdtPr>
    <w:sdtEndPr>
      <w:rPr>
        <w:noProof/>
      </w:rPr>
    </w:sdtEndPr>
    <w:sdtContent>
      <w:p w14:paraId="423555B3" w14:textId="7AD2E9B7" w:rsidR="00477F56" w:rsidRDefault="00477F56" w:rsidP="00C6726E">
        <w:pPr>
          <w:pStyle w:val="Footer"/>
          <w:jc w:val="center"/>
        </w:pPr>
        <w:r w:rsidRPr="00D67705">
          <w:fldChar w:fldCharType="begin"/>
        </w:r>
        <w:r w:rsidRPr="00D67705">
          <w:instrText xml:space="preserve"> PAGE   \* MERGEFORMAT </w:instrText>
        </w:r>
        <w:r w:rsidRPr="00D67705">
          <w:fldChar w:fldCharType="separate"/>
        </w:r>
        <w:r>
          <w:rPr>
            <w:noProof/>
          </w:rPr>
          <w:t>13</w:t>
        </w:r>
        <w:r w:rsidRPr="00D67705">
          <w:rPr>
            <w:noProof/>
          </w:rPr>
          <w:fldChar w:fldCharType="end"/>
        </w:r>
      </w:p>
    </w:sdtContent>
  </w:sdt>
  <w:p w14:paraId="556D2643" w14:textId="77777777" w:rsidR="00477F56" w:rsidRDefault="0047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F00E" w14:textId="77777777" w:rsidR="00293847" w:rsidRDefault="00293847">
      <w:pPr>
        <w:pStyle w:val="FootnoteText"/>
      </w:pPr>
      <w:r>
        <w:separator/>
      </w:r>
    </w:p>
  </w:footnote>
  <w:footnote w:type="continuationSeparator" w:id="0">
    <w:p w14:paraId="5AD5579A" w14:textId="77777777" w:rsidR="00293847" w:rsidRDefault="00293847">
      <w:pPr>
        <w:pStyle w:val="FootnoteText"/>
      </w:pPr>
      <w:r>
        <w:separator/>
      </w:r>
    </w:p>
  </w:footnote>
  <w:footnote w:type="continuationNotice" w:id="1">
    <w:p w14:paraId="088F93C8" w14:textId="77777777" w:rsidR="00293847" w:rsidRDefault="00293847">
      <w:pPr>
        <w:pStyle w:val="FootnoteText"/>
      </w:pPr>
      <w:r>
        <w:t>(continued…)</w:t>
      </w:r>
    </w:p>
  </w:footnote>
  <w:footnote w:id="2">
    <w:p w14:paraId="127B43B2" w14:textId="6624B186" w:rsidR="00E247D8" w:rsidRDefault="00E247D8">
      <w:pPr>
        <w:pStyle w:val="FootnoteText"/>
      </w:pPr>
      <w:r>
        <w:rPr>
          <w:rStyle w:val="FootnoteReference"/>
        </w:rPr>
        <w:footnoteRef/>
      </w:r>
      <w:r>
        <w:t xml:space="preserve"> </w:t>
      </w:r>
      <w:r w:rsidRPr="00E247D8">
        <w:t>Executive Order on Protecting Public Health and the Environment and Restoring Science to Tackle the Climate Crisis</w:t>
      </w:r>
      <w:r>
        <w:t xml:space="preserve">, E.O. </w:t>
      </w:r>
      <w:r w:rsidRPr="00E247D8">
        <w:t>13990</w:t>
      </w:r>
      <w:r>
        <w:t xml:space="preserve"> (Jan. 20, 2021)</w:t>
      </w:r>
      <w:r w:rsidR="00414A56">
        <w:t xml:space="preserve">, </w:t>
      </w:r>
      <w:r w:rsidR="00414A56" w:rsidRPr="00414A56">
        <w:t>https://www.whitehouse.gov/briefing-room/presidential-actions/2021/01/20/executive-order-protecting-public-health-and-environment-and-restoring-science-to-tackle-climate-crisis/</w:t>
      </w:r>
      <w:r>
        <w:t xml:space="preserve">. </w:t>
      </w:r>
    </w:p>
  </w:footnote>
  <w:footnote w:id="3">
    <w:p w14:paraId="664FC1E8" w14:textId="0C8B66FC" w:rsidR="00B50F2A" w:rsidRDefault="00B50F2A" w:rsidP="004A7872">
      <w:pPr>
        <w:pStyle w:val="FootnoteText"/>
      </w:pPr>
      <w:r>
        <w:rPr>
          <w:rStyle w:val="FootnoteReference"/>
        </w:rPr>
        <w:footnoteRef/>
      </w:r>
      <w:r>
        <w:t xml:space="preserve"> </w:t>
      </w:r>
      <w:r w:rsidRPr="00B50F2A">
        <w:t>Interagency Working Group on Social Cost of Greenhouse Gases</w:t>
      </w:r>
      <w:r>
        <w:t>, Technical Support Document: Social Cost of Carbon, Methane, and Nitrous Oxide Interim Estimates under Executive Order 13990 (Feb. 2021)</w:t>
      </w:r>
      <w:r w:rsidR="00414A56">
        <w:t xml:space="preserve">, </w:t>
      </w:r>
      <w:r w:rsidR="00414A56" w:rsidRPr="00414A56">
        <w:t>https://www.whitehouse.gov/wp-content/uploads/2021/02/TechnicalSupportDocument_SocialCostofCarbonMethaneNitrousOxide.pdf</w:t>
      </w:r>
      <w:r>
        <w:t xml:space="preserve">. </w:t>
      </w:r>
    </w:p>
  </w:footnote>
  <w:footnote w:id="4">
    <w:p w14:paraId="7902C118" w14:textId="3A17C4D2" w:rsidR="00DA1664" w:rsidRDefault="00DA1664">
      <w:pPr>
        <w:pStyle w:val="FootnoteText"/>
      </w:pPr>
      <w:r>
        <w:rPr>
          <w:rStyle w:val="FootnoteReference"/>
        </w:rPr>
        <w:footnoteRef/>
      </w:r>
      <w:r>
        <w:t xml:space="preserve"> </w:t>
      </w:r>
      <w:r w:rsidRPr="00DA1664">
        <w:t xml:space="preserve">In addition to the </w:t>
      </w:r>
      <w:r w:rsidR="005057E1">
        <w:t>NMPP</w:t>
      </w:r>
      <w:r w:rsidRPr="00DA1664">
        <w:t xml:space="preserve">, </w:t>
      </w:r>
      <w:r w:rsidR="000F4B71">
        <w:t>CAR</w:t>
      </w:r>
      <w:r w:rsidRPr="00DA1664">
        <w:t xml:space="preserve"> published the Nitrogen Management Project Protocol V2.0 Handbook, which serves as a plain-language companion to the technical protocol</w:t>
      </w:r>
      <w:r w:rsidR="005057E1">
        <w:t xml:space="preserve"> itself</w:t>
      </w:r>
      <w:r w:rsidRPr="00DA1664">
        <w:t xml:space="preserve">. </w:t>
      </w:r>
      <w:r w:rsidRPr="005057E1">
        <w:rPr>
          <w:i/>
        </w:rPr>
        <w:t>See</w:t>
      </w:r>
      <w:r w:rsidRPr="00DA1664">
        <w:t xml:space="preserve"> </w:t>
      </w:r>
      <w:r w:rsidR="005057E1">
        <w:t xml:space="preserve">Climate Action Reserve, </w:t>
      </w:r>
      <w:r w:rsidRPr="00DA1664">
        <w:t>Nitrogen Management Project Protocol V2.0 Handbook</w:t>
      </w:r>
      <w:r w:rsidR="005057E1">
        <w:t xml:space="preserve"> (Apr. 2019),</w:t>
      </w:r>
      <w:r w:rsidRPr="00DA1664">
        <w:t xml:space="preserve"> https://www.climateactionreserve.org/wp-content/uploads/2019/04/Nitrogen_Management_Handbook_v2.0a.pdf.</w:t>
      </w:r>
    </w:p>
  </w:footnote>
  <w:footnote w:id="5">
    <w:p w14:paraId="32CBEA9F" w14:textId="49BBCA3F" w:rsidR="005057E1" w:rsidRPr="005057E1" w:rsidRDefault="005057E1">
      <w:pPr>
        <w:pStyle w:val="FootnoteText"/>
      </w:pPr>
      <w:r>
        <w:rPr>
          <w:rStyle w:val="FootnoteReference"/>
        </w:rPr>
        <w:footnoteRef/>
      </w:r>
      <w:r>
        <w:t xml:space="preserve"> </w:t>
      </w:r>
      <w:r>
        <w:rPr>
          <w:i/>
        </w:rPr>
        <w:t xml:space="preserve">See </w:t>
      </w:r>
      <w:r>
        <w:t xml:space="preserve">discussion </w:t>
      </w:r>
      <w:r>
        <w:rPr>
          <w:i/>
        </w:rPr>
        <w:t>infra</w:t>
      </w:r>
      <w:r>
        <w:t>, Section IV.A.</w:t>
      </w:r>
    </w:p>
  </w:footnote>
  <w:footnote w:id="6">
    <w:p w14:paraId="6FD2B189" w14:textId="77777777" w:rsidR="000A092C" w:rsidRPr="00DA176F" w:rsidRDefault="000A092C">
      <w:pPr>
        <w:pStyle w:val="FootnoteText"/>
      </w:pPr>
      <w:r>
        <w:rPr>
          <w:rStyle w:val="FootnoteReference"/>
        </w:rPr>
        <w:footnoteRef/>
      </w:r>
      <w:r>
        <w:t xml:space="preserve"> </w:t>
      </w:r>
      <w:r w:rsidR="00DA176F">
        <w:rPr>
          <w:i/>
        </w:rPr>
        <w:t xml:space="preserve">See </w:t>
      </w:r>
      <w:r w:rsidR="00DA176F">
        <w:t xml:space="preserve">California Cap on Greenhouse Gas Emissions and Market-Based Compliance Mechanisms, Cal. Code Regs. Tit. 17, §§ 95800 et seq., </w:t>
      </w:r>
      <w:r w:rsidR="00DA176F" w:rsidRPr="00DA176F">
        <w:t>https://ww3.arb.ca.gov/cc/capandtrade/capandtrade.htm</w:t>
      </w:r>
      <w:r w:rsidR="00DA176F">
        <w:t>.</w:t>
      </w:r>
    </w:p>
  </w:footnote>
  <w:footnote w:id="7">
    <w:p w14:paraId="00F1CA69" w14:textId="3CE68860" w:rsidR="000A092C" w:rsidRPr="004C5A6C" w:rsidRDefault="000A092C">
      <w:pPr>
        <w:pStyle w:val="FootnoteText"/>
      </w:pPr>
      <w:r>
        <w:rPr>
          <w:rStyle w:val="FootnoteReference"/>
        </w:rPr>
        <w:footnoteRef/>
      </w:r>
      <w:r>
        <w:t xml:space="preserve"> </w:t>
      </w:r>
      <w:r w:rsidR="004C5A6C">
        <w:rPr>
          <w:i/>
        </w:rPr>
        <w:t xml:space="preserve">See </w:t>
      </w:r>
      <w:r w:rsidR="004C5A6C">
        <w:t xml:space="preserve">Regional Greenhouse Gas Initiative Model Rule (Last Revised Dec. 14, 2018), </w:t>
      </w:r>
      <w:r w:rsidR="004C5A6C" w:rsidRPr="00FE6D4B">
        <w:t>https://www.rggi.org/sites/default/files/Uploads/Design-Archive/Model-Rule/2017-Program-Review-Update/2017_Model_Rule_revised.pdf</w:t>
      </w:r>
      <w:r w:rsidR="004C5A6C">
        <w:t>.</w:t>
      </w:r>
    </w:p>
  </w:footnote>
  <w:footnote w:id="8">
    <w:p w14:paraId="56EED883" w14:textId="677F8CF7" w:rsidR="001D56F9" w:rsidRPr="00A94C9C" w:rsidRDefault="001D56F9">
      <w:pPr>
        <w:pStyle w:val="FootnoteText"/>
      </w:pPr>
      <w:r>
        <w:rPr>
          <w:rStyle w:val="FootnoteReference"/>
        </w:rPr>
        <w:footnoteRef/>
      </w:r>
      <w:r>
        <w:t xml:space="preserve"> </w:t>
      </w:r>
      <w:r w:rsidR="00A94C9C">
        <w:t xml:space="preserve">While historically limited to 8 percent, covered entities may only satisfy 4 percent of their compliance obligation with offset credits from 2021-2025 and 6 percent from 2026 onward. </w:t>
      </w:r>
      <w:r w:rsidR="00A94C9C">
        <w:rPr>
          <w:i/>
        </w:rPr>
        <w:t xml:space="preserve">See </w:t>
      </w:r>
      <w:r w:rsidR="00A94C9C">
        <w:t xml:space="preserve">Cal. Code Regs., Tit. 17, § 95854. These reduced credit usage limits stem from legislative changes to the program </w:t>
      </w:r>
      <w:proofErr w:type="gramStart"/>
      <w:r w:rsidR="00A94C9C">
        <w:t>mandated  by</w:t>
      </w:r>
      <w:proofErr w:type="gramEnd"/>
      <w:r w:rsidR="00A94C9C">
        <w:t xml:space="preserve"> Assembly Bill (AB) 398 passed in 2017. These and related limits</w:t>
      </w:r>
      <w:r w:rsidR="008B1A0D">
        <w:t>, as well as the forces driving them,</w:t>
      </w:r>
      <w:r w:rsidR="00A94C9C">
        <w:t xml:space="preserve"> are discussed further in Section IV.</w:t>
      </w:r>
    </w:p>
  </w:footnote>
  <w:footnote w:id="9">
    <w:p w14:paraId="23F5068A" w14:textId="77777777" w:rsidR="005A7E49" w:rsidRPr="005A7E49" w:rsidRDefault="005A7E49">
      <w:pPr>
        <w:pStyle w:val="FootnoteText"/>
      </w:pPr>
      <w:r>
        <w:rPr>
          <w:rStyle w:val="FootnoteReference"/>
        </w:rPr>
        <w:footnoteRef/>
      </w:r>
      <w:r>
        <w:t xml:space="preserve"> </w:t>
      </w:r>
      <w:r>
        <w:rPr>
          <w:i/>
        </w:rPr>
        <w:t xml:space="preserve">See </w:t>
      </w:r>
      <w:r>
        <w:t>Western Climate Initiative, Offset System Essential Elements Final Re</w:t>
      </w:r>
      <w:r w:rsidR="009F78A7">
        <w:t xml:space="preserve">commendations Paper (July 2010), </w:t>
      </w:r>
      <w:r w:rsidR="009F78A7" w:rsidRPr="009F78A7">
        <w:t>http://westernclimateinitiative.org/index.php?option=com_remository&amp;Itemid=37&amp;func=fileinfo&amp;id=277</w:t>
      </w:r>
      <w:r w:rsidR="009F78A7">
        <w:t>.</w:t>
      </w:r>
    </w:p>
  </w:footnote>
  <w:footnote w:id="10">
    <w:p w14:paraId="0A089F1F" w14:textId="77777777" w:rsidR="003A2BE2" w:rsidRPr="003A2BE2" w:rsidRDefault="003A2BE2">
      <w:pPr>
        <w:pStyle w:val="FootnoteText"/>
      </w:pPr>
      <w:r>
        <w:rPr>
          <w:rStyle w:val="FootnoteReference"/>
        </w:rPr>
        <w:footnoteRef/>
      </w:r>
      <w:r>
        <w:t xml:space="preserve"> </w:t>
      </w:r>
      <w:r>
        <w:rPr>
          <w:i/>
        </w:rPr>
        <w:t>Id.</w:t>
      </w:r>
    </w:p>
  </w:footnote>
  <w:footnote w:id="11">
    <w:p w14:paraId="07CD2A94" w14:textId="77777777" w:rsidR="00FE6D4B" w:rsidRPr="00FE6D4B" w:rsidRDefault="00FE6D4B">
      <w:pPr>
        <w:pStyle w:val="FootnoteText"/>
      </w:pPr>
      <w:r>
        <w:rPr>
          <w:rStyle w:val="FootnoteReference"/>
        </w:rPr>
        <w:footnoteRef/>
      </w:r>
      <w:r>
        <w:t xml:space="preserve"> </w:t>
      </w:r>
      <w:r>
        <w:rPr>
          <w:i/>
        </w:rPr>
        <w:t xml:space="preserve">See </w:t>
      </w:r>
      <w:r>
        <w:t xml:space="preserve">RGGI Model Rule, Part XX CO2 Budget Trading Program, Subpart XX-10 CO2 Emissions Offset Projects (Last Revised Dec. 14, 2018), </w:t>
      </w:r>
      <w:r w:rsidRPr="00FE6D4B">
        <w:t>https://www.rggi.org/sites/default/files/Uploads/Design-Archive/Model-Rule/2017-Program-Review-Update/2017_Model_Rule_revised.pdf</w:t>
      </w:r>
      <w:r>
        <w:t>.</w:t>
      </w:r>
    </w:p>
  </w:footnote>
  <w:footnote w:id="12">
    <w:p w14:paraId="64E719B9" w14:textId="618E51B0" w:rsidR="002F112D" w:rsidRPr="002F112D" w:rsidRDefault="002F112D">
      <w:pPr>
        <w:pStyle w:val="FootnoteText"/>
      </w:pPr>
      <w:r>
        <w:rPr>
          <w:rStyle w:val="FootnoteReference"/>
        </w:rPr>
        <w:footnoteRef/>
      </w:r>
      <w:r>
        <w:t xml:space="preserve"> </w:t>
      </w:r>
      <w:r>
        <w:rPr>
          <w:i/>
        </w:rPr>
        <w:t>See</w:t>
      </w:r>
      <w:r w:rsidR="00A35F06">
        <w:t xml:space="preserve">, </w:t>
      </w:r>
      <w:r w:rsidR="00A35F06">
        <w:rPr>
          <w:i/>
        </w:rPr>
        <w:t>e.g.</w:t>
      </w:r>
      <w:r w:rsidR="00A35F06">
        <w:t>,</w:t>
      </w:r>
      <w:r>
        <w:rPr>
          <w:i/>
        </w:rPr>
        <w:t xml:space="preserve"> </w:t>
      </w:r>
      <w:r w:rsidR="00A35F06">
        <w:t>Cal. Code Regs. Tit. 17, § 95802 (defining “ARB Offset Credit”</w:t>
      </w:r>
      <w:r w:rsidR="00FF22A7">
        <w:t xml:space="preserve"> among other related terms</w:t>
      </w:r>
      <w:r w:rsidR="00A35F06">
        <w:t>). Assembly Bill (AB) 32</w:t>
      </w:r>
      <w:r w:rsidR="00F55C75">
        <w:t xml:space="preserve"> (2006)</w:t>
      </w:r>
      <w:r w:rsidR="00A35F06">
        <w:t>, the state legislation authorizing implementation of a Cap-and-Trade Program,</w:t>
      </w:r>
      <w:r w:rsidR="00FF22A7">
        <w:t xml:space="preserve"> mandates these criteria be met in more general terms</w:t>
      </w:r>
      <w:r w:rsidR="00533850">
        <w:t>.</w:t>
      </w:r>
    </w:p>
  </w:footnote>
  <w:footnote w:id="13">
    <w:p w14:paraId="10D2C39F" w14:textId="77777777" w:rsidR="00A35F06" w:rsidRPr="00A35F06" w:rsidRDefault="00A35F06">
      <w:pPr>
        <w:pStyle w:val="FootnoteText"/>
      </w:pPr>
      <w:r>
        <w:rPr>
          <w:rStyle w:val="FootnoteReference"/>
        </w:rPr>
        <w:footnoteRef/>
      </w:r>
      <w:r>
        <w:t xml:space="preserve"> </w:t>
      </w:r>
      <w:r>
        <w:rPr>
          <w:i/>
        </w:rPr>
        <w:t>Id.</w:t>
      </w:r>
    </w:p>
  </w:footnote>
  <w:footnote w:id="14">
    <w:p w14:paraId="00A77672" w14:textId="77777777" w:rsidR="00F55C75" w:rsidRPr="00F55C75" w:rsidRDefault="00F55C75">
      <w:pPr>
        <w:pStyle w:val="FootnoteText"/>
      </w:pPr>
      <w:r>
        <w:rPr>
          <w:rStyle w:val="FootnoteReference"/>
        </w:rPr>
        <w:footnoteRef/>
      </w:r>
      <w:r>
        <w:t xml:space="preserve"> </w:t>
      </w:r>
      <w:r>
        <w:rPr>
          <w:i/>
        </w:rPr>
        <w:t>Id.</w:t>
      </w:r>
    </w:p>
  </w:footnote>
  <w:footnote w:id="15">
    <w:p w14:paraId="549D042C" w14:textId="6FE08536" w:rsidR="0098101C" w:rsidRDefault="0098101C" w:rsidP="0098101C">
      <w:pPr>
        <w:pStyle w:val="FootnoteText"/>
      </w:pPr>
      <w:r>
        <w:rPr>
          <w:rStyle w:val="FootnoteReference"/>
        </w:rPr>
        <w:footnoteRef/>
      </w:r>
      <w:r>
        <w:t xml:space="preserve"> </w:t>
      </w:r>
      <w:r w:rsidRPr="00EC7C1C">
        <w:rPr>
          <w:i/>
        </w:rPr>
        <w:t>Our Children's Earth Found. v. State Air Res. Bd</w:t>
      </w:r>
      <w:r>
        <w:t>., 234 Cal. App. 4th 870, 875 (2015)</w:t>
      </w:r>
      <w:r w:rsidR="006211D5">
        <w:t xml:space="preserve"> (“</w:t>
      </w:r>
      <w:r w:rsidR="006211D5">
        <w:rPr>
          <w:i/>
        </w:rPr>
        <w:t>Our Children’s Earth</w:t>
      </w:r>
      <w:r w:rsidR="006211D5">
        <w:t>”)</w:t>
      </w:r>
      <w:r>
        <w:t>.</w:t>
      </w:r>
    </w:p>
  </w:footnote>
  <w:footnote w:id="16">
    <w:p w14:paraId="75B65232" w14:textId="6379542A" w:rsidR="0023736E" w:rsidRDefault="0023736E" w:rsidP="0023736E">
      <w:pPr>
        <w:pStyle w:val="FootnoteText"/>
      </w:pPr>
      <w:r>
        <w:rPr>
          <w:rStyle w:val="FootnoteReference"/>
        </w:rPr>
        <w:footnoteRef/>
      </w:r>
      <w:r>
        <w:t xml:space="preserve"> </w:t>
      </w:r>
      <w:r w:rsidRPr="00AD3AA7">
        <w:rPr>
          <w:i/>
        </w:rPr>
        <w:t>See, e.g.</w:t>
      </w:r>
      <w:r>
        <w:t xml:space="preserve">, </w:t>
      </w:r>
      <w:r w:rsidRPr="0023736E">
        <w:t>Quantification of Emission Reductions</w:t>
      </w:r>
      <w:r>
        <w:t xml:space="preserve">, Climate Action Reserve (Dec. 22, 2011), </w:t>
      </w:r>
      <w:r w:rsidRPr="00A06837">
        <w:t>http://www.climateactionreserve.org/wp-content/uploads/2011/12/NMPP_Background_Paper_Quantification_of_Emission_Reductions.pdf</w:t>
      </w:r>
      <w:r>
        <w:t xml:space="preserve">; Methodology Synthesis for Nitrogen Management, Climate Action Reserve, (May 6, 2011), </w:t>
      </w:r>
      <w:r w:rsidRPr="00A06837">
        <w:t>http://www.climateactionreserve.org/wp-content/uploads/2011/05/Reserve_Methodology_Synthesis_for_NM_-_Background_Paper_FINAL.pdf</w:t>
      </w:r>
      <w:r>
        <w:t xml:space="preserve">; Options for Determining the Additionality of Agriculture Projects, Climate Action Reserve (September 30, 2010), </w:t>
      </w:r>
      <w:r w:rsidRPr="00A06837">
        <w:t>http://www.climateactionreserve.org/wp-content/uploads/2010/09/Options_for_Determining_Additionality_of_Agriculture_Projects_093010.pdf</w:t>
      </w:r>
      <w:r>
        <w:t xml:space="preserve">.  </w:t>
      </w:r>
    </w:p>
  </w:footnote>
  <w:footnote w:id="17">
    <w:p w14:paraId="33779210" w14:textId="77777777" w:rsidR="005A78A5" w:rsidRDefault="005A78A5" w:rsidP="005A78A5">
      <w:pPr>
        <w:pStyle w:val="FootnoteText"/>
      </w:pPr>
      <w:r>
        <w:rPr>
          <w:rStyle w:val="FootnoteReference"/>
        </w:rPr>
        <w:footnoteRef/>
      </w:r>
      <w:r>
        <w:t xml:space="preserve"> </w:t>
      </w:r>
      <w:r w:rsidRPr="005A78A5">
        <w:rPr>
          <w:i/>
        </w:rPr>
        <w:t>See</w:t>
      </w:r>
      <w:r>
        <w:t xml:space="preserve"> Stakeholder Survey Results to Revise the Climate Action Reserve’s Nitrogen Management Project Protocol (NMPP), Climate Action Reserve (Mar. 7, 2017), </w:t>
      </w:r>
      <w:r w:rsidRPr="005A78A5">
        <w:t>https://www.climateactionreserve.org/wp-content/uploads/2012/06/NMPP-Survey-Results-Memo-030717.pdf</w:t>
      </w:r>
      <w:r>
        <w:t xml:space="preserve">. </w:t>
      </w:r>
    </w:p>
  </w:footnote>
  <w:footnote w:id="18">
    <w:p w14:paraId="0D2B2E75" w14:textId="77777777" w:rsidR="00677AEF" w:rsidRDefault="00677AEF" w:rsidP="00677AEF">
      <w:pPr>
        <w:pStyle w:val="FootnoteText"/>
      </w:pPr>
      <w:r>
        <w:rPr>
          <w:rStyle w:val="FootnoteReference"/>
        </w:rPr>
        <w:footnoteRef/>
      </w:r>
      <w:r>
        <w:t xml:space="preserve"> </w:t>
      </w:r>
      <w:r w:rsidRPr="00AD3AA7">
        <w:rPr>
          <w:i/>
        </w:rPr>
        <w:t>See</w:t>
      </w:r>
      <w:r>
        <w:t xml:space="preserve"> Request for Proposals to Provide Technical Consulting Services in Support of the Development of a New Standardized Quantification Methodology for the Reserve’s Nitrogen Management Project Protocol, Climate Action Reserve (May 5, 2017), </w:t>
      </w:r>
      <w:r w:rsidRPr="00677AEF">
        <w:t>https://www.climateactionreserve.org/wp-content/uploads/2017/05/RFP_Technical_Contractor_Nitrogen_Management_Project_Protocol.pdf</w:t>
      </w:r>
      <w:r>
        <w:t>.</w:t>
      </w:r>
    </w:p>
  </w:footnote>
  <w:footnote w:id="19">
    <w:p w14:paraId="7CABC1D4" w14:textId="72A289AC" w:rsidR="00FA3BEF" w:rsidRDefault="00FA3BEF">
      <w:pPr>
        <w:pStyle w:val="FootnoteText"/>
      </w:pPr>
      <w:r>
        <w:rPr>
          <w:rStyle w:val="FootnoteReference"/>
        </w:rPr>
        <w:footnoteRef/>
      </w:r>
      <w:r>
        <w:t xml:space="preserve"> </w:t>
      </w:r>
      <w:r w:rsidR="00600B98">
        <w:t xml:space="preserve">Summary of Comments &amp; Responses: Draft Nitrogen Management Project Protocol Version 2.0, Climate Action Reserve, </w:t>
      </w:r>
      <w:r w:rsidR="00600B98" w:rsidRPr="00A06837">
        <w:t>https://www.climateactionreserve.org/wp-content/uploads/2018/10/Summary_of_Comments_Nitrogen_Management_Project_Protocol_V2.0.pdf</w:t>
      </w:r>
      <w:r w:rsidR="00600B98">
        <w:t xml:space="preserve">; </w:t>
      </w:r>
      <w:r>
        <w:t xml:space="preserve">Nitrogen Management Project Protocol Version 2.0, Climate Action Reserve, </w:t>
      </w:r>
      <w:r w:rsidRPr="00FA3BEF">
        <w:t>https://www.climateactionreserve.org/wp-content/uploads/2018/10/Nitrogen_Management_Project_Protocol_Version_2.0.pdf</w:t>
      </w:r>
      <w:r>
        <w:t xml:space="preserve">. </w:t>
      </w:r>
    </w:p>
  </w:footnote>
  <w:footnote w:id="20">
    <w:p w14:paraId="4EDF9242" w14:textId="2D95983D" w:rsidR="00B73CF4" w:rsidRPr="001C2915" w:rsidRDefault="00B73CF4">
      <w:pPr>
        <w:pStyle w:val="FootnoteText"/>
      </w:pPr>
      <w:r>
        <w:rPr>
          <w:rStyle w:val="FootnoteReference"/>
        </w:rPr>
        <w:footnoteRef/>
      </w:r>
      <w:r>
        <w:t xml:space="preserve"> </w:t>
      </w:r>
      <w:r w:rsidR="001C2915">
        <w:rPr>
          <w:i/>
        </w:rPr>
        <w:t xml:space="preserve">See </w:t>
      </w:r>
      <w:r w:rsidR="001C2915">
        <w:t>NMPP Appendix A, Nitrogen Management Review.</w:t>
      </w:r>
    </w:p>
  </w:footnote>
  <w:footnote w:id="21">
    <w:p w14:paraId="434C06AC" w14:textId="276EC59F" w:rsidR="00E87065" w:rsidRPr="007B2997" w:rsidRDefault="00E87065">
      <w:pPr>
        <w:pStyle w:val="FootnoteText"/>
      </w:pPr>
      <w:r>
        <w:rPr>
          <w:rStyle w:val="FootnoteReference"/>
        </w:rPr>
        <w:footnoteRef/>
      </w:r>
      <w:r>
        <w:t xml:space="preserve"> </w:t>
      </w:r>
      <w:r w:rsidRPr="007B2997">
        <w:rPr>
          <w:i/>
        </w:rPr>
        <w:t>See</w:t>
      </w:r>
      <w:r w:rsidR="00355DB0">
        <w:t xml:space="preserve"> NMPP Section 3.5.2.</w:t>
      </w:r>
    </w:p>
  </w:footnote>
  <w:footnote w:id="22">
    <w:p w14:paraId="715632C0" w14:textId="7F964EC0" w:rsidR="0042298E" w:rsidRPr="0042298E" w:rsidRDefault="0042298E">
      <w:pPr>
        <w:pStyle w:val="FootnoteText"/>
      </w:pPr>
      <w:r>
        <w:rPr>
          <w:rStyle w:val="FootnoteReference"/>
        </w:rPr>
        <w:footnoteRef/>
      </w:r>
      <w:r>
        <w:t xml:space="preserve"> </w:t>
      </w:r>
      <w:r>
        <w:rPr>
          <w:i/>
        </w:rPr>
        <w:t xml:space="preserve">Id. </w:t>
      </w:r>
      <w:r>
        <w:t>Section 2.2.</w:t>
      </w:r>
    </w:p>
  </w:footnote>
  <w:footnote w:id="23">
    <w:p w14:paraId="1C34BD0F" w14:textId="647E89BC" w:rsidR="00CB136D" w:rsidRPr="00CB136D" w:rsidRDefault="00CB136D">
      <w:pPr>
        <w:pStyle w:val="FootnoteText"/>
      </w:pPr>
      <w:r>
        <w:rPr>
          <w:rStyle w:val="FootnoteReference"/>
        </w:rPr>
        <w:footnoteRef/>
      </w:r>
      <w:r>
        <w:t xml:space="preserve"> </w:t>
      </w:r>
      <w:r>
        <w:rPr>
          <w:i/>
        </w:rPr>
        <w:t xml:space="preserve">See </w:t>
      </w:r>
      <w:r>
        <w:t xml:space="preserve">NMPP Appendix B, </w:t>
      </w:r>
      <w:r w:rsidR="0042298E">
        <w:t>Summary of Performance Standard Test Development and Additionality Assessment.</w:t>
      </w:r>
    </w:p>
  </w:footnote>
  <w:footnote w:id="24">
    <w:p w14:paraId="45F7A08B" w14:textId="36526348" w:rsidR="00355DB0" w:rsidRDefault="00355DB0">
      <w:pPr>
        <w:pStyle w:val="FootnoteText"/>
      </w:pPr>
      <w:r>
        <w:rPr>
          <w:rStyle w:val="FootnoteReference"/>
        </w:rPr>
        <w:footnoteRef/>
      </w:r>
      <w:r>
        <w:t xml:space="preserve"> </w:t>
      </w:r>
      <w:r w:rsidRPr="00355DB0">
        <w:rPr>
          <w:i/>
        </w:rPr>
        <w:t>See supra</w:t>
      </w:r>
      <w:r>
        <w:t xml:space="preserve"> part II.B</w:t>
      </w:r>
      <w:r w:rsidR="00CC6E37">
        <w:t>.</w:t>
      </w:r>
    </w:p>
  </w:footnote>
  <w:footnote w:id="25">
    <w:p w14:paraId="7797027F" w14:textId="4BB25CD2" w:rsidR="00E87065" w:rsidRPr="007B2997" w:rsidRDefault="00E87065">
      <w:pPr>
        <w:pStyle w:val="FootnoteText"/>
      </w:pPr>
      <w:r w:rsidRPr="007B2997">
        <w:rPr>
          <w:rStyle w:val="FootnoteReference"/>
        </w:rPr>
        <w:footnoteRef/>
      </w:r>
      <w:r w:rsidRPr="007B2997">
        <w:t xml:space="preserve"> </w:t>
      </w:r>
      <w:r w:rsidRPr="007B2997">
        <w:rPr>
          <w:i/>
        </w:rPr>
        <w:t>See</w:t>
      </w:r>
      <w:r w:rsidRPr="007B2997">
        <w:t xml:space="preserve"> NMPP Appendix B.</w:t>
      </w:r>
    </w:p>
  </w:footnote>
  <w:footnote w:id="26">
    <w:p w14:paraId="610DC318" w14:textId="02DDBBD2" w:rsidR="007B2997" w:rsidRPr="007B2997" w:rsidRDefault="007B2997">
      <w:pPr>
        <w:pStyle w:val="FootnoteText"/>
      </w:pPr>
      <w:r w:rsidRPr="007B2997">
        <w:rPr>
          <w:rStyle w:val="FootnoteReference"/>
        </w:rPr>
        <w:footnoteRef/>
      </w:r>
      <w:r w:rsidRPr="007B2997">
        <w:t xml:space="preserve"> </w:t>
      </w:r>
      <w:r w:rsidRPr="007B2997">
        <w:rPr>
          <w:i/>
        </w:rPr>
        <w:t>See</w:t>
      </w:r>
      <w:r w:rsidRPr="007B2997">
        <w:t xml:space="preserve"> NMPP Section 3.5.1.</w:t>
      </w:r>
    </w:p>
  </w:footnote>
  <w:footnote w:id="27">
    <w:p w14:paraId="4577D0EC" w14:textId="52CB7FEC" w:rsidR="007B2997" w:rsidRDefault="007B2997">
      <w:pPr>
        <w:pStyle w:val="FootnoteText"/>
      </w:pPr>
      <w:r w:rsidRPr="007B2997">
        <w:rPr>
          <w:rStyle w:val="FootnoteReference"/>
        </w:rPr>
        <w:footnoteRef/>
      </w:r>
      <w:r w:rsidRPr="007B2997">
        <w:t xml:space="preserve"> </w:t>
      </w:r>
      <w:r w:rsidRPr="007B2997">
        <w:rPr>
          <w:i/>
        </w:rPr>
        <w:t>See</w:t>
      </w:r>
      <w:r w:rsidRPr="007B2997">
        <w:t xml:space="preserve"> NMPP Section 5.1.3.2.</w:t>
      </w:r>
    </w:p>
  </w:footnote>
  <w:footnote w:id="28">
    <w:p w14:paraId="22865984" w14:textId="11DE9C50" w:rsidR="00355DB0" w:rsidRPr="004A0AA0" w:rsidRDefault="00355DB0">
      <w:pPr>
        <w:pStyle w:val="FootnoteText"/>
      </w:pPr>
      <w:r w:rsidRPr="004A0AA0">
        <w:rPr>
          <w:rStyle w:val="FootnoteReference"/>
        </w:rPr>
        <w:footnoteRef/>
      </w:r>
      <w:r w:rsidRPr="004A0AA0">
        <w:t xml:space="preserve"> </w:t>
      </w:r>
      <w:r w:rsidRPr="004A0AA0">
        <w:rPr>
          <w:i/>
        </w:rPr>
        <w:t>See, e.g.</w:t>
      </w:r>
      <w:r w:rsidRPr="004A0AA0">
        <w:t>, NMPP Table 4.1 identifying excluded sources and sinks based on conservative assessments.</w:t>
      </w:r>
    </w:p>
  </w:footnote>
  <w:footnote w:id="29">
    <w:p w14:paraId="7AFFED28" w14:textId="73C4AA41" w:rsidR="00355DB0" w:rsidRPr="004A0AA0" w:rsidRDefault="00355DB0">
      <w:pPr>
        <w:pStyle w:val="FootnoteText"/>
      </w:pPr>
      <w:r w:rsidRPr="004A0AA0">
        <w:rPr>
          <w:rStyle w:val="FootnoteReference"/>
        </w:rPr>
        <w:footnoteRef/>
      </w:r>
      <w:r w:rsidRPr="004A0AA0">
        <w:t xml:space="preserve"> </w:t>
      </w:r>
      <w:r w:rsidRPr="004A0AA0">
        <w:rPr>
          <w:i/>
        </w:rPr>
        <w:t xml:space="preserve">See </w:t>
      </w:r>
      <w:r w:rsidRPr="004A0AA0">
        <w:t>234 Cal. App. 4th 870 (2015).</w:t>
      </w:r>
    </w:p>
  </w:footnote>
  <w:footnote w:id="30">
    <w:p w14:paraId="57FCF21A" w14:textId="77777777" w:rsidR="00C568F5" w:rsidRDefault="00C568F5" w:rsidP="00C568F5">
      <w:pPr>
        <w:pStyle w:val="FootnoteText"/>
      </w:pPr>
      <w:r w:rsidRPr="004A0AA0">
        <w:rPr>
          <w:rStyle w:val="FootnoteReference"/>
        </w:rPr>
        <w:footnoteRef/>
      </w:r>
      <w:r w:rsidRPr="004A0AA0">
        <w:t xml:space="preserve"> </w:t>
      </w:r>
      <w:r w:rsidRPr="004A0AA0">
        <w:rPr>
          <w:i/>
        </w:rPr>
        <w:t>See</w:t>
      </w:r>
      <w:r w:rsidRPr="004A0AA0">
        <w:t xml:space="preserve"> 234 Cal. App. 4</w:t>
      </w:r>
      <w:r w:rsidRPr="004A0AA0">
        <w:rPr>
          <w:vertAlign w:val="superscript"/>
        </w:rPr>
        <w:t>th</w:t>
      </w:r>
      <w:r w:rsidRPr="004A0AA0">
        <w:t xml:space="preserve"> at 879.</w:t>
      </w:r>
      <w:r>
        <w:t xml:space="preserve"> </w:t>
      </w:r>
    </w:p>
  </w:footnote>
  <w:footnote w:id="31">
    <w:p w14:paraId="4780F6BA" w14:textId="6783209B" w:rsidR="00F97C68" w:rsidRPr="004A0AA0" w:rsidRDefault="00F97C68">
      <w:pPr>
        <w:pStyle w:val="FootnoteText"/>
      </w:pPr>
      <w:r w:rsidRPr="004A0AA0">
        <w:rPr>
          <w:rStyle w:val="FootnoteReference"/>
        </w:rPr>
        <w:footnoteRef/>
      </w:r>
      <w:r w:rsidRPr="004A0AA0">
        <w:t xml:space="preserve"> </w:t>
      </w:r>
      <w:r w:rsidRPr="004A0AA0">
        <w:rPr>
          <w:i/>
        </w:rPr>
        <w:t>See</w:t>
      </w:r>
      <w:r w:rsidRPr="004A0AA0">
        <w:t xml:space="preserve"> NMPP Appendix B.</w:t>
      </w:r>
    </w:p>
  </w:footnote>
  <w:footnote w:id="32">
    <w:p w14:paraId="7D2BC3B5" w14:textId="21729F28" w:rsidR="009974E8" w:rsidRDefault="009974E8">
      <w:pPr>
        <w:pStyle w:val="FootnoteText"/>
      </w:pPr>
      <w:r>
        <w:rPr>
          <w:rStyle w:val="FootnoteReference"/>
        </w:rPr>
        <w:footnoteRef/>
      </w:r>
      <w:r>
        <w:t xml:space="preserve"> </w:t>
      </w:r>
      <w:r w:rsidRPr="004A0AA0">
        <w:t>Through its deliberative process, CAR</w:t>
      </w:r>
      <w:r>
        <w:t xml:space="preserve"> did decide</w:t>
      </w:r>
      <w:r w:rsidRPr="004A0AA0">
        <w:t xml:space="preserve"> to include </w:t>
      </w:r>
      <w:r w:rsidR="00606228">
        <w:t xml:space="preserve">as eligible </w:t>
      </w:r>
      <w:r w:rsidRPr="004A0AA0">
        <w:t>some projects that were already g</w:t>
      </w:r>
      <w:r>
        <w:t>rowing</w:t>
      </w:r>
      <w:r w:rsidRPr="004A0AA0">
        <w:t xml:space="preserve"> in popularity due to market forces</w:t>
      </w:r>
      <w:r w:rsidR="00606228">
        <w:t xml:space="preserve">, so </w:t>
      </w:r>
      <w:r w:rsidRPr="004A0AA0">
        <w:t>long as the practice was not mandated by state or local authorities. CAR recognized</w:t>
      </w:r>
      <w:r w:rsidR="00606228">
        <w:t>, however,</w:t>
      </w:r>
      <w:r w:rsidRPr="004A0AA0">
        <w:t xml:space="preserve"> that further nitrogen reduction from such practices </w:t>
      </w:r>
      <w:r w:rsidR="00606228">
        <w:t xml:space="preserve">could </w:t>
      </w:r>
      <w:r w:rsidRPr="004A0AA0">
        <w:t xml:space="preserve">be difficult </w:t>
      </w:r>
      <w:r w:rsidR="00606228">
        <w:t xml:space="preserve">to ultimately achieve, </w:t>
      </w:r>
      <w:r w:rsidRPr="004A0AA0">
        <w:t xml:space="preserve">if market-based adoption rates </w:t>
      </w:r>
      <w:r w:rsidR="00606228">
        <w:t>continued to grow</w:t>
      </w:r>
      <w:r w:rsidRPr="004A0AA0">
        <w:t xml:space="preserve"> before the start of the program.</w:t>
      </w:r>
    </w:p>
  </w:footnote>
  <w:footnote w:id="33">
    <w:p w14:paraId="704288A9" w14:textId="5A0B0593" w:rsidR="00B532FB" w:rsidRDefault="00B532FB">
      <w:pPr>
        <w:pStyle w:val="FootnoteText"/>
      </w:pPr>
      <w:r>
        <w:rPr>
          <w:rStyle w:val="FootnoteReference"/>
        </w:rPr>
        <w:footnoteRef/>
      </w:r>
      <w:r>
        <w:t xml:space="preserve"> </w:t>
      </w:r>
      <w:r w:rsidRPr="00B532FB">
        <w:rPr>
          <w:i/>
        </w:rPr>
        <w:t>See</w:t>
      </w:r>
      <w:r w:rsidRPr="00B532FB">
        <w:t xml:space="preserve"> N</w:t>
      </w:r>
      <w:r w:rsidR="0042298E">
        <w:t xml:space="preserve">MPP </w:t>
      </w:r>
      <w:r>
        <w:t>Sections 6-8</w:t>
      </w:r>
      <w:r w:rsidRPr="0080069F">
        <w:t>.</w:t>
      </w:r>
    </w:p>
  </w:footnote>
  <w:footnote w:id="34">
    <w:p w14:paraId="471D23E0" w14:textId="240AD0A4" w:rsidR="00B533D2" w:rsidRDefault="00B533D2">
      <w:pPr>
        <w:pStyle w:val="FootnoteText"/>
      </w:pPr>
      <w:r>
        <w:rPr>
          <w:rStyle w:val="FootnoteReference"/>
        </w:rPr>
        <w:footnoteRef/>
      </w:r>
      <w:r>
        <w:t xml:space="preserve"> </w:t>
      </w:r>
      <w:r w:rsidRPr="002D28CA">
        <w:rPr>
          <w:i/>
        </w:rPr>
        <w:t>See</w:t>
      </w:r>
      <w:r>
        <w:t xml:space="preserve"> NMPP Section 8.6. </w:t>
      </w:r>
    </w:p>
  </w:footnote>
  <w:footnote w:id="35">
    <w:p w14:paraId="1FB76312" w14:textId="0DAD47C9" w:rsidR="00B533D2" w:rsidRDefault="00B533D2">
      <w:pPr>
        <w:pStyle w:val="FootnoteText"/>
      </w:pPr>
      <w:r>
        <w:rPr>
          <w:rStyle w:val="FootnoteReference"/>
        </w:rPr>
        <w:footnoteRef/>
      </w:r>
      <w:r>
        <w:t xml:space="preserve"> </w:t>
      </w:r>
      <w:r w:rsidRPr="009C3D38">
        <w:rPr>
          <w:i/>
        </w:rPr>
        <w:t>See</w:t>
      </w:r>
      <w:r>
        <w:t xml:space="preserve"> NMPP</w:t>
      </w:r>
      <w:r w:rsidR="0042298E">
        <w:t xml:space="preserve"> </w:t>
      </w:r>
      <w:r>
        <w:t>Appendix F.</w:t>
      </w:r>
    </w:p>
  </w:footnote>
  <w:footnote w:id="36">
    <w:p w14:paraId="3C1D3FAF" w14:textId="61030C3B" w:rsidR="00E87065" w:rsidRDefault="00E87065">
      <w:pPr>
        <w:pStyle w:val="FootnoteText"/>
      </w:pPr>
      <w:r>
        <w:rPr>
          <w:rStyle w:val="FootnoteReference"/>
        </w:rPr>
        <w:footnoteRef/>
      </w:r>
      <w:r>
        <w:t xml:space="preserve"> </w:t>
      </w:r>
      <w:r w:rsidRPr="00E87065">
        <w:rPr>
          <w:i/>
        </w:rPr>
        <w:t>See</w:t>
      </w:r>
      <w:r w:rsidRPr="00E87065">
        <w:t xml:space="preserve"> NMPP Section 2.4.</w:t>
      </w:r>
    </w:p>
  </w:footnote>
  <w:footnote w:id="37">
    <w:p w14:paraId="3868BED2" w14:textId="52572249" w:rsidR="00B61F01" w:rsidRDefault="00B61F01">
      <w:pPr>
        <w:pStyle w:val="FootnoteText"/>
      </w:pPr>
      <w:r>
        <w:rPr>
          <w:rStyle w:val="FootnoteReference"/>
        </w:rPr>
        <w:footnoteRef/>
      </w:r>
      <w:r>
        <w:t xml:space="preserve"> </w:t>
      </w:r>
      <w:r w:rsidRPr="00B03F4C">
        <w:rPr>
          <w:i/>
        </w:rPr>
        <w:t>See</w:t>
      </w:r>
      <w:r>
        <w:t xml:space="preserve"> NMPP Section 7. </w:t>
      </w:r>
    </w:p>
  </w:footnote>
  <w:footnote w:id="38">
    <w:p w14:paraId="03F0A550" w14:textId="32704E2B" w:rsidR="0089759C" w:rsidRDefault="0089759C" w:rsidP="0089759C">
      <w:pPr>
        <w:pStyle w:val="FootnoteText"/>
      </w:pPr>
      <w:r>
        <w:rPr>
          <w:rStyle w:val="FootnoteReference"/>
        </w:rPr>
        <w:footnoteRef/>
      </w:r>
      <w:r>
        <w:t xml:space="preserve"> </w:t>
      </w:r>
      <w:r w:rsidRPr="0089759C">
        <w:t>M. A. Liebig</w:t>
      </w:r>
      <w:r>
        <w:t xml:space="preserve">, et al., Grazing Management Contributions to Net Global Warming Potential: A Long-term Evaluation in the Northern Great Plains, 39 Journal </w:t>
      </w:r>
      <w:r w:rsidR="006A7499">
        <w:t xml:space="preserve">of Environmental Quality </w:t>
      </w:r>
      <w:r>
        <w:t xml:space="preserve">(2010) </w:t>
      </w:r>
      <w:r w:rsidRPr="0089759C">
        <w:t>https://www.ars.usda.gov/ARSUserFiles/30640500/HistoricalPasturePubs/46%20Publ1046%20Liebig%20Kronberg%20Phillips%20Hanson%20JEQ%202010.pdf</w:t>
      </w:r>
      <w:r w:rsidR="000519E5">
        <w:t>.</w:t>
      </w:r>
    </w:p>
  </w:footnote>
  <w:footnote w:id="39">
    <w:p w14:paraId="23FC4065" w14:textId="417C3AEA" w:rsidR="0047512A" w:rsidRDefault="0047512A">
      <w:pPr>
        <w:pStyle w:val="FootnoteText"/>
      </w:pPr>
      <w:r>
        <w:rPr>
          <w:rStyle w:val="FootnoteReference"/>
        </w:rPr>
        <w:footnoteRef/>
      </w:r>
      <w:r>
        <w:t xml:space="preserve"> Reducing the amount of grazing on pastures appears to further reduce emissions. A January 2019 Scientific Reports study found that pastures with adequate ground cover (70% or greater) trapped nearly 2 times more nitrous oxide during the rainy season than low vegetative cover pastures. Rotating the fields on which livestock graze allows for ground cover time to regrow to the threshold of 70% cover.</w:t>
      </w:r>
    </w:p>
  </w:footnote>
  <w:footnote w:id="40">
    <w:p w14:paraId="198F09D0" w14:textId="1E26B2F5" w:rsidR="001A0DD7" w:rsidRDefault="001A0DD7">
      <w:pPr>
        <w:pStyle w:val="FootnoteText"/>
      </w:pPr>
      <w:r>
        <w:rPr>
          <w:rStyle w:val="FootnoteReference"/>
        </w:rPr>
        <w:footnoteRef/>
      </w:r>
      <w:r>
        <w:t xml:space="preserve"> </w:t>
      </w:r>
      <w:r>
        <w:rPr>
          <w:i/>
        </w:rPr>
        <w:t>E.g.</w:t>
      </w:r>
      <w:r>
        <w:t xml:space="preserve">, CARB, Compliance Offset Protocol U.S. Forest Projects (2014), </w:t>
      </w:r>
      <w:r w:rsidRPr="0054559A">
        <w:t>https://ww3.arb.ca.gov/regact/2014/capandtrade14/ctusforestprojectsprotocol.pdf</w:t>
      </w:r>
      <w:r>
        <w:t>.</w:t>
      </w:r>
    </w:p>
  </w:footnote>
  <w:footnote w:id="41">
    <w:p w14:paraId="7A8F0460" w14:textId="5D9AAE66" w:rsidR="0089759C" w:rsidRDefault="0089759C" w:rsidP="0089759C">
      <w:pPr>
        <w:pStyle w:val="FootnoteText"/>
      </w:pPr>
      <w:r>
        <w:rPr>
          <w:rStyle w:val="FootnoteReference"/>
        </w:rPr>
        <w:footnoteRef/>
      </w:r>
      <w:r>
        <w:t xml:space="preserve"> </w:t>
      </w:r>
      <w:r w:rsidR="001A0DD7">
        <w:rPr>
          <w:i/>
        </w:rPr>
        <w:t>Id</w:t>
      </w:r>
      <w:r>
        <w:t>.</w:t>
      </w:r>
    </w:p>
  </w:footnote>
  <w:footnote w:id="42">
    <w:p w14:paraId="6437E86F" w14:textId="77777777" w:rsidR="00D15310" w:rsidRPr="00D15310" w:rsidRDefault="00D15310" w:rsidP="00D15310">
      <w:pPr>
        <w:pStyle w:val="FootnoteText"/>
      </w:pPr>
      <w:r>
        <w:rPr>
          <w:rStyle w:val="FootnoteReference"/>
        </w:rPr>
        <w:footnoteRef/>
      </w:r>
      <w:r>
        <w:t xml:space="preserve"> </w:t>
      </w:r>
      <w:r>
        <w:rPr>
          <w:i/>
        </w:rPr>
        <w:t xml:space="preserve">See </w:t>
      </w:r>
      <w:r>
        <w:t>CARB, California Air Resources Board’s Process for the Review and Approval of Compliance Offset Protocols in Support of the Cap-and-Trade Regulation (</w:t>
      </w:r>
      <w:r w:rsidR="003A46F0">
        <w:t xml:space="preserve">May 2013), </w:t>
      </w:r>
      <w:r w:rsidR="003A46F0" w:rsidRPr="003A46F0">
        <w:t>https://ww3.arb.ca.gov/cc/capandtrade/compliance-offset-protocol-process.pdf</w:t>
      </w:r>
      <w:r w:rsidR="003A46F0">
        <w:t xml:space="preserve">. </w:t>
      </w:r>
    </w:p>
  </w:footnote>
  <w:footnote w:id="43">
    <w:p w14:paraId="4FDCE56E" w14:textId="77777777" w:rsidR="00D35FFA" w:rsidRPr="00D35FFA" w:rsidRDefault="00D35FFA">
      <w:pPr>
        <w:pStyle w:val="FootnoteText"/>
      </w:pPr>
      <w:r>
        <w:rPr>
          <w:rStyle w:val="FootnoteReference"/>
        </w:rPr>
        <w:footnoteRef/>
      </w:r>
      <w:r>
        <w:t xml:space="preserve"> </w:t>
      </w:r>
      <w:r>
        <w:rPr>
          <w:i/>
        </w:rPr>
        <w:t>Id.</w:t>
      </w:r>
    </w:p>
  </w:footnote>
  <w:footnote w:id="44">
    <w:p w14:paraId="685A9782" w14:textId="77777777" w:rsidR="00626A2C" w:rsidRPr="00626A2C" w:rsidRDefault="00626A2C" w:rsidP="00626A2C">
      <w:pPr>
        <w:pStyle w:val="FootnoteText"/>
      </w:pPr>
      <w:r>
        <w:rPr>
          <w:rStyle w:val="FootnoteReference"/>
        </w:rPr>
        <w:footnoteRef/>
      </w:r>
      <w:r>
        <w:t xml:space="preserve"> </w:t>
      </w:r>
      <w:r>
        <w:rPr>
          <w:i/>
        </w:rPr>
        <w:t xml:space="preserve">See </w:t>
      </w:r>
      <w:r>
        <w:t xml:space="preserve">Climate Action Reserve, Comparisons between Reserve and ARB Protocols (Forest Projects, Livestock Projects, Coal Mine Methane/Mine Methane Capture Projects, Ozone Depleting Substances Projects, and Urban Forest Projects), </w:t>
      </w:r>
      <w:r w:rsidRPr="00626A2C">
        <w:t>https://www.climateactionreserve.org/how/california-compliance-projects/compliance-offset-program-documents/</w:t>
      </w:r>
      <w:r>
        <w:t>.</w:t>
      </w:r>
    </w:p>
  </w:footnote>
  <w:footnote w:id="45">
    <w:p w14:paraId="76733B4D" w14:textId="77777777" w:rsidR="003E7C88" w:rsidRPr="00642FDF" w:rsidRDefault="003E7C88">
      <w:pPr>
        <w:pStyle w:val="FootnoteText"/>
        <w:rPr>
          <w:i/>
        </w:rPr>
      </w:pPr>
      <w:r>
        <w:rPr>
          <w:rStyle w:val="FootnoteReference"/>
        </w:rPr>
        <w:footnoteRef/>
      </w:r>
      <w:r>
        <w:t xml:space="preserve"> </w:t>
      </w:r>
      <w:r w:rsidR="00642FDF">
        <w:rPr>
          <w:i/>
        </w:rPr>
        <w:t>See</w:t>
      </w:r>
      <w:r w:rsidR="00642FDF">
        <w:t xml:space="preserve"> CARB, Early Action Offset Credits, </w:t>
      </w:r>
      <w:r w:rsidR="00642FDF" w:rsidRPr="00642FDF">
        <w:t>https://ww3.arb.ca.gov/cc/capandtrade/offsets/earlyaction/credits.htm</w:t>
      </w:r>
      <w:r w:rsidR="00642FDF">
        <w:t xml:space="preserve"> (listing series of approved CAR protocols).</w:t>
      </w:r>
    </w:p>
  </w:footnote>
  <w:footnote w:id="46">
    <w:p w14:paraId="3EF98318" w14:textId="730AADC7" w:rsidR="00EC7C1C" w:rsidRPr="00675FDF" w:rsidRDefault="00EC7C1C">
      <w:pPr>
        <w:pStyle w:val="FootnoteText"/>
      </w:pPr>
      <w:r>
        <w:rPr>
          <w:rStyle w:val="FootnoteReference"/>
        </w:rPr>
        <w:footnoteRef/>
      </w:r>
      <w:r>
        <w:t xml:space="preserve"> </w:t>
      </w:r>
      <w:r w:rsidR="00675FDF">
        <w:rPr>
          <w:i/>
        </w:rPr>
        <w:t>See, e.g.</w:t>
      </w:r>
      <w:r w:rsidR="00675FDF">
        <w:t>, Climate Justice Alliance, “Say No To Forest Offsets</w:t>
      </w:r>
      <w:r w:rsidR="001146C8">
        <w:t xml:space="preserve">” (last visited Jan. 2020), </w:t>
      </w:r>
      <w:r w:rsidR="001146C8" w:rsidRPr="001146C8">
        <w:t>https://climatejusticealliance.org/notfs/</w:t>
      </w:r>
      <w:r w:rsidR="001146C8">
        <w:t xml:space="preserve"> (describing offset credits as “a false solution to climate change”); East Bay Express, “Beyond Cap-and-Trade: Many Environmentalists Say California Will Improve Climate Policy If It Reduces Emissions at Source (July 19, 2016), </w:t>
      </w:r>
      <w:r w:rsidR="001146C8" w:rsidRPr="001146C8">
        <w:t>https://www.eastbayexpress.com/oakland/beyond-cap-and-tradeenvironmentalists-say-california-will-have-fewer-emissions-and-better-policy-if-it-ditches-cap-and-trade/Content?oid=4912218</w:t>
      </w:r>
      <w:r w:rsidR="001146C8">
        <w:t xml:space="preserve"> (Quoting director of Asian Pacific Environmental Network, stat</w:t>
      </w:r>
      <w:r w:rsidR="008B0EE4">
        <w:t>ing</w:t>
      </w:r>
      <w:r w:rsidR="001146C8">
        <w:t xml:space="preserve"> that “‘[e]</w:t>
      </w:r>
      <w:proofErr w:type="spellStart"/>
      <w:r w:rsidR="001146C8" w:rsidRPr="001146C8">
        <w:t>nvironmental</w:t>
      </w:r>
      <w:proofErr w:type="spellEnd"/>
      <w:r w:rsidR="001146C8" w:rsidRPr="001146C8">
        <w:t>-justice commun</w:t>
      </w:r>
      <w:r w:rsidR="001146C8">
        <w:t>ities do not consent to offsets</w:t>
      </w:r>
      <w:r w:rsidR="001146C8" w:rsidRPr="001146C8">
        <w:t>.</w:t>
      </w:r>
      <w:r w:rsidR="001146C8">
        <w:t>”).</w:t>
      </w:r>
    </w:p>
  </w:footnote>
  <w:footnote w:id="47">
    <w:p w14:paraId="1853C34C" w14:textId="0696DF43" w:rsidR="00736CAF" w:rsidRDefault="00736CAF">
      <w:pPr>
        <w:pStyle w:val="FootnoteText"/>
      </w:pPr>
      <w:r>
        <w:rPr>
          <w:rStyle w:val="FootnoteReference"/>
        </w:rPr>
        <w:footnoteRef/>
      </w:r>
      <w:r>
        <w:t xml:space="preserve"> One potential pathway for addressing these concerns, raised in </w:t>
      </w:r>
      <w:r>
        <w:rPr>
          <w:i/>
        </w:rPr>
        <w:t>Legal Pathways to Deep Decarbonization in the United States</w:t>
      </w:r>
      <w:r>
        <w:t>,</w:t>
      </w:r>
      <w:r>
        <w:rPr>
          <w:i/>
        </w:rPr>
        <w:t xml:space="preserve"> </w:t>
      </w:r>
      <w:r>
        <w:t>Chapter 35 (2018), would be for policy makers to reduce the economy-wide cap (and thus number of allowances for distribution) by an amount  commensurate to the number of offsets issued. While this would respond to the opposition, it also result</w:t>
      </w:r>
      <w:r w:rsidR="008B0EE4">
        <w:t>s</w:t>
      </w:r>
      <w:r>
        <w:t xml:space="preserve"> in the double counting of emission reductions, and would diminish the cost-containment value provided by recognizing offset credits generated outside the capped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A56E" w14:textId="0115B703" w:rsidR="00B95975" w:rsidRPr="002F0026" w:rsidRDefault="00B95975" w:rsidP="00DE54AB">
    <w:pPr>
      <w:pStyle w:val="Header"/>
      <w:rPr>
        <w:b/>
        <w:sz w:val="20"/>
        <w:szCs w:val="20"/>
      </w:rPr>
    </w:pPr>
    <w:bookmarkStart w:id="0" w:name="Date"/>
    <w:bookmarkEnd w:id="0"/>
  </w:p>
  <w:p w14:paraId="501D6392" w14:textId="345E8C4C" w:rsidR="00B95975" w:rsidRPr="00C72D2C" w:rsidRDefault="00B95975" w:rsidP="00DE54AB">
    <w:pPr>
      <w:pStyle w:val="Header"/>
      <w:spacing w:after="4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1CFB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C07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D2B6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7A5D1A"/>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9558B8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8B9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16FC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CA7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CC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EEE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31DB7"/>
    <w:multiLevelType w:val="multilevel"/>
    <w:tmpl w:val="8CECD4EC"/>
    <w:lvl w:ilvl="0">
      <w:start w:val="1"/>
      <w:numFmt w:val="upperRoman"/>
      <w:pStyle w:val="Heading1"/>
      <w:lvlText w:val="%1."/>
      <w:lvlJc w:val="left"/>
      <w:pPr>
        <w:tabs>
          <w:tab w:val="num" w:pos="720"/>
        </w:tabs>
        <w:ind w:left="720" w:hanging="720"/>
      </w:pPr>
      <w:rPr>
        <w:b/>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1" w15:restartNumberingAfterBreak="0">
    <w:nsid w:val="05ED78A4"/>
    <w:multiLevelType w:val="hybridMultilevel"/>
    <w:tmpl w:val="35848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4B5E"/>
    <w:multiLevelType w:val="singleLevel"/>
    <w:tmpl w:val="3930693C"/>
    <w:lvl w:ilvl="0">
      <w:start w:val="1"/>
      <w:numFmt w:val="decimal"/>
      <w:pStyle w:val="NumberedParaSingle"/>
      <w:lvlText w:val="%1."/>
      <w:lvlJc w:val="left"/>
      <w:pPr>
        <w:tabs>
          <w:tab w:val="num" w:pos="1800"/>
        </w:tabs>
        <w:ind w:left="0" w:firstLine="1440"/>
      </w:pPr>
    </w:lvl>
  </w:abstractNum>
  <w:abstractNum w:abstractNumId="13" w15:restartNumberingAfterBreak="0">
    <w:nsid w:val="3AAD2F51"/>
    <w:multiLevelType w:val="singleLevel"/>
    <w:tmpl w:val="46E88270"/>
    <w:lvl w:ilvl="0">
      <w:start w:val="1"/>
      <w:numFmt w:val="upperLetter"/>
      <w:pStyle w:val="LetteredParagraphSingle"/>
      <w:lvlText w:val="%1."/>
      <w:lvlJc w:val="left"/>
      <w:pPr>
        <w:tabs>
          <w:tab w:val="num" w:pos="1800"/>
        </w:tabs>
        <w:ind w:left="0" w:firstLine="1440"/>
      </w:pPr>
      <w:rPr>
        <w:u w:val="none"/>
      </w:rPr>
    </w:lvl>
  </w:abstractNum>
  <w:abstractNum w:abstractNumId="14" w15:restartNumberingAfterBreak="0">
    <w:nsid w:val="4873341D"/>
    <w:multiLevelType w:val="singleLevel"/>
    <w:tmpl w:val="70C21E7E"/>
    <w:lvl w:ilvl="0">
      <w:start w:val="1"/>
      <w:numFmt w:val="upperLetter"/>
      <w:pStyle w:val="LetteredParagraphDouble"/>
      <w:lvlText w:val="%1."/>
      <w:lvlJc w:val="left"/>
      <w:pPr>
        <w:tabs>
          <w:tab w:val="num" w:pos="1800"/>
        </w:tabs>
        <w:ind w:left="0" w:firstLine="1440"/>
      </w:pPr>
      <w:rPr>
        <w:u w:val="none"/>
      </w:rPr>
    </w:lvl>
  </w:abstractNum>
  <w:abstractNum w:abstractNumId="15" w15:restartNumberingAfterBreak="0">
    <w:nsid w:val="596963FB"/>
    <w:multiLevelType w:val="singleLevel"/>
    <w:tmpl w:val="D3BEA87E"/>
    <w:lvl w:ilvl="0">
      <w:start w:val="1"/>
      <w:numFmt w:val="decimal"/>
      <w:pStyle w:val="ListNumber2"/>
      <w:lvlText w:val="%1."/>
      <w:lvlJc w:val="left"/>
      <w:pPr>
        <w:tabs>
          <w:tab w:val="num" w:pos="720"/>
        </w:tabs>
        <w:ind w:left="72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4"/>
  </w:num>
  <w:num w:numId="11">
    <w:abstractNumId w:val="13"/>
  </w:num>
  <w:num w:numId="12">
    <w:abstractNumId w:val="7"/>
  </w:num>
  <w:num w:numId="13">
    <w:abstractNumId w:val="6"/>
  </w:num>
  <w:num w:numId="14">
    <w:abstractNumId w:val="5"/>
  </w:num>
  <w:num w:numId="15">
    <w:abstractNumId w:val="4"/>
  </w:num>
  <w:num w:numId="16">
    <w:abstractNumId w:val="9"/>
  </w:num>
  <w:num w:numId="17">
    <w:abstractNumId w:val="15"/>
  </w:num>
  <w:num w:numId="18">
    <w:abstractNumId w:val="2"/>
  </w:num>
  <w:num w:numId="19">
    <w:abstractNumId w:val="1"/>
  </w:num>
  <w:num w:numId="20">
    <w:abstractNumId w:val="0"/>
  </w:num>
  <w:num w:numId="21">
    <w:abstractNumId w:val="8"/>
  </w:num>
  <w:num w:numId="22">
    <w:abstractNumId w:val="3"/>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5C7945"/>
    <w:rsid w:val="0000741C"/>
    <w:rsid w:val="00022035"/>
    <w:rsid w:val="00023094"/>
    <w:rsid w:val="000252E8"/>
    <w:rsid w:val="000308C2"/>
    <w:rsid w:val="000519E5"/>
    <w:rsid w:val="000656BC"/>
    <w:rsid w:val="000848C6"/>
    <w:rsid w:val="000875DA"/>
    <w:rsid w:val="0009666C"/>
    <w:rsid w:val="000A092C"/>
    <w:rsid w:val="000A0B4F"/>
    <w:rsid w:val="000A2328"/>
    <w:rsid w:val="000A4322"/>
    <w:rsid w:val="000A59A8"/>
    <w:rsid w:val="000C2E04"/>
    <w:rsid w:val="000D2805"/>
    <w:rsid w:val="000E5B92"/>
    <w:rsid w:val="000F4B71"/>
    <w:rsid w:val="00113147"/>
    <w:rsid w:val="001146C8"/>
    <w:rsid w:val="001206DC"/>
    <w:rsid w:val="001369BC"/>
    <w:rsid w:val="0014239F"/>
    <w:rsid w:val="00143D9B"/>
    <w:rsid w:val="00162CEB"/>
    <w:rsid w:val="001639D8"/>
    <w:rsid w:val="00167F74"/>
    <w:rsid w:val="00185FF7"/>
    <w:rsid w:val="001A0CEB"/>
    <w:rsid w:val="001A0DD7"/>
    <w:rsid w:val="001A597D"/>
    <w:rsid w:val="001B1827"/>
    <w:rsid w:val="001C2915"/>
    <w:rsid w:val="001D56F9"/>
    <w:rsid w:val="0021784F"/>
    <w:rsid w:val="0023736E"/>
    <w:rsid w:val="00245461"/>
    <w:rsid w:val="00247B25"/>
    <w:rsid w:val="002530EA"/>
    <w:rsid w:val="002538A2"/>
    <w:rsid w:val="002664EB"/>
    <w:rsid w:val="00270FB6"/>
    <w:rsid w:val="00273B2D"/>
    <w:rsid w:val="002766C5"/>
    <w:rsid w:val="002825DF"/>
    <w:rsid w:val="002862FC"/>
    <w:rsid w:val="002928C8"/>
    <w:rsid w:val="00293847"/>
    <w:rsid w:val="002A1326"/>
    <w:rsid w:val="002A24E7"/>
    <w:rsid w:val="002C69FD"/>
    <w:rsid w:val="002C6C9C"/>
    <w:rsid w:val="002D28CA"/>
    <w:rsid w:val="002F0026"/>
    <w:rsid w:val="002F112D"/>
    <w:rsid w:val="002F1879"/>
    <w:rsid w:val="00310957"/>
    <w:rsid w:val="00315305"/>
    <w:rsid w:val="00332122"/>
    <w:rsid w:val="0034179F"/>
    <w:rsid w:val="00344060"/>
    <w:rsid w:val="0034583F"/>
    <w:rsid w:val="00347226"/>
    <w:rsid w:val="00350B42"/>
    <w:rsid w:val="00354D5C"/>
    <w:rsid w:val="00355DB0"/>
    <w:rsid w:val="003614F3"/>
    <w:rsid w:val="0038422B"/>
    <w:rsid w:val="00393D15"/>
    <w:rsid w:val="003940E3"/>
    <w:rsid w:val="003947AC"/>
    <w:rsid w:val="00395CDA"/>
    <w:rsid w:val="003A2BE2"/>
    <w:rsid w:val="003A2C97"/>
    <w:rsid w:val="003A3C70"/>
    <w:rsid w:val="003A46F0"/>
    <w:rsid w:val="003A4B39"/>
    <w:rsid w:val="003B33B4"/>
    <w:rsid w:val="003B39F0"/>
    <w:rsid w:val="003D1E98"/>
    <w:rsid w:val="003E445E"/>
    <w:rsid w:val="003E7C88"/>
    <w:rsid w:val="003F013D"/>
    <w:rsid w:val="003F284F"/>
    <w:rsid w:val="003F3000"/>
    <w:rsid w:val="004038FC"/>
    <w:rsid w:val="00412B28"/>
    <w:rsid w:val="00414A56"/>
    <w:rsid w:val="00415B91"/>
    <w:rsid w:val="0042298E"/>
    <w:rsid w:val="0045005F"/>
    <w:rsid w:val="00450E8E"/>
    <w:rsid w:val="00462D8D"/>
    <w:rsid w:val="00473B02"/>
    <w:rsid w:val="0047512A"/>
    <w:rsid w:val="00477F56"/>
    <w:rsid w:val="00481300"/>
    <w:rsid w:val="00493EA8"/>
    <w:rsid w:val="004A0AA0"/>
    <w:rsid w:val="004A7872"/>
    <w:rsid w:val="004B3A07"/>
    <w:rsid w:val="004C5A6C"/>
    <w:rsid w:val="004D68B5"/>
    <w:rsid w:val="004E40CE"/>
    <w:rsid w:val="004E47A1"/>
    <w:rsid w:val="004F2D56"/>
    <w:rsid w:val="005057E1"/>
    <w:rsid w:val="005074A1"/>
    <w:rsid w:val="0051684E"/>
    <w:rsid w:val="0052010B"/>
    <w:rsid w:val="00531B64"/>
    <w:rsid w:val="00533850"/>
    <w:rsid w:val="00543494"/>
    <w:rsid w:val="00545C5D"/>
    <w:rsid w:val="00546A99"/>
    <w:rsid w:val="00555434"/>
    <w:rsid w:val="00562169"/>
    <w:rsid w:val="00567BB4"/>
    <w:rsid w:val="00591971"/>
    <w:rsid w:val="00596A82"/>
    <w:rsid w:val="00596DA6"/>
    <w:rsid w:val="005A2735"/>
    <w:rsid w:val="005A5865"/>
    <w:rsid w:val="005A78A5"/>
    <w:rsid w:val="005A7E49"/>
    <w:rsid w:val="005B0D33"/>
    <w:rsid w:val="005B6393"/>
    <w:rsid w:val="005C061F"/>
    <w:rsid w:val="005C5A86"/>
    <w:rsid w:val="005C7945"/>
    <w:rsid w:val="005D1400"/>
    <w:rsid w:val="005D2794"/>
    <w:rsid w:val="005D5F57"/>
    <w:rsid w:val="005D6C88"/>
    <w:rsid w:val="005F18D4"/>
    <w:rsid w:val="005F601D"/>
    <w:rsid w:val="00600B98"/>
    <w:rsid w:val="00606228"/>
    <w:rsid w:val="00612BF5"/>
    <w:rsid w:val="006210AD"/>
    <w:rsid w:val="006211D5"/>
    <w:rsid w:val="0062594A"/>
    <w:rsid w:val="00625D37"/>
    <w:rsid w:val="00626A2C"/>
    <w:rsid w:val="00627A8D"/>
    <w:rsid w:val="006333B8"/>
    <w:rsid w:val="00642FDF"/>
    <w:rsid w:val="0064377E"/>
    <w:rsid w:val="006437D7"/>
    <w:rsid w:val="006447C7"/>
    <w:rsid w:val="006453B9"/>
    <w:rsid w:val="006565D9"/>
    <w:rsid w:val="006669E8"/>
    <w:rsid w:val="00675FDF"/>
    <w:rsid w:val="00677AEF"/>
    <w:rsid w:val="0069112D"/>
    <w:rsid w:val="00697202"/>
    <w:rsid w:val="006A5B10"/>
    <w:rsid w:val="006A7499"/>
    <w:rsid w:val="006C023A"/>
    <w:rsid w:val="006D536F"/>
    <w:rsid w:val="006D5DEA"/>
    <w:rsid w:val="006D6A9C"/>
    <w:rsid w:val="006E1F10"/>
    <w:rsid w:val="006E450E"/>
    <w:rsid w:val="006E6CEA"/>
    <w:rsid w:val="006F662F"/>
    <w:rsid w:val="00715A20"/>
    <w:rsid w:val="00721C7E"/>
    <w:rsid w:val="00736CAF"/>
    <w:rsid w:val="00743CFB"/>
    <w:rsid w:val="0076117A"/>
    <w:rsid w:val="00767445"/>
    <w:rsid w:val="0077221A"/>
    <w:rsid w:val="0077483E"/>
    <w:rsid w:val="00777FFA"/>
    <w:rsid w:val="00781CC5"/>
    <w:rsid w:val="00781F04"/>
    <w:rsid w:val="0079625B"/>
    <w:rsid w:val="007979B3"/>
    <w:rsid w:val="007A1106"/>
    <w:rsid w:val="007A23DB"/>
    <w:rsid w:val="007A5116"/>
    <w:rsid w:val="007B2997"/>
    <w:rsid w:val="007B4550"/>
    <w:rsid w:val="007D396A"/>
    <w:rsid w:val="007D738C"/>
    <w:rsid w:val="007E0977"/>
    <w:rsid w:val="007E299E"/>
    <w:rsid w:val="007F6D89"/>
    <w:rsid w:val="0080069F"/>
    <w:rsid w:val="00816FFA"/>
    <w:rsid w:val="00851877"/>
    <w:rsid w:val="00854A75"/>
    <w:rsid w:val="0086072A"/>
    <w:rsid w:val="00860E8C"/>
    <w:rsid w:val="008635DC"/>
    <w:rsid w:val="00866097"/>
    <w:rsid w:val="00873461"/>
    <w:rsid w:val="0088170B"/>
    <w:rsid w:val="00887A85"/>
    <w:rsid w:val="0089759C"/>
    <w:rsid w:val="008A5CB4"/>
    <w:rsid w:val="008A78DB"/>
    <w:rsid w:val="008B0EE4"/>
    <w:rsid w:val="008B1A0D"/>
    <w:rsid w:val="008B28B7"/>
    <w:rsid w:val="008B574A"/>
    <w:rsid w:val="008C64DF"/>
    <w:rsid w:val="008D1E8E"/>
    <w:rsid w:val="008E0596"/>
    <w:rsid w:val="009026A8"/>
    <w:rsid w:val="00904939"/>
    <w:rsid w:val="00915593"/>
    <w:rsid w:val="0091676C"/>
    <w:rsid w:val="009238C6"/>
    <w:rsid w:val="0092799E"/>
    <w:rsid w:val="00933E4A"/>
    <w:rsid w:val="00935B90"/>
    <w:rsid w:val="00937DA0"/>
    <w:rsid w:val="00942D5E"/>
    <w:rsid w:val="009671F2"/>
    <w:rsid w:val="00970386"/>
    <w:rsid w:val="00972530"/>
    <w:rsid w:val="0098101C"/>
    <w:rsid w:val="0098772A"/>
    <w:rsid w:val="00991C9C"/>
    <w:rsid w:val="009974E8"/>
    <w:rsid w:val="009A792C"/>
    <w:rsid w:val="009C3D38"/>
    <w:rsid w:val="009D5417"/>
    <w:rsid w:val="009E303F"/>
    <w:rsid w:val="009E4604"/>
    <w:rsid w:val="009F78A7"/>
    <w:rsid w:val="00A03954"/>
    <w:rsid w:val="00A045C2"/>
    <w:rsid w:val="00A05615"/>
    <w:rsid w:val="00A06837"/>
    <w:rsid w:val="00A07CEB"/>
    <w:rsid w:val="00A26810"/>
    <w:rsid w:val="00A271E9"/>
    <w:rsid w:val="00A33C3E"/>
    <w:rsid w:val="00A34FA7"/>
    <w:rsid w:val="00A35F06"/>
    <w:rsid w:val="00A3728F"/>
    <w:rsid w:val="00A528BC"/>
    <w:rsid w:val="00A52EE5"/>
    <w:rsid w:val="00A71964"/>
    <w:rsid w:val="00A74C58"/>
    <w:rsid w:val="00A94C9C"/>
    <w:rsid w:val="00AA5042"/>
    <w:rsid w:val="00AC1566"/>
    <w:rsid w:val="00AD3AA7"/>
    <w:rsid w:val="00AE4DB3"/>
    <w:rsid w:val="00AF0ED8"/>
    <w:rsid w:val="00AF1796"/>
    <w:rsid w:val="00B03F4C"/>
    <w:rsid w:val="00B0518B"/>
    <w:rsid w:val="00B1574B"/>
    <w:rsid w:val="00B208B6"/>
    <w:rsid w:val="00B231F0"/>
    <w:rsid w:val="00B25F48"/>
    <w:rsid w:val="00B37E6E"/>
    <w:rsid w:val="00B42626"/>
    <w:rsid w:val="00B43BEC"/>
    <w:rsid w:val="00B50F2A"/>
    <w:rsid w:val="00B532FB"/>
    <w:rsid w:val="00B533D2"/>
    <w:rsid w:val="00B53E99"/>
    <w:rsid w:val="00B56B5F"/>
    <w:rsid w:val="00B570E7"/>
    <w:rsid w:val="00B619E4"/>
    <w:rsid w:val="00B61F01"/>
    <w:rsid w:val="00B63BA7"/>
    <w:rsid w:val="00B66D7E"/>
    <w:rsid w:val="00B73CF4"/>
    <w:rsid w:val="00B812E0"/>
    <w:rsid w:val="00B95975"/>
    <w:rsid w:val="00BB24B1"/>
    <w:rsid w:val="00BD3A40"/>
    <w:rsid w:val="00BE012B"/>
    <w:rsid w:val="00BF0AEC"/>
    <w:rsid w:val="00C00048"/>
    <w:rsid w:val="00C010DC"/>
    <w:rsid w:val="00C025C3"/>
    <w:rsid w:val="00C02902"/>
    <w:rsid w:val="00C1556D"/>
    <w:rsid w:val="00C27BDD"/>
    <w:rsid w:val="00C568F5"/>
    <w:rsid w:val="00C56BE1"/>
    <w:rsid w:val="00C601A6"/>
    <w:rsid w:val="00C72D2C"/>
    <w:rsid w:val="00C80C6C"/>
    <w:rsid w:val="00C80F2A"/>
    <w:rsid w:val="00C819E1"/>
    <w:rsid w:val="00C90A74"/>
    <w:rsid w:val="00CA7045"/>
    <w:rsid w:val="00CA7B67"/>
    <w:rsid w:val="00CB136D"/>
    <w:rsid w:val="00CB187C"/>
    <w:rsid w:val="00CC32A1"/>
    <w:rsid w:val="00CC5B3C"/>
    <w:rsid w:val="00CC6E37"/>
    <w:rsid w:val="00CD4979"/>
    <w:rsid w:val="00CD6016"/>
    <w:rsid w:val="00CD7737"/>
    <w:rsid w:val="00CF2EED"/>
    <w:rsid w:val="00CF54DF"/>
    <w:rsid w:val="00D15310"/>
    <w:rsid w:val="00D160FB"/>
    <w:rsid w:val="00D21D93"/>
    <w:rsid w:val="00D2210F"/>
    <w:rsid w:val="00D27A84"/>
    <w:rsid w:val="00D337C3"/>
    <w:rsid w:val="00D33E97"/>
    <w:rsid w:val="00D35FFA"/>
    <w:rsid w:val="00D36000"/>
    <w:rsid w:val="00D37696"/>
    <w:rsid w:val="00D43748"/>
    <w:rsid w:val="00D439C7"/>
    <w:rsid w:val="00D46BA5"/>
    <w:rsid w:val="00D50D50"/>
    <w:rsid w:val="00D63D48"/>
    <w:rsid w:val="00D64859"/>
    <w:rsid w:val="00DA1664"/>
    <w:rsid w:val="00DA176F"/>
    <w:rsid w:val="00DB2841"/>
    <w:rsid w:val="00DC0088"/>
    <w:rsid w:val="00DC6544"/>
    <w:rsid w:val="00DD2D4A"/>
    <w:rsid w:val="00DD4238"/>
    <w:rsid w:val="00DE54AB"/>
    <w:rsid w:val="00DF4C70"/>
    <w:rsid w:val="00E15E4B"/>
    <w:rsid w:val="00E247D8"/>
    <w:rsid w:val="00E26D06"/>
    <w:rsid w:val="00E32179"/>
    <w:rsid w:val="00E3579C"/>
    <w:rsid w:val="00E46815"/>
    <w:rsid w:val="00E504C4"/>
    <w:rsid w:val="00E506E3"/>
    <w:rsid w:val="00E52C23"/>
    <w:rsid w:val="00E574D9"/>
    <w:rsid w:val="00E748DA"/>
    <w:rsid w:val="00E75D94"/>
    <w:rsid w:val="00E87065"/>
    <w:rsid w:val="00E87E63"/>
    <w:rsid w:val="00EB4DBD"/>
    <w:rsid w:val="00EC32FB"/>
    <w:rsid w:val="00EC7C1C"/>
    <w:rsid w:val="00EE35AC"/>
    <w:rsid w:val="00EE4FE7"/>
    <w:rsid w:val="00EF0AE6"/>
    <w:rsid w:val="00EF6D1B"/>
    <w:rsid w:val="00F10A1F"/>
    <w:rsid w:val="00F1614F"/>
    <w:rsid w:val="00F23AA4"/>
    <w:rsid w:val="00F33B8A"/>
    <w:rsid w:val="00F375E0"/>
    <w:rsid w:val="00F417F9"/>
    <w:rsid w:val="00F55C75"/>
    <w:rsid w:val="00F64B39"/>
    <w:rsid w:val="00F71AC7"/>
    <w:rsid w:val="00F75217"/>
    <w:rsid w:val="00F86B99"/>
    <w:rsid w:val="00F9314A"/>
    <w:rsid w:val="00F97C68"/>
    <w:rsid w:val="00FA3464"/>
    <w:rsid w:val="00FA3BEF"/>
    <w:rsid w:val="00FA45FF"/>
    <w:rsid w:val="00FE5B27"/>
    <w:rsid w:val="00FE6D4B"/>
    <w:rsid w:val="00FF0797"/>
    <w:rsid w:val="00FF15A4"/>
    <w:rsid w:val="00FF22A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47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Arial Unicode MS"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CDA"/>
  </w:style>
  <w:style w:type="paragraph" w:styleId="Heading1">
    <w:name w:val="heading 1"/>
    <w:basedOn w:val="Normal"/>
    <w:next w:val="BodyText"/>
    <w:qFormat/>
    <w:pPr>
      <w:keepNext/>
      <w:numPr>
        <w:numId w:val="1"/>
      </w:numPr>
      <w:spacing w:after="240"/>
      <w:outlineLvl w:val="0"/>
    </w:pPr>
  </w:style>
  <w:style w:type="paragraph" w:styleId="Heading2">
    <w:name w:val="heading 2"/>
    <w:basedOn w:val="Normal"/>
    <w:next w:val="BodyText"/>
    <w:qFormat/>
    <w:pPr>
      <w:keepNext/>
      <w:numPr>
        <w:ilvl w:val="1"/>
        <w:numId w:val="2"/>
      </w:numPr>
      <w:spacing w:after="240"/>
      <w:outlineLvl w:val="1"/>
    </w:pPr>
  </w:style>
  <w:style w:type="paragraph" w:styleId="Heading3">
    <w:name w:val="heading 3"/>
    <w:basedOn w:val="Normal"/>
    <w:next w:val="BodyText"/>
    <w:qFormat/>
    <w:pPr>
      <w:numPr>
        <w:ilvl w:val="2"/>
        <w:numId w:val="3"/>
      </w:numPr>
      <w:spacing w:after="240"/>
      <w:outlineLvl w:val="2"/>
    </w:pPr>
  </w:style>
  <w:style w:type="paragraph" w:styleId="Heading4">
    <w:name w:val="heading 4"/>
    <w:basedOn w:val="Normal"/>
    <w:next w:val="BodyText"/>
    <w:qFormat/>
    <w:pPr>
      <w:numPr>
        <w:ilvl w:val="3"/>
        <w:numId w:val="4"/>
      </w:numPr>
      <w:spacing w:after="240"/>
      <w:outlineLvl w:val="3"/>
    </w:pPr>
  </w:style>
  <w:style w:type="paragraph" w:styleId="Heading5">
    <w:name w:val="heading 5"/>
    <w:basedOn w:val="Normal"/>
    <w:next w:val="BodyText"/>
    <w:qFormat/>
    <w:pPr>
      <w:numPr>
        <w:ilvl w:val="4"/>
        <w:numId w:val="5"/>
      </w:numPr>
      <w:spacing w:after="240"/>
      <w:outlineLvl w:val="4"/>
    </w:pPr>
  </w:style>
  <w:style w:type="paragraph" w:styleId="Heading6">
    <w:name w:val="heading 6"/>
    <w:basedOn w:val="Normal"/>
    <w:next w:val="BodyText"/>
    <w:qFormat/>
    <w:pPr>
      <w:numPr>
        <w:ilvl w:val="5"/>
        <w:numId w:val="6"/>
      </w:numPr>
      <w:spacing w:after="240"/>
      <w:outlineLvl w:val="5"/>
    </w:pPr>
  </w:style>
  <w:style w:type="paragraph" w:styleId="Heading7">
    <w:name w:val="heading 7"/>
    <w:basedOn w:val="Normal"/>
    <w:next w:val="BodyText"/>
    <w:qFormat/>
    <w:pPr>
      <w:numPr>
        <w:ilvl w:val="6"/>
        <w:numId w:val="7"/>
      </w:numPr>
      <w:spacing w:after="240"/>
      <w:outlineLvl w:val="6"/>
    </w:pPr>
  </w:style>
  <w:style w:type="paragraph" w:styleId="Heading8">
    <w:name w:val="heading 8"/>
    <w:basedOn w:val="Normal"/>
    <w:next w:val="BodyText"/>
    <w:qFormat/>
    <w:pPr>
      <w:numPr>
        <w:ilvl w:val="7"/>
        <w:numId w:val="8"/>
      </w:numPr>
      <w:spacing w:after="240"/>
      <w:outlineLvl w:val="7"/>
    </w:pPr>
  </w:style>
  <w:style w:type="paragraph" w:styleId="Heading9">
    <w:name w:val="heading 9"/>
    <w:basedOn w:val="Normal"/>
    <w:next w:val="BodyText"/>
    <w:qFormat/>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pPr>
      <w:spacing w:after="240"/>
      <w:ind w:left="1440" w:right="1440"/>
    </w:pPr>
  </w:style>
  <w:style w:type="paragraph" w:styleId="BodyText2">
    <w:name w:val="Body Text 2"/>
    <w:basedOn w:val="Normal"/>
    <w:pPr>
      <w:spacing w:line="480" w:lineRule="auto"/>
    </w:pPr>
  </w:style>
  <w:style w:type="paragraph" w:customStyle="1" w:styleId="To">
    <w:name w:val="To"/>
    <w:basedOn w:val="Normal"/>
    <w:rsid w:val="00721C7E"/>
    <w:pPr>
      <w:spacing w:after="240"/>
      <w:ind w:left="720" w:hanging="720"/>
    </w:pPr>
  </w:style>
  <w:style w:type="paragraph" w:styleId="BodyText">
    <w:name w:val="Body Text"/>
    <w:basedOn w:val="Normal"/>
    <w:qFormat/>
    <w:pPr>
      <w:spacing w:after="240"/>
    </w:pPr>
  </w:style>
  <w:style w:type="paragraph" w:styleId="BodyTextFirstIndent">
    <w:name w:val="Body Text First Indent"/>
    <w:basedOn w:val="BodyText"/>
    <w:pPr>
      <w:ind w:firstLine="1440"/>
    </w:pPr>
  </w:style>
  <w:style w:type="paragraph" w:styleId="BodyTextIndent">
    <w:name w:val="Body Text Indent"/>
    <w:basedOn w:val="Normal"/>
    <w:pPr>
      <w:spacing w:after="240"/>
      <w:ind w:left="720"/>
    </w:pPr>
  </w:style>
  <w:style w:type="paragraph" w:styleId="BodyTextFirstIndent2">
    <w:name w:val="Body Text First Indent 2"/>
    <w:basedOn w:val="BodyTextFirstIndent"/>
    <w:rsid w:val="00721C7E"/>
    <w:pPr>
      <w:spacing w:line="480" w:lineRule="auto"/>
    </w:pPr>
  </w:style>
  <w:style w:type="paragraph" w:styleId="BodyTextIndent2">
    <w:name w:val="Body Text Indent 2"/>
    <w:basedOn w:val="Normal"/>
    <w:pPr>
      <w:spacing w:line="480" w:lineRule="auto"/>
      <w:ind w:left="720"/>
    </w:pPr>
  </w:style>
  <w:style w:type="paragraph" w:customStyle="1" w:styleId="From">
    <w:name w:val="From"/>
    <w:basedOn w:val="To"/>
  </w:style>
  <w:style w:type="paragraph" w:styleId="List">
    <w:name w:val="List"/>
    <w:basedOn w:val="Normal"/>
    <w:pPr>
      <w:spacing w:after="240"/>
      <w:ind w:left="360" w:hanging="360"/>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
    <w:name w:val="List Bullet"/>
    <w:basedOn w:val="Normal"/>
    <w:autoRedefine/>
    <w:pPr>
      <w:numPr>
        <w:numId w:val="16"/>
      </w:numPr>
      <w:tabs>
        <w:tab w:val="clear" w:pos="360"/>
      </w:tabs>
      <w:spacing w:after="240"/>
    </w:pPr>
  </w:style>
  <w:style w:type="paragraph" w:styleId="ListBullet2">
    <w:name w:val="List Bullet 2"/>
    <w:basedOn w:val="Normal"/>
    <w:autoRedefine/>
    <w:pPr>
      <w:numPr>
        <w:numId w:val="12"/>
      </w:numPr>
      <w:tabs>
        <w:tab w:val="clear" w:pos="720"/>
      </w:tabs>
      <w:spacing w:after="240"/>
    </w:pPr>
  </w:style>
  <w:style w:type="paragraph" w:styleId="ListBullet3">
    <w:name w:val="List Bullet 3"/>
    <w:basedOn w:val="Normal"/>
    <w:autoRedefine/>
    <w:pPr>
      <w:numPr>
        <w:numId w:val="13"/>
      </w:numPr>
      <w:tabs>
        <w:tab w:val="clear" w:pos="1080"/>
      </w:tabs>
      <w:spacing w:after="240"/>
    </w:pPr>
  </w:style>
  <w:style w:type="paragraph" w:styleId="ListBullet4">
    <w:name w:val="List Bullet 4"/>
    <w:basedOn w:val="Normal"/>
    <w:autoRedefine/>
    <w:pPr>
      <w:numPr>
        <w:numId w:val="14"/>
      </w:numPr>
      <w:tabs>
        <w:tab w:val="clear" w:pos="1440"/>
      </w:tabs>
      <w:spacing w:after="240"/>
    </w:pPr>
  </w:style>
  <w:style w:type="paragraph" w:styleId="ListBullet5">
    <w:name w:val="List Bullet 5"/>
    <w:basedOn w:val="Normal"/>
    <w:autoRedefine/>
    <w:pPr>
      <w:numPr>
        <w:numId w:val="15"/>
      </w:numPr>
      <w:tabs>
        <w:tab w:val="clear" w:pos="1800"/>
      </w:tabs>
      <w:spacing w:after="240"/>
    </w:p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Number">
    <w:name w:val="List Number"/>
    <w:basedOn w:val="Normal"/>
    <w:pPr>
      <w:numPr>
        <w:numId w:val="21"/>
      </w:numPr>
      <w:tabs>
        <w:tab w:val="clear" w:pos="360"/>
      </w:tabs>
      <w:spacing w:after="240"/>
    </w:pPr>
  </w:style>
  <w:style w:type="paragraph" w:styleId="ListNumber2">
    <w:name w:val="List Number 2"/>
    <w:basedOn w:val="Normal"/>
    <w:pPr>
      <w:numPr>
        <w:numId w:val="17"/>
      </w:numPr>
      <w:tabs>
        <w:tab w:val="clear" w:pos="720"/>
      </w:tabs>
      <w:spacing w:after="240"/>
    </w:pPr>
  </w:style>
  <w:style w:type="paragraph" w:styleId="ListNumber3">
    <w:name w:val="List Number 3"/>
    <w:basedOn w:val="Normal"/>
    <w:pPr>
      <w:numPr>
        <w:numId w:val="18"/>
      </w:numPr>
      <w:tabs>
        <w:tab w:val="clear" w:pos="1080"/>
      </w:tabs>
      <w:spacing w:after="240"/>
    </w:pPr>
  </w:style>
  <w:style w:type="paragraph" w:styleId="ListNumber4">
    <w:name w:val="List Number 4"/>
    <w:basedOn w:val="Normal"/>
    <w:pPr>
      <w:numPr>
        <w:numId w:val="19"/>
      </w:numPr>
      <w:tabs>
        <w:tab w:val="clear" w:pos="1440"/>
      </w:tabs>
      <w:spacing w:after="240"/>
    </w:pPr>
  </w:style>
  <w:style w:type="paragraph" w:styleId="ListNumber5">
    <w:name w:val="List Number 5"/>
    <w:basedOn w:val="Normal"/>
    <w:pPr>
      <w:numPr>
        <w:numId w:val="20"/>
      </w:numPr>
      <w:tabs>
        <w:tab w:val="clear" w:pos="1800"/>
      </w:tabs>
      <w:spacing w:after="240"/>
    </w:pPr>
  </w:style>
  <w:style w:type="paragraph" w:styleId="Salutation">
    <w:name w:val="Salutation"/>
    <w:basedOn w:val="Normal"/>
    <w:next w:val="Normal"/>
  </w:style>
  <w:style w:type="paragraph" w:styleId="Signature">
    <w:name w:val="Signature"/>
    <w:basedOn w:val="Normal"/>
    <w:pPr>
      <w:ind w:left="4320"/>
    </w:pPr>
  </w:style>
  <w:style w:type="paragraph" w:customStyle="1" w:styleId="NumberedParaSingle">
    <w:name w:val="Numbered Para Single"/>
    <w:basedOn w:val="Normal"/>
    <w:pPr>
      <w:numPr>
        <w:numId w:val="23"/>
      </w:numPr>
      <w:tabs>
        <w:tab w:val="clear" w:pos="1800"/>
        <w:tab w:val="left" w:pos="2160"/>
      </w:tabs>
    </w:pPr>
  </w:style>
  <w:style w:type="paragraph" w:customStyle="1" w:styleId="NumberedParaDouble">
    <w:name w:val="Numbered Para Double"/>
    <w:basedOn w:val="Normal"/>
    <w:pPr>
      <w:numPr>
        <w:numId w:val="22"/>
      </w:numPr>
      <w:tabs>
        <w:tab w:val="clear" w:pos="1800"/>
        <w:tab w:val="left" w:pos="2160"/>
      </w:tabs>
      <w:spacing w:line="480" w:lineRule="auto"/>
    </w:pPr>
  </w:style>
  <w:style w:type="paragraph" w:styleId="FootnoteText">
    <w:name w:val="footnote text"/>
    <w:basedOn w:val="Normal"/>
    <w:link w:val="FootnoteTextChar"/>
    <w:semiHidden/>
    <w:pPr>
      <w:spacing w:after="120" w:line="260" w:lineRule="exact"/>
    </w:pPr>
  </w:style>
  <w:style w:type="paragraph" w:styleId="NormalIndent">
    <w:name w:val="Normal Indent"/>
    <w:basedOn w:val="Normal"/>
    <w:semiHidden/>
    <w:pPr>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Title">
    <w:name w:val="Title"/>
    <w:basedOn w:val="Normal"/>
    <w:qFormat/>
    <w:pPr>
      <w:keepNext/>
      <w:spacing w:after="240"/>
      <w:jc w:val="center"/>
      <w:outlineLvl w:val="0"/>
    </w:pPr>
    <w:rPr>
      <w:b/>
    </w:rPr>
  </w:style>
  <w:style w:type="paragraph" w:styleId="TOAHeading">
    <w:name w:val="toa heading"/>
    <w:basedOn w:val="Normal"/>
    <w:next w:val="Normal"/>
    <w:semiHidden/>
    <w:pPr>
      <w:spacing w:before="120"/>
    </w:pPr>
    <w:rPr>
      <w:b/>
    </w:rPr>
  </w:style>
  <w:style w:type="character" w:styleId="FootnoteReference">
    <w:name w:val="footnote reference"/>
    <w:semiHidden/>
    <w:rPr>
      <w:vertAlign w:val="superscript"/>
    </w:rPr>
  </w:style>
  <w:style w:type="paragraph" w:styleId="Footer">
    <w:name w:val="footer"/>
    <w:basedOn w:val="Normal"/>
    <w:link w:val="FooterChar"/>
    <w:uiPriority w:val="99"/>
    <w:unhideWhenUsed/>
    <w:pPr>
      <w:tabs>
        <w:tab w:val="center" w:pos="4680"/>
        <w:tab w:val="right" w:pos="9360"/>
      </w:tabs>
    </w:pPr>
  </w:style>
  <w:style w:type="paragraph" w:customStyle="1" w:styleId="LetteredParagraphSingle">
    <w:name w:val="Lettered Paragraph Single"/>
    <w:basedOn w:val="Normal"/>
    <w:pPr>
      <w:numPr>
        <w:numId w:val="11"/>
      </w:numPr>
      <w:tabs>
        <w:tab w:val="clear" w:pos="1800"/>
        <w:tab w:val="left" w:pos="2160"/>
      </w:tabs>
    </w:pPr>
  </w:style>
  <w:style w:type="character" w:styleId="PageNumber">
    <w:name w:val="page number"/>
    <w:rPr>
      <w:rFonts w:ascii="Times New Roman" w:hAnsi="Times New Roman"/>
      <w:sz w:val="24"/>
    </w:rPr>
  </w:style>
  <w:style w:type="paragraph" w:customStyle="1" w:styleId="LetteredParagraphDouble">
    <w:name w:val="Lettered Paragraph Double"/>
    <w:basedOn w:val="Normal"/>
    <w:pPr>
      <w:numPr>
        <w:numId w:val="10"/>
      </w:numPr>
      <w:tabs>
        <w:tab w:val="clear" w:pos="1800"/>
        <w:tab w:val="left" w:pos="2160"/>
      </w:tabs>
      <w:spacing w:line="480" w:lineRule="auto"/>
    </w:p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Header">
    <w:name w:val="header"/>
    <w:basedOn w:val="Normal"/>
    <w:unhideWhenUsed/>
    <w:pPr>
      <w:tabs>
        <w:tab w:val="center" w:pos="4680"/>
        <w:tab w:val="right" w:pos="9360"/>
      </w:tabs>
    </w:pPr>
  </w:style>
  <w:style w:type="paragraph" w:customStyle="1" w:styleId="Re">
    <w:name w:val="Re"/>
    <w:basedOn w:val="To"/>
    <w:next w:val="BodyText"/>
    <w:rsid w:val="001A0CEB"/>
    <w:pPr>
      <w:spacing w:after="480"/>
    </w:pPr>
    <w:rPr>
      <w:b/>
    </w:rPr>
  </w:style>
  <w:style w:type="paragraph" w:customStyle="1" w:styleId="TableText">
    <w:name w:val="Table Text"/>
    <w:basedOn w:val="Normal"/>
    <w:pPr>
      <w:spacing w:before="60" w:after="60"/>
    </w:pPr>
  </w:style>
  <w:style w:type="paragraph" w:customStyle="1" w:styleId="TableEnd">
    <w:name w:val="Table End"/>
    <w:basedOn w:val="TableText"/>
    <w:pPr>
      <w:spacing w:after="180"/>
    </w:pPr>
  </w:style>
  <w:style w:type="paragraph" w:customStyle="1" w:styleId="TableHeading">
    <w:name w:val="Table Heading"/>
    <w:basedOn w:val="Normal"/>
    <w:pPr>
      <w:keepNext/>
      <w:spacing w:before="240" w:after="60"/>
      <w:jc w:val="center"/>
    </w:pPr>
    <w:rPr>
      <w:b/>
    </w:rPr>
  </w:style>
  <w:style w:type="paragraph" w:styleId="TOC1">
    <w:name w:val="toc 1"/>
    <w:basedOn w:val="Normal"/>
    <w:next w:val="Normal"/>
    <w:semiHidden/>
    <w:pPr>
      <w:tabs>
        <w:tab w:val="right" w:leader="dot" w:pos="9360"/>
      </w:tabs>
      <w:spacing w:after="240"/>
      <w:ind w:left="720" w:right="720" w:hanging="720"/>
    </w:pPr>
  </w:style>
  <w:style w:type="paragraph" w:styleId="TOC2">
    <w:name w:val="toc 2"/>
    <w:basedOn w:val="Normal"/>
    <w:next w:val="Normal"/>
    <w:semiHidden/>
    <w:pPr>
      <w:tabs>
        <w:tab w:val="right" w:pos="9360"/>
      </w:tabs>
      <w:spacing w:after="240"/>
      <w:ind w:left="1440" w:right="720" w:hanging="720"/>
    </w:pPr>
  </w:style>
  <w:style w:type="paragraph" w:styleId="TOC3">
    <w:name w:val="toc 3"/>
    <w:basedOn w:val="Normal"/>
    <w:next w:val="Normal"/>
    <w:semiHidden/>
    <w:pPr>
      <w:tabs>
        <w:tab w:val="right" w:leader="dot" w:pos="9360"/>
      </w:tabs>
      <w:spacing w:after="240"/>
      <w:ind w:left="2160" w:right="720" w:hanging="720"/>
    </w:pPr>
  </w:style>
  <w:style w:type="paragraph" w:styleId="TOC4">
    <w:name w:val="toc 4"/>
    <w:basedOn w:val="Normal"/>
    <w:next w:val="Normal"/>
    <w:semiHidden/>
    <w:pPr>
      <w:tabs>
        <w:tab w:val="right" w:leader="dot" w:pos="9360"/>
      </w:tabs>
      <w:spacing w:after="240"/>
      <w:ind w:left="2880" w:right="720" w:hanging="720"/>
    </w:pPr>
  </w:style>
  <w:style w:type="paragraph" w:styleId="TOC5">
    <w:name w:val="toc 5"/>
    <w:basedOn w:val="Normal"/>
    <w:next w:val="Normal"/>
    <w:semiHidden/>
    <w:pPr>
      <w:tabs>
        <w:tab w:val="right" w:leader="dot" w:pos="9360"/>
      </w:tabs>
      <w:spacing w:after="240"/>
      <w:ind w:left="3600" w:right="720" w:hanging="720"/>
    </w:pPr>
  </w:style>
  <w:style w:type="paragraph" w:styleId="TOC6">
    <w:name w:val="toc 6"/>
    <w:basedOn w:val="Normal"/>
    <w:next w:val="Normal"/>
    <w:semiHidden/>
    <w:pPr>
      <w:tabs>
        <w:tab w:val="right" w:leader="dot" w:pos="9360"/>
      </w:tabs>
      <w:spacing w:after="240"/>
      <w:ind w:left="4320" w:right="720" w:hanging="720"/>
    </w:pPr>
  </w:style>
  <w:style w:type="paragraph" w:styleId="TOC7">
    <w:name w:val="toc 7"/>
    <w:basedOn w:val="Normal"/>
    <w:next w:val="Normal"/>
    <w:semiHidden/>
    <w:pPr>
      <w:tabs>
        <w:tab w:val="right" w:leader="dot" w:pos="9360"/>
      </w:tabs>
      <w:spacing w:after="240"/>
      <w:ind w:left="5040" w:right="720" w:hanging="720"/>
    </w:pPr>
  </w:style>
  <w:style w:type="paragraph" w:styleId="TOC8">
    <w:name w:val="toc 8"/>
    <w:basedOn w:val="Normal"/>
    <w:next w:val="Normal"/>
    <w:semiHidden/>
    <w:pPr>
      <w:tabs>
        <w:tab w:val="right" w:leader="dot" w:pos="9360"/>
      </w:tabs>
      <w:spacing w:after="240"/>
      <w:ind w:left="5760" w:right="720" w:hanging="720"/>
    </w:pPr>
  </w:style>
  <w:style w:type="paragraph" w:styleId="TOC9">
    <w:name w:val="toc 9"/>
    <w:basedOn w:val="Normal"/>
    <w:next w:val="Normal"/>
    <w:semiHidden/>
    <w:pPr>
      <w:tabs>
        <w:tab w:val="right" w:leader="dot" w:pos="9360"/>
      </w:tabs>
      <w:spacing w:after="240"/>
      <w:ind w:left="6480" w:right="720" w:hanging="720"/>
    </w:pPr>
  </w:style>
  <w:style w:type="paragraph" w:customStyle="1" w:styleId="MemoTitle">
    <w:name w:val="Memo Title"/>
    <w:basedOn w:val="Normal"/>
    <w:next w:val="To"/>
    <w:rsid w:val="0091676C"/>
    <w:pPr>
      <w:pBdr>
        <w:bottom w:val="single" w:sz="4" w:space="5" w:color="auto"/>
      </w:pBdr>
      <w:spacing w:before="240" w:after="720"/>
    </w:pPr>
    <w:rPr>
      <w:b/>
      <w:sz w:val="26"/>
      <w:szCs w:val="26"/>
    </w:rPr>
  </w:style>
  <w:style w:type="paragraph" w:styleId="Date">
    <w:name w:val="Date"/>
    <w:basedOn w:val="Normal"/>
    <w:next w:val="Normal"/>
    <w:pPr>
      <w:spacing w:before="720" w:after="480"/>
      <w:ind w:left="6480"/>
    </w:pPr>
  </w:style>
  <w:style w:type="paragraph" w:styleId="BalloonText">
    <w:name w:val="Balloon Text"/>
    <w:basedOn w:val="Normal"/>
    <w:link w:val="BalloonTextChar"/>
    <w:uiPriority w:val="5"/>
    <w:rsid w:val="00BE012B"/>
    <w:rPr>
      <w:rFonts w:ascii="Tahoma" w:hAnsi="Tahoma" w:cs="Tahoma"/>
      <w:sz w:val="16"/>
      <w:szCs w:val="16"/>
    </w:rPr>
  </w:style>
  <w:style w:type="character" w:customStyle="1" w:styleId="BalloonTextChar">
    <w:name w:val="Balloon Text Char"/>
    <w:basedOn w:val="DefaultParagraphFont"/>
    <w:link w:val="BalloonText"/>
    <w:uiPriority w:val="5"/>
    <w:rsid w:val="00481300"/>
    <w:rPr>
      <w:rFonts w:ascii="Tahoma" w:hAnsi="Tahoma" w:cs="Tahoma"/>
      <w:sz w:val="16"/>
      <w:szCs w:val="16"/>
    </w:rPr>
  </w:style>
  <w:style w:type="paragraph" w:customStyle="1" w:styleId="StampAndDate">
    <w:name w:val="StampAndDate"/>
    <w:basedOn w:val="Date"/>
    <w:next w:val="MemoTitle"/>
    <w:rsid w:val="00350B42"/>
    <w:pPr>
      <w:tabs>
        <w:tab w:val="left" w:pos="7200"/>
      </w:tabs>
      <w:spacing w:before="0" w:after="0"/>
      <w:ind w:left="0"/>
    </w:pPr>
  </w:style>
  <w:style w:type="paragraph" w:customStyle="1" w:styleId="HeaderSpacing">
    <w:name w:val="HeaderSpacing"/>
    <w:basedOn w:val="Header"/>
    <w:rsid w:val="001A0CEB"/>
    <w:pPr>
      <w:spacing w:after="1520"/>
    </w:pPr>
  </w:style>
  <w:style w:type="paragraph" w:customStyle="1" w:styleId="BodyTextFirstHalfIndent">
    <w:name w:val="Body Text First Half Indent"/>
    <w:basedOn w:val="BodyText"/>
    <w:rsid w:val="00350B42"/>
    <w:pPr>
      <w:ind w:firstLine="720"/>
    </w:pPr>
  </w:style>
  <w:style w:type="paragraph" w:customStyle="1" w:styleId="BodyTextFirstHalfIndent2">
    <w:name w:val="Body Text First Half Indent 2"/>
    <w:basedOn w:val="BodyTextFirstHalfIndent"/>
    <w:rsid w:val="00350B42"/>
    <w:pPr>
      <w:spacing w:line="480" w:lineRule="auto"/>
    </w:pPr>
  </w:style>
  <w:style w:type="paragraph" w:customStyle="1" w:styleId="BodyTextHalfIndent">
    <w:name w:val="Body Text Half Indent"/>
    <w:basedOn w:val="BodyText"/>
    <w:rsid w:val="0077483E"/>
    <w:pPr>
      <w:ind w:left="720"/>
    </w:pPr>
  </w:style>
  <w:style w:type="paragraph" w:customStyle="1" w:styleId="BodyTextHalfIndent2">
    <w:name w:val="Body Text Half Indent 2"/>
    <w:basedOn w:val="BodyTextHalfIndent"/>
    <w:rsid w:val="0077483E"/>
    <w:pPr>
      <w:spacing w:line="480" w:lineRule="auto"/>
    </w:pPr>
  </w:style>
  <w:style w:type="character" w:customStyle="1" w:styleId="Stamp">
    <w:name w:val="Stamp"/>
    <w:basedOn w:val="DateFormat"/>
    <w:uiPriority w:val="1"/>
    <w:rsid w:val="00344060"/>
    <w:rPr>
      <w:b w:val="0"/>
    </w:rPr>
  </w:style>
  <w:style w:type="character" w:customStyle="1" w:styleId="DateFormat">
    <w:name w:val="DateFormat"/>
    <w:basedOn w:val="DefaultParagraphFont"/>
    <w:uiPriority w:val="1"/>
    <w:qFormat/>
    <w:rsid w:val="00873461"/>
  </w:style>
  <w:style w:type="character" w:styleId="CommentReference">
    <w:name w:val="annotation reference"/>
    <w:basedOn w:val="DefaultParagraphFont"/>
    <w:semiHidden/>
    <w:unhideWhenUsed/>
    <w:rsid w:val="00A71964"/>
    <w:rPr>
      <w:sz w:val="16"/>
      <w:szCs w:val="16"/>
    </w:rPr>
  </w:style>
  <w:style w:type="paragraph" w:styleId="CommentText">
    <w:name w:val="annotation text"/>
    <w:basedOn w:val="Normal"/>
    <w:link w:val="CommentTextChar"/>
    <w:semiHidden/>
    <w:unhideWhenUsed/>
    <w:rsid w:val="00A71964"/>
    <w:rPr>
      <w:sz w:val="20"/>
      <w:szCs w:val="20"/>
    </w:rPr>
  </w:style>
  <w:style w:type="character" w:customStyle="1" w:styleId="CommentTextChar">
    <w:name w:val="Comment Text Char"/>
    <w:basedOn w:val="DefaultParagraphFont"/>
    <w:link w:val="CommentText"/>
    <w:semiHidden/>
    <w:rsid w:val="00A71964"/>
    <w:rPr>
      <w:sz w:val="20"/>
      <w:szCs w:val="20"/>
    </w:rPr>
  </w:style>
  <w:style w:type="paragraph" w:styleId="CommentSubject">
    <w:name w:val="annotation subject"/>
    <w:basedOn w:val="CommentText"/>
    <w:next w:val="CommentText"/>
    <w:link w:val="CommentSubjectChar"/>
    <w:semiHidden/>
    <w:unhideWhenUsed/>
    <w:rsid w:val="00A71964"/>
    <w:rPr>
      <w:b/>
      <w:bCs/>
    </w:rPr>
  </w:style>
  <w:style w:type="character" w:customStyle="1" w:styleId="CommentSubjectChar">
    <w:name w:val="Comment Subject Char"/>
    <w:basedOn w:val="CommentTextChar"/>
    <w:link w:val="CommentSubject"/>
    <w:semiHidden/>
    <w:rsid w:val="00A71964"/>
    <w:rPr>
      <w:b/>
      <w:bCs/>
      <w:sz w:val="20"/>
      <w:szCs w:val="20"/>
    </w:rPr>
  </w:style>
  <w:style w:type="character" w:styleId="Hyperlink">
    <w:name w:val="Hyperlink"/>
    <w:basedOn w:val="DefaultParagraphFont"/>
    <w:unhideWhenUsed/>
    <w:rsid w:val="004E40CE"/>
    <w:rPr>
      <w:color w:val="0000FF" w:themeColor="hyperlink"/>
      <w:u w:val="single"/>
    </w:rPr>
  </w:style>
  <w:style w:type="character" w:customStyle="1" w:styleId="FootnoteTextChar">
    <w:name w:val="Footnote Text Char"/>
    <w:basedOn w:val="DefaultParagraphFont"/>
    <w:link w:val="FootnoteText"/>
    <w:semiHidden/>
    <w:rsid w:val="0089759C"/>
  </w:style>
  <w:style w:type="paragraph" w:styleId="ListParagraph">
    <w:name w:val="List Paragraph"/>
    <w:basedOn w:val="Normal"/>
    <w:uiPriority w:val="9"/>
    <w:rsid w:val="0089759C"/>
    <w:pPr>
      <w:ind w:left="720"/>
      <w:contextualSpacing/>
    </w:pPr>
  </w:style>
  <w:style w:type="paragraph" w:customStyle="1" w:styleId="ImanageFooter">
    <w:name w:val="Imanage Footer"/>
    <w:basedOn w:val="Normal"/>
    <w:rsid w:val="00CD6016"/>
    <w:rPr>
      <w:rFonts w:ascii="Times New Roman" w:eastAsia="Times New Roman" w:hAnsi="Times New Roman"/>
      <w:sz w:val="16"/>
      <w:szCs w:val="24"/>
    </w:rPr>
  </w:style>
  <w:style w:type="character" w:styleId="FollowedHyperlink">
    <w:name w:val="FollowedHyperlink"/>
    <w:basedOn w:val="DefaultParagraphFont"/>
    <w:semiHidden/>
    <w:unhideWhenUsed/>
    <w:rsid w:val="00A06837"/>
    <w:rPr>
      <w:color w:val="800080" w:themeColor="followedHyperlink"/>
      <w:u w:val="single"/>
    </w:rPr>
  </w:style>
  <w:style w:type="character" w:customStyle="1" w:styleId="FooterChar">
    <w:name w:val="Footer Char"/>
    <w:basedOn w:val="DefaultParagraphFont"/>
    <w:link w:val="Footer"/>
    <w:uiPriority w:val="99"/>
    <w:rsid w:val="0047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735">
      <w:bodyDiv w:val="1"/>
      <w:marLeft w:val="0"/>
      <w:marRight w:val="0"/>
      <w:marTop w:val="0"/>
      <w:marBottom w:val="0"/>
      <w:divBdr>
        <w:top w:val="none" w:sz="0" w:space="0" w:color="auto"/>
        <w:left w:val="none" w:sz="0" w:space="0" w:color="auto"/>
        <w:bottom w:val="none" w:sz="0" w:space="0" w:color="auto"/>
        <w:right w:val="none" w:sz="0" w:space="0" w:color="auto"/>
      </w:divBdr>
    </w:div>
    <w:div w:id="112528500">
      <w:bodyDiv w:val="1"/>
      <w:marLeft w:val="0"/>
      <w:marRight w:val="0"/>
      <w:marTop w:val="0"/>
      <w:marBottom w:val="0"/>
      <w:divBdr>
        <w:top w:val="none" w:sz="0" w:space="0" w:color="auto"/>
        <w:left w:val="none" w:sz="0" w:space="0" w:color="auto"/>
        <w:bottom w:val="none" w:sz="0" w:space="0" w:color="auto"/>
        <w:right w:val="none" w:sz="0" w:space="0" w:color="auto"/>
      </w:divBdr>
    </w:div>
    <w:div w:id="253591155">
      <w:bodyDiv w:val="1"/>
      <w:marLeft w:val="0"/>
      <w:marRight w:val="0"/>
      <w:marTop w:val="0"/>
      <w:marBottom w:val="0"/>
      <w:divBdr>
        <w:top w:val="none" w:sz="0" w:space="0" w:color="auto"/>
        <w:left w:val="none" w:sz="0" w:space="0" w:color="auto"/>
        <w:bottom w:val="none" w:sz="0" w:space="0" w:color="auto"/>
        <w:right w:val="none" w:sz="0" w:space="0" w:color="auto"/>
      </w:divBdr>
      <w:divsChild>
        <w:div w:id="1704211860">
          <w:marLeft w:val="0"/>
          <w:marRight w:val="0"/>
          <w:marTop w:val="0"/>
          <w:marBottom w:val="0"/>
          <w:divBdr>
            <w:top w:val="none" w:sz="0" w:space="0" w:color="auto"/>
            <w:left w:val="none" w:sz="0" w:space="0" w:color="auto"/>
            <w:bottom w:val="none" w:sz="0" w:space="0" w:color="auto"/>
            <w:right w:val="none" w:sz="0" w:space="0" w:color="auto"/>
          </w:divBdr>
        </w:div>
      </w:divsChild>
    </w:div>
    <w:div w:id="585306414">
      <w:bodyDiv w:val="1"/>
      <w:marLeft w:val="0"/>
      <w:marRight w:val="0"/>
      <w:marTop w:val="0"/>
      <w:marBottom w:val="0"/>
      <w:divBdr>
        <w:top w:val="none" w:sz="0" w:space="0" w:color="auto"/>
        <w:left w:val="none" w:sz="0" w:space="0" w:color="auto"/>
        <w:bottom w:val="none" w:sz="0" w:space="0" w:color="auto"/>
        <w:right w:val="none" w:sz="0" w:space="0" w:color="auto"/>
      </w:divBdr>
    </w:div>
    <w:div w:id="986855211">
      <w:bodyDiv w:val="1"/>
      <w:marLeft w:val="0"/>
      <w:marRight w:val="0"/>
      <w:marTop w:val="0"/>
      <w:marBottom w:val="0"/>
      <w:divBdr>
        <w:top w:val="none" w:sz="0" w:space="0" w:color="auto"/>
        <w:left w:val="none" w:sz="0" w:space="0" w:color="auto"/>
        <w:bottom w:val="none" w:sz="0" w:space="0" w:color="auto"/>
        <w:right w:val="none" w:sz="0" w:space="0" w:color="auto"/>
      </w:divBdr>
    </w:div>
    <w:div w:id="1866170005">
      <w:bodyDiv w:val="1"/>
      <w:marLeft w:val="0"/>
      <w:marRight w:val="0"/>
      <w:marTop w:val="0"/>
      <w:marBottom w:val="0"/>
      <w:divBdr>
        <w:top w:val="none" w:sz="0" w:space="0" w:color="auto"/>
        <w:left w:val="none" w:sz="0" w:space="0" w:color="auto"/>
        <w:bottom w:val="none" w:sz="0" w:space="0" w:color="auto"/>
        <w:right w:val="none" w:sz="0" w:space="0" w:color="auto"/>
      </w:divBdr>
      <w:divsChild>
        <w:div w:id="1624849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4887</Words>
  <Characters>27859</Characters>
  <Application>Microsoft Office Word</Application>
  <DocSecurity>0</DocSecurity>
  <Lines>232</Lines>
  <Paragraphs>65</Paragraphs>
  <ScaleCrop>false</ScaleCrop>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2021-09-26T16:00:00Z</dcterms:created>
  <dcterms:modified xsi:type="dcterms:W3CDTF">2021-09-26T16:00:00Z</dcterms:modified>
</cp:coreProperties>
</file>