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BEF8" w14:textId="0C045270" w:rsidR="003646D9" w:rsidRPr="003646D9" w:rsidRDefault="003646D9" w:rsidP="007246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3646D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This document has been prepared as part of the implementation project of Legal Pathways to Deep Decarbonization (Michael B. Gerrard and John C. </w:t>
      </w:r>
      <w:proofErr w:type="spellStart"/>
      <w:r w:rsidRPr="003646D9">
        <w:rPr>
          <w:rFonts w:ascii="Arial" w:eastAsia="Times New Roman" w:hAnsi="Arial" w:cs="Arial"/>
          <w:color w:val="000000"/>
          <w:sz w:val="24"/>
          <w:szCs w:val="24"/>
          <w:u w:val="single"/>
        </w:rPr>
        <w:t>Dernbach</w:t>
      </w:r>
      <w:proofErr w:type="spellEnd"/>
      <w:r w:rsidRPr="003646D9">
        <w:rPr>
          <w:rFonts w:ascii="Arial" w:eastAsia="Times New Roman" w:hAnsi="Arial" w:cs="Arial"/>
          <w:color w:val="000000"/>
          <w:sz w:val="24"/>
          <w:szCs w:val="24"/>
          <w:u w:val="single"/>
        </w:rPr>
        <w:t>, eds. Environmental Law Institute [2019]) (LPDD).  For background information on the project, see https://lpdd.org</w:t>
      </w:r>
    </w:p>
    <w:p w14:paraId="774B5EB3" w14:textId="77777777" w:rsidR="003646D9" w:rsidRDefault="003646D9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570ECEC" w14:textId="66160F07" w:rsidR="007246A0" w:rsidRDefault="00FD3543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16A0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Model State Law Supporting Sustainable Management of Food Waste</w:t>
      </w:r>
    </w:p>
    <w:p w14:paraId="783DDBE5" w14:textId="77777777" w:rsidR="007246A0" w:rsidRDefault="007246A0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29C8F0" w14:textId="77777777" w:rsidR="007246A0" w:rsidRPr="005A759C" w:rsidRDefault="00FD3543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A759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1. Definitions</w:t>
      </w:r>
      <w:r>
        <w:rPr>
          <w:rStyle w:val="FootnoteReference"/>
          <w:rFonts w:ascii="Arial" w:eastAsia="Times New Roman" w:hAnsi="Arial" w:cs="Arial"/>
          <w:b/>
          <w:bCs/>
          <w:color w:val="000000"/>
          <w:sz w:val="24"/>
          <w:szCs w:val="24"/>
        </w:rPr>
        <w:footnoteReference w:id="1"/>
      </w:r>
    </w:p>
    <w:p w14:paraId="760E9CFD" w14:textId="77777777" w:rsidR="007246A0" w:rsidRPr="005A759C" w:rsidRDefault="007246A0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9A99537" w14:textId="77777777" w:rsidR="007246A0" w:rsidRPr="005A759C" w:rsidRDefault="00FD3543" w:rsidP="007246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the purposes of this Act:</w:t>
      </w:r>
    </w:p>
    <w:p w14:paraId="69CE29D5" w14:textId="77777777" w:rsidR="007246A0" w:rsidRDefault="007246A0" w:rsidP="007246A0">
      <w:pPr>
        <w:rPr>
          <w:rFonts w:ascii="Arial" w:hAnsi="Arial" w:cs="Arial"/>
          <w:sz w:val="24"/>
          <w:szCs w:val="24"/>
        </w:rPr>
      </w:pPr>
    </w:p>
    <w:p w14:paraId="2527BBD4" w14:textId="77777777" w:rsidR="007246A0" w:rsidRPr="00C604CD" w:rsidRDefault="00FD3543" w:rsidP="00724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C604CD">
        <w:rPr>
          <w:rFonts w:ascii="Arial" w:hAnsi="Arial" w:cs="Arial"/>
          <w:sz w:val="24"/>
          <w:szCs w:val="24"/>
        </w:rPr>
        <w:t xml:space="preserve">“Donate” means to give without requiring anything of monetary value from the recipient, except that the term shall include giving by a nonprofit organization to another nonprofit organization, notwithstanding that the donor organization has charged a nominal fee to the </w:t>
      </w:r>
      <w:proofErr w:type="spellStart"/>
      <w:r w:rsidRPr="00C604CD">
        <w:rPr>
          <w:rFonts w:ascii="Arial" w:hAnsi="Arial" w:cs="Arial"/>
          <w:sz w:val="24"/>
          <w:szCs w:val="24"/>
        </w:rPr>
        <w:t>donee</w:t>
      </w:r>
      <w:proofErr w:type="spellEnd"/>
      <w:r w:rsidRPr="00C604CD">
        <w:rPr>
          <w:rFonts w:ascii="Arial" w:hAnsi="Arial" w:cs="Arial"/>
          <w:sz w:val="24"/>
          <w:szCs w:val="24"/>
        </w:rPr>
        <w:t xml:space="preserve"> organization, if the ultimate recipient or user is not required to give anything of monetary value.</w:t>
      </w:r>
      <w:r w:rsidRPr="00C604CD">
        <w:rPr>
          <w:rFonts w:ascii="Arial" w:hAnsi="Arial" w:cs="Arial"/>
          <w:sz w:val="24"/>
          <w:szCs w:val="24"/>
        </w:rPr>
        <w:br/>
      </w:r>
    </w:p>
    <w:p w14:paraId="005D79A1" w14:textId="77777777" w:rsidR="007246A0" w:rsidRPr="00C604CD" w:rsidRDefault="00FD3543" w:rsidP="00724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C604CD">
        <w:rPr>
          <w:rFonts w:ascii="Arial" w:hAnsi="Arial" w:cs="Arial"/>
          <w:sz w:val="24"/>
          <w:szCs w:val="24"/>
        </w:rPr>
        <w:t>(1)</w:t>
      </w:r>
      <w:r w:rsidRPr="00C604CD">
        <w:rPr>
          <w:rFonts w:ascii="Arial" w:hAnsi="Arial" w:cs="Arial"/>
          <w:sz w:val="24"/>
          <w:szCs w:val="24"/>
        </w:rPr>
        <w:tab/>
        <w:t>"Donor'' means any person that donates food or harvests food for donation.</w:t>
      </w:r>
    </w:p>
    <w:p w14:paraId="1D0FBF27" w14:textId="77777777" w:rsidR="007246A0" w:rsidRPr="00C604CD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 w:rsidRPr="00C604CD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Pr="00C604CD">
        <w:rPr>
          <w:rFonts w:ascii="Arial" w:hAnsi="Arial" w:cs="Arial"/>
          <w:sz w:val="24"/>
          <w:szCs w:val="24"/>
        </w:rPr>
        <w:t>(</w:t>
      </w:r>
      <w:proofErr w:type="spellStart"/>
      <w:r w:rsidRPr="00C604CD">
        <w:rPr>
          <w:rFonts w:ascii="Arial" w:hAnsi="Arial" w:cs="Arial"/>
          <w:sz w:val="24"/>
          <w:szCs w:val="24"/>
        </w:rPr>
        <w:t>i</w:t>
      </w:r>
      <w:proofErr w:type="spellEnd"/>
      <w:r w:rsidRPr="00C604CD">
        <w:rPr>
          <w:rFonts w:ascii="Arial" w:hAnsi="Arial" w:cs="Arial"/>
          <w:sz w:val="24"/>
          <w:szCs w:val="24"/>
        </w:rPr>
        <w:t>)</w:t>
      </w:r>
      <w:r w:rsidRPr="00C604CD">
        <w:rPr>
          <w:rFonts w:ascii="Arial" w:hAnsi="Arial" w:cs="Arial"/>
          <w:sz w:val="24"/>
          <w:szCs w:val="24"/>
        </w:rPr>
        <w:tab/>
        <w:t>"Donor'' includes any non-profit "food bank'' that collects, stores, and distributes food without charge or at a charge sufficient only to cover the cost of handling and administering such food and the distribution thereof.</w:t>
      </w:r>
    </w:p>
    <w:p w14:paraId="0024EE5A" w14:textId="77777777" w:rsidR="007246A0" w:rsidRPr="00C604CD" w:rsidRDefault="00FD3543" w:rsidP="007246A0">
      <w:pPr>
        <w:ind w:left="1080"/>
        <w:rPr>
          <w:rFonts w:ascii="Arial" w:hAnsi="Arial" w:cs="Arial"/>
          <w:sz w:val="24"/>
          <w:szCs w:val="24"/>
        </w:rPr>
      </w:pPr>
      <w:r w:rsidRPr="00C604CD">
        <w:rPr>
          <w:rFonts w:ascii="Arial" w:hAnsi="Arial" w:cs="Arial"/>
          <w:sz w:val="24"/>
          <w:szCs w:val="24"/>
        </w:rPr>
        <w:t xml:space="preserve"> </w:t>
      </w:r>
      <w:r w:rsidRPr="00C604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Pr="00C604CD">
        <w:rPr>
          <w:rFonts w:ascii="Arial" w:hAnsi="Arial" w:cs="Arial"/>
          <w:sz w:val="24"/>
          <w:szCs w:val="24"/>
        </w:rPr>
        <w:t>"Donor'' includes the employees, agents, officers or volunteers working for or with any donor in connection with the donation or distribution of food.</w:t>
      </w:r>
    </w:p>
    <w:p w14:paraId="23D89085" w14:textId="77777777" w:rsidR="007246A0" w:rsidRDefault="00FD3543" w:rsidP="007246A0">
      <w:pPr>
        <w:rPr>
          <w:rFonts w:ascii="Arial" w:hAnsi="Arial" w:cs="Arial"/>
          <w:sz w:val="24"/>
          <w:szCs w:val="24"/>
        </w:rPr>
      </w:pPr>
      <w:r w:rsidRPr="005A759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5A759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(1)</w:t>
      </w:r>
      <w:r>
        <w:rPr>
          <w:rFonts w:ascii="Arial" w:hAnsi="Arial" w:cs="Arial"/>
          <w:sz w:val="24"/>
          <w:szCs w:val="24"/>
        </w:rPr>
        <w:tab/>
      </w:r>
      <w:r w:rsidRPr="005A759C">
        <w:rPr>
          <w:rFonts w:ascii="Arial" w:hAnsi="Arial" w:cs="Arial"/>
          <w:sz w:val="24"/>
          <w:szCs w:val="24"/>
        </w:rPr>
        <w:t>"Food residual" means source-separated material that is derived from processing or discarding of food.</w:t>
      </w:r>
    </w:p>
    <w:p w14:paraId="462CFD08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“</w:t>
      </w:r>
      <w:r w:rsidRPr="005A759C">
        <w:rPr>
          <w:rFonts w:ascii="Arial" w:hAnsi="Arial" w:cs="Arial"/>
          <w:sz w:val="24"/>
          <w:szCs w:val="24"/>
        </w:rPr>
        <w:t>Food residual</w:t>
      </w:r>
      <w:r>
        <w:rPr>
          <w:rFonts w:ascii="Arial" w:hAnsi="Arial" w:cs="Arial"/>
          <w:sz w:val="24"/>
          <w:szCs w:val="24"/>
        </w:rPr>
        <w:t>”</w:t>
      </w:r>
      <w:r w:rsidRPr="005A759C">
        <w:rPr>
          <w:rFonts w:ascii="Arial" w:hAnsi="Arial" w:cs="Arial"/>
          <w:sz w:val="24"/>
          <w:szCs w:val="24"/>
        </w:rPr>
        <w:t xml:space="preserve"> may include </w:t>
      </w:r>
      <w:proofErr w:type="spellStart"/>
      <w:r w:rsidRPr="005A759C">
        <w:rPr>
          <w:rFonts w:ascii="Arial" w:hAnsi="Arial" w:cs="Arial"/>
          <w:sz w:val="24"/>
          <w:szCs w:val="24"/>
        </w:rPr>
        <w:t>preconsumer</w:t>
      </w:r>
      <w:proofErr w:type="spellEnd"/>
      <w:r w:rsidRPr="005A759C">
        <w:rPr>
          <w:rFonts w:ascii="Arial" w:hAnsi="Arial" w:cs="Arial"/>
          <w:sz w:val="24"/>
          <w:szCs w:val="24"/>
        </w:rPr>
        <w:t xml:space="preserve"> and postconsumer food. </w:t>
      </w:r>
    </w:p>
    <w:p w14:paraId="46F40568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Pr="005A759C">
        <w:rPr>
          <w:rFonts w:ascii="Arial" w:hAnsi="Arial" w:cs="Arial"/>
          <w:sz w:val="24"/>
          <w:szCs w:val="24"/>
        </w:rPr>
        <w:t>Food residual does not mean meat and meat-related products when the food residuals are composted by a resident on site.</w:t>
      </w:r>
    </w:p>
    <w:p w14:paraId="1A803708" w14:textId="77777777" w:rsidR="007246A0" w:rsidRPr="008051FC" w:rsidRDefault="00FD3543" w:rsidP="007246A0">
      <w:pPr>
        <w:rPr>
          <w:rFonts w:ascii="Arial" w:hAnsi="Arial" w:cs="Arial"/>
          <w:sz w:val="24"/>
          <w:szCs w:val="24"/>
        </w:rPr>
      </w:pPr>
      <w:r w:rsidRPr="008051FC">
        <w:rPr>
          <w:rFonts w:ascii="Arial" w:hAnsi="Arial" w:cs="Arial"/>
          <w:color w:val="000000"/>
          <w:sz w:val="24"/>
          <w:szCs w:val="24"/>
        </w:rPr>
        <w:t xml:space="preserve">(d)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8051FC">
        <w:rPr>
          <w:rFonts w:ascii="Arial" w:hAnsi="Arial" w:cs="Arial"/>
          <w:color w:val="000000"/>
          <w:sz w:val="24"/>
          <w:szCs w:val="24"/>
        </w:rPr>
        <w:t>“Green disposal” means disposal of food residuals that results in net zero or negative greenhouse gas emissions.</w:t>
      </w:r>
    </w:p>
    <w:p w14:paraId="43CBF5FD" w14:textId="77777777" w:rsidR="007246A0" w:rsidRPr="00FC0A5C" w:rsidRDefault="00FD3543" w:rsidP="007246A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hd w:val="clear" w:color="auto" w:fill="FFFFFF"/>
        </w:rPr>
      </w:pPr>
      <w:r w:rsidRPr="005A759C"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5A759C">
        <w:rPr>
          <w:rFonts w:ascii="Arial" w:hAnsi="Arial" w:cs="Arial"/>
          <w:color w:val="000000"/>
          <w:shd w:val="clear" w:color="auto" w:fill="FFFFFF"/>
        </w:rPr>
        <w:t xml:space="preserve">) </w:t>
      </w:r>
      <w:r w:rsidRPr="005A759C">
        <w:rPr>
          <w:rFonts w:ascii="Arial" w:hAnsi="Arial" w:cs="Arial"/>
          <w:color w:val="000000"/>
          <w:shd w:val="clear" w:color="auto" w:fill="FFFFFF"/>
        </w:rPr>
        <w:tab/>
        <w:t xml:space="preserve">"Person" means any individual, partnership, company, corporation, association, unincorporated association, joint venture, trust, </w:t>
      </w:r>
      <w:r>
        <w:rPr>
          <w:rFonts w:ascii="Arial" w:hAnsi="Arial" w:cs="Arial"/>
          <w:color w:val="000000"/>
          <w:shd w:val="clear" w:color="auto" w:fill="FFFFFF"/>
        </w:rPr>
        <w:t>local jurisdiction</w:t>
      </w:r>
      <w:r w:rsidRPr="005A759C">
        <w:rPr>
          <w:rFonts w:ascii="Arial" w:hAnsi="Arial" w:cs="Arial"/>
          <w:color w:val="000000"/>
          <w:shd w:val="clear" w:color="auto" w:fill="FFFFFF"/>
        </w:rPr>
        <w:t xml:space="preserve">, the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5A759C">
        <w:rPr>
          <w:rFonts w:ascii="Arial" w:hAnsi="Arial" w:cs="Arial"/>
          <w:color w:val="000000"/>
          <w:shd w:val="clear" w:color="auto" w:fill="FFFFFF"/>
        </w:rPr>
        <w:t xml:space="preserve">tate or any agency, department or subdivision of the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5A759C">
        <w:rPr>
          <w:rFonts w:ascii="Arial" w:hAnsi="Arial" w:cs="Arial"/>
          <w:color w:val="000000"/>
          <w:shd w:val="clear" w:color="auto" w:fill="FFFFFF"/>
        </w:rPr>
        <w:t>tate, federal agency, or any other legal or commercial entity.</w:t>
      </w:r>
    </w:p>
    <w:p w14:paraId="02A8BAB6" w14:textId="77777777" w:rsidR="007246A0" w:rsidRPr="005A759C" w:rsidRDefault="007246A0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E0F9CC1" w14:textId="77777777" w:rsidR="007246A0" w:rsidRPr="005A759C" w:rsidRDefault="00FD3543" w:rsidP="007246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A759C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Food Residual Management</w:t>
      </w:r>
      <w:r>
        <w:rPr>
          <w:rStyle w:val="FootnoteReference"/>
          <w:rFonts w:ascii="Arial" w:eastAsia="Times New Roman" w:hAnsi="Arial" w:cs="Arial"/>
          <w:b/>
          <w:bCs/>
          <w:color w:val="000000"/>
          <w:sz w:val="24"/>
          <w:szCs w:val="24"/>
        </w:rPr>
        <w:footnoteReference w:id="2"/>
      </w:r>
    </w:p>
    <w:p w14:paraId="57FD5A47" w14:textId="77777777" w:rsidR="007246A0" w:rsidRPr="005A759C" w:rsidRDefault="007246A0" w:rsidP="007246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7D2F2F" w14:textId="77777777" w:rsidR="007246A0" w:rsidRPr="00693C3F" w:rsidRDefault="00FD3543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(a)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It is the policy of the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tate that </w:t>
      </w:r>
      <w:r>
        <w:rPr>
          <w:rFonts w:ascii="Arial" w:eastAsia="Times New Roman" w:hAnsi="Arial" w:cs="Arial"/>
          <w:color w:val="000000"/>
          <w:sz w:val="24"/>
          <w:szCs w:val="24"/>
        </w:rPr>
        <w:t>food residuals produced or generated in the state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 shall be managed according to the following order of priority uses:</w:t>
      </w:r>
    </w:p>
    <w:p w14:paraId="3687EC4D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8111BA" w14:textId="77777777" w:rsidR="007246A0" w:rsidRPr="00693C3F" w:rsidRDefault="00FD3543" w:rsidP="007246A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(1)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reduction of the amount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food residuals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 generated at the source;</w:t>
      </w:r>
    </w:p>
    <w:p w14:paraId="4D91D88C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2D53BD" w14:textId="77777777" w:rsidR="007246A0" w:rsidRPr="00693C3F" w:rsidRDefault="00FD3543" w:rsidP="007246A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>(2)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diversion for consumption by humans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food residuals that are uncontaminated and fit for human consumption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</w:p>
    <w:p w14:paraId="38F2748B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6DCE24" w14:textId="27B55DD0" w:rsidR="007246A0" w:rsidRPr="00693C3F" w:rsidRDefault="00FD3543" w:rsidP="007246A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5A759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composting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green disposal of food residuals, including but not limited to </w:t>
      </w:r>
      <w:r w:rsidR="00050704">
        <w:rPr>
          <w:rFonts w:ascii="Arial" w:eastAsia="Times New Roman" w:hAnsi="Arial" w:cs="Arial"/>
          <w:color w:val="000000"/>
          <w:sz w:val="24"/>
          <w:szCs w:val="24"/>
        </w:rPr>
        <w:t xml:space="preserve">aerobic and </w:t>
      </w:r>
      <w:r>
        <w:rPr>
          <w:rFonts w:ascii="Arial" w:eastAsia="Times New Roman" w:hAnsi="Arial" w:cs="Arial"/>
          <w:color w:val="000000"/>
          <w:sz w:val="24"/>
          <w:szCs w:val="24"/>
        </w:rPr>
        <w:t>anaerobic digestion and biochar.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3"/>
      </w:r>
    </w:p>
    <w:p w14:paraId="378A0628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1B0685" w14:textId="77777777" w:rsidR="007246A0" w:rsidRPr="00693C3F" w:rsidRDefault="00FD3543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(b)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A person who produces more than an amount identified under subsection (c) of this section in food residuals shall:</w:t>
      </w:r>
    </w:p>
    <w:p w14:paraId="38D5FBED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2E8440" w14:textId="6F9A6A6D" w:rsidR="007246A0" w:rsidRPr="00693C3F" w:rsidRDefault="00FD3543" w:rsidP="007246A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7246A0">
        <w:rPr>
          <w:rFonts w:ascii="Arial" w:eastAsia="Times New Roman" w:hAnsi="Arial" w:cs="Arial"/>
          <w:color w:val="000000"/>
          <w:sz w:val="24"/>
          <w:szCs w:val="24"/>
        </w:rPr>
        <w:t>(1)</w:t>
      </w:r>
      <w:r w:rsidRPr="007246A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separate all food residuals from other solid waste, </w:t>
      </w:r>
      <w:r w:rsidR="00050704">
        <w:rPr>
          <w:rFonts w:ascii="Arial" w:eastAsia="Times New Roman" w:hAnsi="Arial" w:cs="Arial"/>
          <w:color w:val="000000"/>
          <w:sz w:val="24"/>
          <w:szCs w:val="24"/>
        </w:rPr>
        <w:t>so that no more than</w:t>
      </w:r>
      <w:r w:rsidRPr="007246A0">
        <w:rPr>
          <w:rFonts w:ascii="Arial" w:eastAsia="Times New Roman" w:hAnsi="Arial" w:cs="Arial"/>
          <w:color w:val="000000"/>
          <w:sz w:val="24"/>
          <w:szCs w:val="24"/>
        </w:rPr>
        <w:t xml:space="preserve"> a de minimis amount of food residuals </w:t>
      </w:r>
      <w:r w:rsidR="00050704">
        <w:rPr>
          <w:rFonts w:ascii="Arial" w:eastAsia="Times New Roman" w:hAnsi="Arial" w:cs="Arial"/>
          <w:color w:val="000000"/>
          <w:sz w:val="24"/>
          <w:szCs w:val="24"/>
        </w:rPr>
        <w:t>shall</w:t>
      </w:r>
      <w:r w:rsidRPr="007246A0">
        <w:rPr>
          <w:rFonts w:ascii="Arial" w:eastAsia="Times New Roman" w:hAnsi="Arial" w:cs="Arial"/>
          <w:color w:val="000000"/>
          <w:sz w:val="24"/>
          <w:szCs w:val="24"/>
        </w:rPr>
        <w:t xml:space="preserve"> be disposed of in solid waste; and</w:t>
      </w:r>
    </w:p>
    <w:p w14:paraId="079433DD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9669FE" w14:textId="77777777" w:rsidR="007246A0" w:rsidRDefault="00FD3543" w:rsidP="007246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>(2)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ensure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 the transfer of </w:t>
      </w:r>
      <w:r>
        <w:rPr>
          <w:rFonts w:ascii="Arial" w:eastAsia="Times New Roman" w:hAnsi="Arial" w:cs="Arial"/>
          <w:color w:val="000000"/>
          <w:sz w:val="24"/>
          <w:szCs w:val="24"/>
        </w:rPr>
        <w:t>food residuals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 to a location that manages food residuals in a manner consistent with the priority uses established under subdivisions (a)(2)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) of this section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</w:p>
    <w:p w14:paraId="346D24C5" w14:textId="77777777" w:rsidR="007246A0" w:rsidRDefault="007246A0" w:rsidP="007246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A2857D5" w14:textId="77777777" w:rsidR="007246A0" w:rsidRPr="00693C3F" w:rsidRDefault="00FD3543" w:rsidP="007246A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(ii)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 xml:space="preserve">manage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food </w:t>
      </w:r>
      <w:r w:rsidRPr="008051FC">
        <w:rPr>
          <w:rFonts w:ascii="Arial" w:eastAsia="Times New Roman" w:hAnsi="Arial" w:cs="Arial"/>
          <w:color w:val="000000"/>
          <w:sz w:val="24"/>
          <w:szCs w:val="24"/>
        </w:rPr>
        <w:t xml:space="preserve">residuals on site </w:t>
      </w:r>
      <w:r w:rsidRPr="008051FC">
        <w:rPr>
          <w:rFonts w:ascii="Arial" w:hAnsi="Arial" w:cs="Arial"/>
          <w:color w:val="000000"/>
          <w:sz w:val="24"/>
          <w:szCs w:val="24"/>
        </w:rPr>
        <w:t>in a manner consistent with the priority uses established under subdivisions (a)(2)-(3) of this section</w:t>
      </w:r>
      <w:r w:rsidRPr="008051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8BE5E0B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2AB9C5" w14:textId="53CF0972" w:rsidR="007246A0" w:rsidRPr="00693C3F" w:rsidRDefault="00FD3543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3C3F">
        <w:rPr>
          <w:rFonts w:ascii="Arial" w:eastAsia="Times New Roman" w:hAnsi="Arial" w:cs="Arial"/>
          <w:color w:val="000000"/>
          <w:sz w:val="24"/>
          <w:szCs w:val="24"/>
        </w:rPr>
        <w:t>(c)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93C3F">
        <w:rPr>
          <w:rFonts w:ascii="Arial" w:eastAsia="Times New Roman" w:hAnsi="Arial" w:cs="Arial"/>
          <w:color w:val="000000"/>
          <w:sz w:val="24"/>
          <w:szCs w:val="24"/>
        </w:rPr>
        <w:t>The following persons shall be subject to the requirements of subsection (b) of this section:</w:t>
      </w:r>
      <w:r>
        <w:rPr>
          <w:rStyle w:val="FootnoteReference"/>
          <w:rFonts w:ascii="Arial" w:eastAsia="Times New Roman" w:hAnsi="Arial" w:cs="Arial"/>
          <w:color w:val="000000"/>
          <w:sz w:val="24"/>
          <w:szCs w:val="24"/>
        </w:rPr>
        <w:footnoteReference w:id="4"/>
      </w:r>
    </w:p>
    <w:p w14:paraId="1E9C9321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1CA938" w14:textId="7F8C5912" w:rsidR="007246A0" w:rsidRPr="007246A0" w:rsidRDefault="00FD3543" w:rsidP="007246A0">
      <w:pPr>
        <w:pStyle w:val="ListParagraph"/>
        <w:numPr>
          <w:ilvl w:val="0"/>
          <w:numId w:val="1"/>
        </w:num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5A759C">
        <w:rPr>
          <w:rFonts w:ascii="Arial" w:eastAsia="Times New Roman" w:hAnsi="Arial" w:cs="Arial"/>
          <w:color w:val="000000"/>
          <w:sz w:val="24"/>
          <w:szCs w:val="24"/>
        </w:rPr>
        <w:t xml:space="preserve">beginning July 1, 2024, a person whose acts or processes produce more than </w:t>
      </w: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5A759C">
        <w:rPr>
          <w:rFonts w:ascii="Arial" w:eastAsia="Times New Roman" w:hAnsi="Arial" w:cs="Arial"/>
          <w:color w:val="000000"/>
          <w:sz w:val="24"/>
          <w:szCs w:val="24"/>
        </w:rPr>
        <w:t xml:space="preserve"> per year of food residuals;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246A0">
        <w:rPr>
          <w:rFonts w:ascii="Arial" w:eastAsia="Times New Roman" w:hAnsi="Arial" w:cs="Arial"/>
          <w:color w:val="000000"/>
          <w:sz w:val="24"/>
          <w:szCs w:val="24"/>
        </w:rPr>
        <w:t>and</w:t>
      </w:r>
    </w:p>
    <w:p w14:paraId="2B9474A7" w14:textId="77777777" w:rsidR="007246A0" w:rsidRPr="00693C3F" w:rsidRDefault="007246A0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4C040E" w14:textId="6D41406D" w:rsidR="007246A0" w:rsidRPr="00940807" w:rsidRDefault="00FD3543" w:rsidP="007246A0">
      <w:pPr>
        <w:pStyle w:val="ListParagraph"/>
        <w:numPr>
          <w:ilvl w:val="0"/>
          <w:numId w:val="1"/>
        </w:num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5A759C">
        <w:rPr>
          <w:rFonts w:ascii="Arial" w:eastAsia="Times New Roman" w:hAnsi="Arial" w:cs="Arial"/>
          <w:color w:val="000000"/>
          <w:sz w:val="24"/>
          <w:szCs w:val="24"/>
        </w:rPr>
        <w:t>beginning July 1, 202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5A759C">
        <w:rPr>
          <w:rFonts w:ascii="Arial" w:eastAsia="Times New Roman" w:hAnsi="Arial" w:cs="Arial"/>
          <w:color w:val="000000"/>
          <w:sz w:val="24"/>
          <w:szCs w:val="24"/>
        </w:rPr>
        <w:t>, any person who generates any amount of food residuals.</w:t>
      </w:r>
    </w:p>
    <w:p w14:paraId="744481AC" w14:textId="77777777" w:rsidR="007246A0" w:rsidRPr="00940807" w:rsidRDefault="007246A0" w:rsidP="007246A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32F959B" w14:textId="77777777" w:rsidR="007246A0" w:rsidRPr="00940807" w:rsidRDefault="007246A0" w:rsidP="007246A0">
      <w:pPr>
        <w:pStyle w:val="ListParagraph"/>
        <w:spacing w:after="0" w:line="240" w:lineRule="auto"/>
        <w:ind w:left="810"/>
        <w:rPr>
          <w:rFonts w:ascii="Arial" w:eastAsia="Times New Roman" w:hAnsi="Arial" w:cs="Arial"/>
          <w:sz w:val="24"/>
          <w:szCs w:val="24"/>
        </w:rPr>
      </w:pPr>
    </w:p>
    <w:p w14:paraId="538B00FF" w14:textId="77777777" w:rsidR="007246A0" w:rsidRPr="00940807" w:rsidRDefault="00FD3543" w:rsidP="007246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807">
        <w:rPr>
          <w:rFonts w:ascii="Arial" w:eastAsia="Times New Roman" w:hAnsi="Arial" w:cs="Arial"/>
          <w:sz w:val="24"/>
          <w:szCs w:val="24"/>
        </w:rPr>
        <w:t>(d)</w:t>
      </w:r>
      <w:r w:rsidRPr="00940807">
        <w:rPr>
          <w:rFonts w:ascii="Arial" w:eastAsia="Times New Roman" w:hAnsi="Arial" w:cs="Arial"/>
          <w:sz w:val="24"/>
          <w:szCs w:val="24"/>
        </w:rPr>
        <w:tab/>
        <w:t xml:space="preserve">The Department/Agency/Secretary shall </w:t>
      </w:r>
      <w:r>
        <w:rPr>
          <w:rFonts w:ascii="Arial" w:eastAsia="Times New Roman" w:hAnsi="Arial" w:cs="Arial"/>
          <w:sz w:val="24"/>
          <w:szCs w:val="24"/>
        </w:rPr>
        <w:t xml:space="preserve">develop, </w:t>
      </w:r>
      <w:r w:rsidRPr="00940807">
        <w:rPr>
          <w:rFonts w:ascii="Arial" w:eastAsia="Times New Roman" w:hAnsi="Arial" w:cs="Arial"/>
          <w:sz w:val="24"/>
          <w:szCs w:val="24"/>
        </w:rPr>
        <w:t>implement</w:t>
      </w:r>
      <w:r>
        <w:rPr>
          <w:rFonts w:ascii="Arial" w:eastAsia="Times New Roman" w:hAnsi="Arial" w:cs="Arial"/>
          <w:sz w:val="24"/>
          <w:szCs w:val="24"/>
        </w:rPr>
        <w:t>,</w:t>
      </w:r>
      <w:r w:rsidRPr="00940807">
        <w:rPr>
          <w:rFonts w:ascii="Arial" w:eastAsia="Times New Roman" w:hAnsi="Arial" w:cs="Arial"/>
          <w:sz w:val="24"/>
          <w:szCs w:val="24"/>
        </w:rPr>
        <w:t xml:space="preserve"> and enforce accepted composting practices for the management of composting </w:t>
      </w:r>
      <w:r>
        <w:rPr>
          <w:rFonts w:ascii="Arial" w:eastAsia="Times New Roman" w:hAnsi="Arial" w:cs="Arial"/>
          <w:sz w:val="24"/>
          <w:szCs w:val="24"/>
        </w:rPr>
        <w:t xml:space="preserve">and other forms of green disposal </w:t>
      </w:r>
      <w:r w:rsidRPr="00940807">
        <w:rPr>
          <w:rFonts w:ascii="Arial" w:eastAsia="Times New Roman" w:hAnsi="Arial" w:cs="Arial"/>
          <w:sz w:val="24"/>
          <w:szCs w:val="24"/>
        </w:rPr>
        <w:t xml:space="preserve">in the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940807">
        <w:rPr>
          <w:rFonts w:ascii="Arial" w:eastAsia="Times New Roman" w:hAnsi="Arial" w:cs="Arial"/>
          <w:sz w:val="24"/>
          <w:szCs w:val="24"/>
        </w:rPr>
        <w:t>tate. These accepted practices shall address:</w:t>
      </w:r>
    </w:p>
    <w:p w14:paraId="16B21E7E" w14:textId="77777777" w:rsidR="007246A0" w:rsidRDefault="007246A0" w:rsidP="007246A0">
      <w:pPr>
        <w:spacing w:after="0"/>
        <w:rPr>
          <w:rFonts w:ascii="Arial" w:hAnsi="Arial" w:cs="Arial"/>
          <w:sz w:val="24"/>
          <w:szCs w:val="24"/>
        </w:rPr>
      </w:pPr>
    </w:p>
    <w:p w14:paraId="4A4888D0" w14:textId="77777777" w:rsidR="007246A0" w:rsidRDefault="00FD3543" w:rsidP="007246A0">
      <w:pPr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sz w:val="24"/>
          <w:szCs w:val="24"/>
        </w:rPr>
        <w:tab/>
        <w:t>(1)</w:t>
      </w:r>
      <w:r>
        <w:rPr>
          <w:rFonts w:ascii="Arial" w:hAnsi="Arial" w:cs="Arial"/>
          <w:sz w:val="24"/>
          <w:szCs w:val="24"/>
        </w:rPr>
        <w:tab/>
      </w:r>
      <w:r w:rsidRPr="00940807">
        <w:rPr>
          <w:rFonts w:ascii="Arial" w:hAnsi="Arial" w:cs="Arial"/>
          <w:sz w:val="24"/>
          <w:szCs w:val="24"/>
        </w:rPr>
        <w:t xml:space="preserve">standards for the construction, alteration, or operation of a composting </w:t>
      </w:r>
      <w:r>
        <w:rPr>
          <w:rFonts w:ascii="Arial" w:hAnsi="Arial" w:cs="Arial"/>
          <w:sz w:val="24"/>
          <w:szCs w:val="24"/>
        </w:rPr>
        <w:t xml:space="preserve">or green disposal </w:t>
      </w:r>
      <w:r w:rsidRPr="00940807">
        <w:rPr>
          <w:rFonts w:ascii="Arial" w:hAnsi="Arial" w:cs="Arial"/>
          <w:sz w:val="24"/>
          <w:szCs w:val="24"/>
        </w:rPr>
        <w:t>facility;</w:t>
      </w:r>
    </w:p>
    <w:p w14:paraId="5BB56083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Pr="00940807">
        <w:rPr>
          <w:rFonts w:ascii="Arial" w:hAnsi="Arial" w:cs="Arial"/>
          <w:sz w:val="24"/>
          <w:szCs w:val="24"/>
        </w:rPr>
        <w:t>standards for facility operation, including acceptable quantities of product or inputs, vector management, odors, noise, traffic, litter control, contaminant management, operator training and qualifications, recordkeeping, and reporting;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58447055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</w:r>
      <w:r w:rsidRPr="00940807">
        <w:rPr>
          <w:rFonts w:ascii="Arial" w:hAnsi="Arial" w:cs="Arial"/>
          <w:sz w:val="24"/>
          <w:szCs w:val="24"/>
        </w:rPr>
        <w:t>standards for siting of facilities, including siting and operation of compost storage areas, compost bagging areas, and roads and parking areas;</w:t>
      </w:r>
    </w:p>
    <w:p w14:paraId="5496588D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Pr="00940807">
        <w:rPr>
          <w:rFonts w:ascii="Arial" w:hAnsi="Arial" w:cs="Arial"/>
          <w:sz w:val="24"/>
          <w:szCs w:val="24"/>
        </w:rPr>
        <w:t>standards for the composting process, including rotation, management of compost piles, compost pile size, and monitoring of compost operations;</w:t>
      </w:r>
    </w:p>
    <w:p w14:paraId="26CFF3BD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</w:r>
      <w:r w:rsidRPr="00940807">
        <w:rPr>
          <w:rFonts w:ascii="Arial" w:hAnsi="Arial" w:cs="Arial"/>
          <w:sz w:val="24"/>
          <w:szCs w:val="24"/>
        </w:rPr>
        <w:t>standards for management of runoff from compost facilities, including liquids management from the feedstock area, active composting areas, curing area, and compost storage area; the use of swales or stormwater management around or within a compost facility; vegetative buffer requirements; and run-off management from tipping areas;</w:t>
      </w:r>
    </w:p>
    <w:p w14:paraId="12C65D53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</w:t>
      </w:r>
      <w:r>
        <w:rPr>
          <w:rFonts w:ascii="Arial" w:hAnsi="Arial" w:cs="Arial"/>
          <w:sz w:val="24"/>
          <w:szCs w:val="24"/>
        </w:rPr>
        <w:tab/>
        <w:t>standards for trapping methane generated onsite; and</w:t>
      </w:r>
      <w:r w:rsidRPr="00940807">
        <w:rPr>
          <w:rFonts w:ascii="Arial" w:hAnsi="Arial" w:cs="Arial"/>
          <w:sz w:val="24"/>
          <w:szCs w:val="24"/>
        </w:rPr>
        <w:t xml:space="preserve"> </w:t>
      </w:r>
    </w:p>
    <w:p w14:paraId="5EF6ED73" w14:textId="77777777" w:rsidR="007246A0" w:rsidRDefault="00FD3543" w:rsidP="007246A0">
      <w:pPr>
        <w:ind w:firstLine="720"/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7</w:t>
      </w:r>
      <w:r w:rsidRPr="009408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environmental justice concerns for </w:t>
      </w:r>
      <w:r w:rsidRPr="00940807">
        <w:rPr>
          <w:rFonts w:ascii="Arial" w:hAnsi="Arial" w:cs="Arial"/>
          <w:sz w:val="24"/>
          <w:szCs w:val="24"/>
        </w:rPr>
        <w:t xml:space="preserve">the siting of commercial composting </w:t>
      </w:r>
      <w:r>
        <w:rPr>
          <w:rFonts w:ascii="Arial" w:hAnsi="Arial" w:cs="Arial"/>
          <w:sz w:val="24"/>
          <w:szCs w:val="24"/>
        </w:rPr>
        <w:t xml:space="preserve">for </w:t>
      </w:r>
      <w:r w:rsidRPr="00940807">
        <w:rPr>
          <w:rFonts w:ascii="Arial" w:hAnsi="Arial" w:cs="Arial"/>
          <w:sz w:val="24"/>
          <w:szCs w:val="24"/>
        </w:rPr>
        <w:t>food residuals</w:t>
      </w:r>
      <w:r>
        <w:rPr>
          <w:rFonts w:ascii="Arial" w:hAnsi="Arial" w:cs="Arial"/>
          <w:sz w:val="24"/>
          <w:szCs w:val="24"/>
        </w:rPr>
        <w:t>, such as increased transport traffic, airborne particulates, odors, and vermin.</w:t>
      </w:r>
    </w:p>
    <w:p w14:paraId="42004CBD" w14:textId="77777777" w:rsidR="007246A0" w:rsidRDefault="00FD3543" w:rsidP="00724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  <w:t>The Department/Agency/Secretary shall establish civil penalties for a person who violates subsection (b) of this section.</w:t>
      </w:r>
    </w:p>
    <w:p w14:paraId="208CC115" w14:textId="21C043F3" w:rsidR="007246A0" w:rsidRPr="005A759C" w:rsidRDefault="00FD3543" w:rsidP="007246A0">
      <w:pPr>
        <w:spacing w:before="240" w:after="240"/>
        <w:rPr>
          <w:rFonts w:ascii="Arial" w:hAnsi="Arial" w:cs="Arial"/>
          <w:b/>
          <w:sz w:val="24"/>
          <w:szCs w:val="24"/>
          <w:highlight w:val="white"/>
        </w:rPr>
      </w:pPr>
      <w:r>
        <w:rPr>
          <w:rFonts w:ascii="Arial" w:hAnsi="Arial" w:cs="Arial"/>
          <w:b/>
          <w:sz w:val="24"/>
          <w:szCs w:val="24"/>
          <w:highlight w:val="white"/>
        </w:rPr>
        <w:t>Section 3. P</w:t>
      </w:r>
      <w:r w:rsidRPr="005A759C">
        <w:rPr>
          <w:rFonts w:ascii="Arial" w:hAnsi="Arial" w:cs="Arial"/>
          <w:b/>
          <w:sz w:val="24"/>
          <w:szCs w:val="24"/>
          <w:highlight w:val="white"/>
        </w:rPr>
        <w:t>owers</w:t>
      </w:r>
      <w:r>
        <w:rPr>
          <w:rFonts w:ascii="Arial" w:hAnsi="Arial" w:cs="Arial"/>
          <w:b/>
          <w:sz w:val="24"/>
          <w:szCs w:val="24"/>
          <w:highlight w:val="white"/>
        </w:rPr>
        <w:t xml:space="preserve"> and Duties</w:t>
      </w:r>
      <w:r>
        <w:rPr>
          <w:rStyle w:val="FootnoteReference"/>
          <w:rFonts w:ascii="Arial" w:hAnsi="Arial" w:cs="Arial"/>
          <w:b/>
          <w:sz w:val="24"/>
          <w:szCs w:val="24"/>
          <w:highlight w:val="white"/>
        </w:rPr>
        <w:footnoteReference w:id="6"/>
      </w:r>
    </w:p>
    <w:p w14:paraId="52D814F9" w14:textId="253B1ADB" w:rsidR="007246A0" w:rsidRPr="005A759C" w:rsidRDefault="00FD3543" w:rsidP="007246A0">
      <w:pPr>
        <w:spacing w:before="240" w:after="24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(a)</w:t>
      </w:r>
      <w:r>
        <w:rPr>
          <w:rFonts w:ascii="Arial" w:hAnsi="Arial" w:cs="Arial"/>
          <w:sz w:val="24"/>
          <w:szCs w:val="24"/>
          <w:highlight w:val="white"/>
        </w:rPr>
        <w:tab/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In addition to any other powers conferred on </w:t>
      </w:r>
      <w:r>
        <w:rPr>
          <w:rFonts w:ascii="Arial" w:hAnsi="Arial" w:cs="Arial"/>
          <w:sz w:val="24"/>
          <w:szCs w:val="24"/>
          <w:highlight w:val="white"/>
        </w:rPr>
        <w:t>the Department/Agency/Secretary by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law, the </w:t>
      </w:r>
      <w:r>
        <w:rPr>
          <w:rFonts w:ascii="Arial" w:hAnsi="Arial" w:cs="Arial"/>
          <w:sz w:val="24"/>
          <w:szCs w:val="24"/>
          <w:highlight w:val="white"/>
        </w:rPr>
        <w:t>Department/Agency/Secretary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shall have the power to:</w:t>
      </w:r>
    </w:p>
    <w:p w14:paraId="46A98633" w14:textId="77777777" w:rsidR="007246A0" w:rsidRPr="005A759C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 w:rsidRPr="005A759C">
        <w:rPr>
          <w:rFonts w:ascii="Arial" w:hAnsi="Arial" w:cs="Arial"/>
          <w:sz w:val="24"/>
          <w:szCs w:val="24"/>
          <w:highlight w:val="white"/>
        </w:rPr>
        <w:t>(1)</w:t>
      </w:r>
      <w:r>
        <w:rPr>
          <w:rFonts w:ascii="Arial" w:hAnsi="Arial" w:cs="Arial"/>
          <w:sz w:val="24"/>
          <w:szCs w:val="24"/>
          <w:highlight w:val="white"/>
        </w:rPr>
        <w:tab/>
        <w:t>a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dopt, amend, and repeal rules implementing the provisions of this </w:t>
      </w:r>
      <w:r>
        <w:rPr>
          <w:rFonts w:ascii="Arial" w:hAnsi="Arial" w:cs="Arial"/>
          <w:sz w:val="24"/>
          <w:szCs w:val="24"/>
          <w:highlight w:val="white"/>
        </w:rPr>
        <w:t>Act</w:t>
      </w:r>
      <w:r w:rsidRPr="005A759C">
        <w:rPr>
          <w:rFonts w:ascii="Arial" w:hAnsi="Arial" w:cs="Arial"/>
          <w:sz w:val="24"/>
          <w:szCs w:val="24"/>
          <w:highlight w:val="white"/>
        </w:rPr>
        <w:t>;</w:t>
      </w:r>
    </w:p>
    <w:p w14:paraId="708E2206" w14:textId="77777777" w:rsidR="007246A0" w:rsidRPr="005A759C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 w:rsidRPr="005A759C">
        <w:rPr>
          <w:rFonts w:ascii="Arial" w:hAnsi="Arial" w:cs="Arial"/>
          <w:sz w:val="24"/>
          <w:szCs w:val="24"/>
          <w:highlight w:val="white"/>
        </w:rPr>
        <w:t>(2)</w:t>
      </w:r>
      <w:r>
        <w:rPr>
          <w:rFonts w:ascii="Arial" w:hAnsi="Arial" w:cs="Arial"/>
          <w:sz w:val="24"/>
          <w:szCs w:val="24"/>
          <w:highlight w:val="white"/>
        </w:rPr>
        <w:tab/>
        <w:t>i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ssue compliance orders as may be necessary to effectuate the purposes of this </w:t>
      </w:r>
      <w:r>
        <w:rPr>
          <w:rFonts w:ascii="Arial" w:hAnsi="Arial" w:cs="Arial"/>
          <w:sz w:val="24"/>
          <w:szCs w:val="24"/>
          <w:highlight w:val="white"/>
        </w:rPr>
        <w:t>Act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and enforce the same by all appropriate administrative and judicial proceedings;</w:t>
      </w:r>
    </w:p>
    <w:p w14:paraId="17BC35AC" w14:textId="77777777" w:rsidR="007246A0" w:rsidRPr="005A759C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 w:rsidRPr="005A759C">
        <w:rPr>
          <w:rFonts w:ascii="Arial" w:hAnsi="Arial" w:cs="Arial"/>
          <w:sz w:val="24"/>
          <w:szCs w:val="24"/>
          <w:highlight w:val="white"/>
        </w:rPr>
        <w:t>(3)</w:t>
      </w:r>
      <w:r>
        <w:rPr>
          <w:rFonts w:ascii="Arial" w:hAnsi="Arial" w:cs="Arial"/>
          <w:sz w:val="24"/>
          <w:szCs w:val="24"/>
          <w:highlight w:val="white"/>
        </w:rPr>
        <w:tab/>
        <w:t>e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ncourage local units of government to manage solid waste </w:t>
      </w:r>
      <w:r>
        <w:rPr>
          <w:rFonts w:ascii="Arial" w:hAnsi="Arial" w:cs="Arial"/>
          <w:sz w:val="24"/>
          <w:szCs w:val="24"/>
          <w:highlight w:val="white"/>
        </w:rPr>
        <w:t>minimization and disposal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within their respective jurisdictions, or by contract on a cooperative regional or interstate basis;</w:t>
      </w:r>
    </w:p>
    <w:p w14:paraId="2A63B3C5" w14:textId="77777777" w:rsidR="007246A0" w:rsidRPr="005A759C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 w:rsidRPr="005A759C">
        <w:rPr>
          <w:rFonts w:ascii="Arial" w:hAnsi="Arial" w:cs="Arial"/>
          <w:sz w:val="24"/>
          <w:szCs w:val="24"/>
          <w:highlight w:val="white"/>
        </w:rPr>
        <w:lastRenderedPageBreak/>
        <w:t>(4)</w:t>
      </w:r>
      <w:r>
        <w:rPr>
          <w:rFonts w:ascii="Arial" w:hAnsi="Arial" w:cs="Arial"/>
          <w:sz w:val="24"/>
          <w:szCs w:val="24"/>
          <w:highlight w:val="white"/>
        </w:rPr>
        <w:tab/>
        <w:t>p</w:t>
      </w:r>
      <w:r w:rsidRPr="005A759C">
        <w:rPr>
          <w:rFonts w:ascii="Arial" w:hAnsi="Arial" w:cs="Arial"/>
          <w:sz w:val="24"/>
          <w:szCs w:val="24"/>
          <w:highlight w:val="white"/>
        </w:rPr>
        <w:t>rovide technical assistance to municipalities</w:t>
      </w:r>
      <w:r>
        <w:rPr>
          <w:rFonts w:ascii="Arial" w:hAnsi="Arial" w:cs="Arial"/>
          <w:sz w:val="24"/>
          <w:szCs w:val="24"/>
          <w:highlight w:val="white"/>
        </w:rPr>
        <w:t xml:space="preserve"> to implement the provisions of this Act</w:t>
      </w:r>
      <w:r w:rsidRPr="005A759C">
        <w:rPr>
          <w:rFonts w:ascii="Arial" w:hAnsi="Arial" w:cs="Arial"/>
          <w:sz w:val="24"/>
          <w:szCs w:val="24"/>
          <w:highlight w:val="white"/>
        </w:rPr>
        <w:t>;</w:t>
      </w:r>
    </w:p>
    <w:p w14:paraId="4DF44D74" w14:textId="77777777" w:rsidR="007246A0" w:rsidRPr="005A759C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 w:rsidRPr="005A759C">
        <w:rPr>
          <w:rFonts w:ascii="Arial" w:hAnsi="Arial" w:cs="Arial"/>
          <w:sz w:val="24"/>
          <w:szCs w:val="24"/>
          <w:highlight w:val="white"/>
        </w:rPr>
        <w:t>(5)</w:t>
      </w:r>
      <w:r>
        <w:rPr>
          <w:rFonts w:ascii="Arial" w:hAnsi="Arial" w:cs="Arial"/>
          <w:sz w:val="24"/>
          <w:szCs w:val="24"/>
          <w:highlight w:val="white"/>
        </w:rPr>
        <w:tab/>
        <w:t>c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ontract in the name of the state for the service of independent contractors under bond, or with an agency or department of the state, or a </w:t>
      </w:r>
      <w:r>
        <w:rPr>
          <w:rFonts w:ascii="Arial" w:hAnsi="Arial" w:cs="Arial"/>
          <w:sz w:val="24"/>
          <w:szCs w:val="24"/>
          <w:highlight w:val="white"/>
        </w:rPr>
        <w:t>local jurisdiction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, to perform services or to provide facilities necessary for the implementation of </w:t>
      </w:r>
      <w:r>
        <w:rPr>
          <w:rFonts w:ascii="Arial" w:hAnsi="Arial" w:cs="Arial"/>
          <w:sz w:val="24"/>
          <w:szCs w:val="24"/>
          <w:highlight w:val="white"/>
        </w:rPr>
        <w:t>this Act</w:t>
      </w:r>
      <w:r w:rsidRPr="005A759C">
        <w:rPr>
          <w:rFonts w:ascii="Arial" w:hAnsi="Arial" w:cs="Arial"/>
          <w:sz w:val="24"/>
          <w:szCs w:val="24"/>
          <w:highlight w:val="white"/>
        </w:rPr>
        <w:t>, including but not limited to the transportation and disposition of solid waste;</w:t>
      </w:r>
    </w:p>
    <w:p w14:paraId="7853FEF0" w14:textId="57D311C0" w:rsidR="007246A0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 w:rsidRPr="005A759C">
        <w:rPr>
          <w:rFonts w:ascii="Arial" w:hAnsi="Arial" w:cs="Arial"/>
          <w:sz w:val="24"/>
          <w:szCs w:val="24"/>
          <w:highlight w:val="white"/>
        </w:rPr>
        <w:t>(6)</w:t>
      </w:r>
      <w:r>
        <w:rPr>
          <w:rFonts w:ascii="Arial" w:hAnsi="Arial" w:cs="Arial"/>
          <w:sz w:val="24"/>
          <w:szCs w:val="24"/>
          <w:highlight w:val="white"/>
        </w:rPr>
        <w:tab/>
        <w:t>a</w:t>
      </w:r>
      <w:r w:rsidRPr="005A759C">
        <w:rPr>
          <w:rFonts w:ascii="Arial" w:hAnsi="Arial" w:cs="Arial"/>
          <w:sz w:val="24"/>
          <w:szCs w:val="24"/>
          <w:highlight w:val="white"/>
        </w:rPr>
        <w:t>ccept, receive</w:t>
      </w:r>
      <w:r>
        <w:rPr>
          <w:rFonts w:ascii="Arial" w:hAnsi="Arial" w:cs="Arial"/>
          <w:sz w:val="24"/>
          <w:szCs w:val="24"/>
          <w:highlight w:val="white"/>
        </w:rPr>
        <w:t>,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and administer</w:t>
      </w:r>
      <w:r>
        <w:rPr>
          <w:rFonts w:ascii="Arial" w:hAnsi="Arial" w:cs="Arial"/>
          <w:sz w:val="24"/>
          <w:szCs w:val="24"/>
          <w:highlight w:val="white"/>
        </w:rPr>
        <w:t>, including conveying to municipalities, or other instruments of state or local government,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grants or other funds</w:t>
      </w:r>
      <w:r>
        <w:rPr>
          <w:rFonts w:ascii="Arial" w:hAnsi="Arial" w:cs="Arial"/>
          <w:sz w:val="24"/>
          <w:szCs w:val="24"/>
          <w:highlight w:val="white"/>
        </w:rPr>
        <w:t xml:space="preserve">, 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or gifts from public and private agencies, including the federal government, for the purpose of carrying out any of the functions of this </w:t>
      </w:r>
      <w:r>
        <w:rPr>
          <w:rFonts w:ascii="Arial" w:hAnsi="Arial" w:cs="Arial"/>
          <w:sz w:val="24"/>
          <w:szCs w:val="24"/>
          <w:highlight w:val="white"/>
        </w:rPr>
        <w:t>Act; and</w:t>
      </w:r>
    </w:p>
    <w:p w14:paraId="4968281C" w14:textId="02D748EB" w:rsidR="007246A0" w:rsidRDefault="00FD3543" w:rsidP="007246A0">
      <w:pPr>
        <w:spacing w:before="240" w:after="240"/>
        <w:ind w:firstLine="72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(</w:t>
      </w:r>
      <w:r w:rsidR="00050704">
        <w:rPr>
          <w:rFonts w:ascii="Arial" w:hAnsi="Arial" w:cs="Arial"/>
          <w:sz w:val="24"/>
          <w:szCs w:val="24"/>
          <w:highlight w:val="white"/>
        </w:rPr>
        <w:t>7</w:t>
      </w:r>
      <w:r>
        <w:rPr>
          <w:rFonts w:ascii="Arial" w:hAnsi="Arial" w:cs="Arial"/>
          <w:sz w:val="24"/>
          <w:szCs w:val="24"/>
          <w:highlight w:val="white"/>
        </w:rPr>
        <w:t>)</w:t>
      </w:r>
      <w:r>
        <w:rPr>
          <w:rFonts w:ascii="Arial" w:hAnsi="Arial" w:cs="Arial"/>
          <w:sz w:val="24"/>
          <w:szCs w:val="24"/>
          <w:highlight w:val="white"/>
        </w:rPr>
        <w:tab/>
        <w:t>p</w:t>
      </w:r>
      <w:r w:rsidRPr="005A759C">
        <w:rPr>
          <w:rFonts w:ascii="Arial" w:hAnsi="Arial" w:cs="Arial"/>
          <w:sz w:val="24"/>
          <w:szCs w:val="24"/>
          <w:highlight w:val="white"/>
        </w:rPr>
        <w:t>rovide financial assistance to municipalities</w:t>
      </w:r>
      <w:r>
        <w:rPr>
          <w:rFonts w:ascii="Arial" w:hAnsi="Arial" w:cs="Arial"/>
          <w:sz w:val="24"/>
          <w:szCs w:val="24"/>
          <w:highlight w:val="white"/>
        </w:rPr>
        <w:t xml:space="preserve"> for implementation of this Act and related goals.</w:t>
      </w:r>
    </w:p>
    <w:p w14:paraId="03A93B02" w14:textId="0FE000BF" w:rsidR="007246A0" w:rsidRPr="005A759C" w:rsidRDefault="00FD3543" w:rsidP="007246A0">
      <w:pPr>
        <w:spacing w:before="240" w:after="240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(b)</w:t>
      </w:r>
      <w:r>
        <w:rPr>
          <w:rFonts w:ascii="Arial" w:hAnsi="Arial" w:cs="Arial"/>
          <w:sz w:val="24"/>
          <w:szCs w:val="24"/>
          <w:highlight w:val="white"/>
        </w:rPr>
        <w:tab/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In addition to any other </w:t>
      </w:r>
      <w:r>
        <w:rPr>
          <w:rFonts w:ascii="Arial" w:hAnsi="Arial" w:cs="Arial"/>
          <w:sz w:val="24"/>
          <w:szCs w:val="24"/>
          <w:highlight w:val="white"/>
        </w:rPr>
        <w:t>duties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conferred on </w:t>
      </w:r>
      <w:r>
        <w:rPr>
          <w:rFonts w:ascii="Arial" w:hAnsi="Arial" w:cs="Arial"/>
          <w:sz w:val="24"/>
          <w:szCs w:val="24"/>
          <w:highlight w:val="white"/>
        </w:rPr>
        <w:t>the Department/Agency/Secretary by</w:t>
      </w:r>
      <w:r w:rsidRPr="005A759C">
        <w:rPr>
          <w:rFonts w:ascii="Arial" w:hAnsi="Arial" w:cs="Arial"/>
          <w:sz w:val="24"/>
          <w:szCs w:val="24"/>
          <w:highlight w:val="white"/>
        </w:rPr>
        <w:t xml:space="preserve"> law, the </w:t>
      </w:r>
      <w:r>
        <w:rPr>
          <w:rFonts w:ascii="Arial" w:hAnsi="Arial" w:cs="Arial"/>
          <w:sz w:val="24"/>
          <w:szCs w:val="24"/>
          <w:highlight w:val="white"/>
        </w:rPr>
        <w:t xml:space="preserve">Department/Agency/Secretary shall </w:t>
      </w:r>
      <w:r w:rsidRPr="006914CD">
        <w:rPr>
          <w:rFonts w:ascii="Arial" w:hAnsi="Arial" w:cs="Arial"/>
          <w:sz w:val="24"/>
          <w:szCs w:val="24"/>
          <w:highlight w:val="white"/>
        </w:rPr>
        <w:t xml:space="preserve">prepare a report [a year after this </w:t>
      </w:r>
      <w:r>
        <w:rPr>
          <w:rFonts w:ascii="Arial" w:hAnsi="Arial" w:cs="Arial"/>
          <w:sz w:val="24"/>
          <w:szCs w:val="24"/>
          <w:highlight w:val="white"/>
        </w:rPr>
        <w:t>Act</w:t>
      </w:r>
      <w:r w:rsidRPr="006914CD">
        <w:rPr>
          <w:rFonts w:ascii="Arial" w:hAnsi="Arial" w:cs="Arial"/>
          <w:sz w:val="24"/>
          <w:szCs w:val="24"/>
          <w:highlight w:val="white"/>
        </w:rPr>
        <w:t xml:space="preserve">’s effective </w:t>
      </w:r>
      <w:proofErr w:type="gramStart"/>
      <w:r w:rsidRPr="006914CD">
        <w:rPr>
          <w:rFonts w:ascii="Arial" w:hAnsi="Arial" w:cs="Arial"/>
          <w:sz w:val="24"/>
          <w:szCs w:val="24"/>
          <w:highlight w:val="white"/>
        </w:rPr>
        <w:t>date][</w:t>
      </w:r>
      <w:proofErr w:type="gramEnd"/>
      <w:r w:rsidRPr="006914CD">
        <w:rPr>
          <w:rFonts w:ascii="Arial" w:hAnsi="Arial" w:cs="Arial"/>
          <w:sz w:val="24"/>
          <w:szCs w:val="24"/>
          <w:highlight w:val="white"/>
        </w:rPr>
        <w:t xml:space="preserve">annually] which </w:t>
      </w:r>
      <w:r w:rsidRPr="006914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summarizes accomplishments of the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Act</w:t>
      </w:r>
      <w:r w:rsidRPr="006914CD">
        <w:rPr>
          <w:rFonts w:ascii="Arial" w:hAnsi="Arial" w:cs="Arial"/>
          <w:color w:val="000000"/>
          <w:sz w:val="24"/>
          <w:szCs w:val="24"/>
          <w:shd w:val="clear" w:color="auto" w:fill="FFFFFF"/>
        </w:rPr>
        <w:t>, assesses the implementation, and summarizes recommendations for additional legislative changes or implementation modifications to further effectuate its goal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BD79BCE" w14:textId="73E2B59A" w:rsidR="007246A0" w:rsidRPr="005A759C" w:rsidRDefault="00FD3543" w:rsidP="007246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4. Liability Limitation</w:t>
      </w:r>
      <w:r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7"/>
      </w:r>
      <w:r w:rsidR="006F51BE" w:rsidRPr="006F51BE">
        <w:rPr>
          <w:rFonts w:ascii="Arial" w:hAnsi="Arial" w:cs="Arial"/>
          <w:b/>
          <w:bCs/>
          <w:sz w:val="24"/>
          <w:szCs w:val="24"/>
          <w:vertAlign w:val="superscript"/>
        </w:rPr>
        <w:t>,</w:t>
      </w:r>
      <w:r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8"/>
      </w:r>
    </w:p>
    <w:p w14:paraId="5980FB50" w14:textId="77777777" w:rsidR="007246A0" w:rsidRDefault="00FD3543" w:rsidP="00724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5A759C">
        <w:rPr>
          <w:rFonts w:ascii="Arial" w:hAnsi="Arial" w:cs="Arial"/>
          <w:sz w:val="24"/>
          <w:szCs w:val="24"/>
        </w:rPr>
        <w:t>Notwithstanding any other provision of law, a good-faith donor of any canned</w:t>
      </w:r>
      <w:r>
        <w:rPr>
          <w:rFonts w:ascii="Arial" w:hAnsi="Arial" w:cs="Arial"/>
          <w:sz w:val="24"/>
          <w:szCs w:val="24"/>
        </w:rPr>
        <w:t>, packaged,</w:t>
      </w:r>
      <w:r w:rsidRPr="005A759C">
        <w:rPr>
          <w:rFonts w:ascii="Arial" w:hAnsi="Arial" w:cs="Arial"/>
          <w:sz w:val="24"/>
          <w:szCs w:val="24"/>
        </w:rPr>
        <w:t xml:space="preserve"> or perishable food or farm product, apparently fit for human consumption, who donates to a person for consumption, or to a bona fide charitable or nonprofit organization for</w:t>
      </w:r>
      <w:r>
        <w:rPr>
          <w:rFonts w:ascii="Arial" w:hAnsi="Arial" w:cs="Arial"/>
          <w:sz w:val="24"/>
          <w:szCs w:val="24"/>
        </w:rPr>
        <w:t xml:space="preserve"> </w:t>
      </w:r>
      <w:r w:rsidRPr="005A759C">
        <w:rPr>
          <w:rFonts w:ascii="Arial" w:hAnsi="Arial" w:cs="Arial"/>
          <w:sz w:val="24"/>
          <w:szCs w:val="24"/>
        </w:rPr>
        <w:t>distribution, shall not be subject to criminal penalty or civil</w:t>
      </w:r>
      <w:r>
        <w:rPr>
          <w:rFonts w:ascii="Arial" w:hAnsi="Arial" w:cs="Arial"/>
          <w:sz w:val="24"/>
          <w:szCs w:val="24"/>
        </w:rPr>
        <w:t xml:space="preserve"> liability, including</w:t>
      </w:r>
      <w:r w:rsidRPr="005A759C">
        <w:rPr>
          <w:rFonts w:ascii="Arial" w:hAnsi="Arial" w:cs="Arial"/>
          <w:sz w:val="24"/>
          <w:szCs w:val="24"/>
        </w:rPr>
        <w:t xml:space="preserve"> damages</w:t>
      </w:r>
      <w:r>
        <w:rPr>
          <w:rFonts w:ascii="Arial" w:hAnsi="Arial" w:cs="Arial"/>
          <w:sz w:val="24"/>
          <w:szCs w:val="24"/>
        </w:rPr>
        <w:t>,</w:t>
      </w:r>
      <w:r w:rsidRPr="005A759C">
        <w:rPr>
          <w:rFonts w:ascii="Arial" w:hAnsi="Arial" w:cs="Arial"/>
          <w:sz w:val="24"/>
          <w:szCs w:val="24"/>
        </w:rPr>
        <w:t xml:space="preserve"> arising from the condition of the food, if the donor reasonably inspects the food at the time of donation and finds the food apparently fit for human consumption and has </w:t>
      </w:r>
      <w:r>
        <w:rPr>
          <w:rFonts w:ascii="Arial" w:hAnsi="Arial" w:cs="Arial"/>
          <w:sz w:val="24"/>
          <w:szCs w:val="24"/>
        </w:rPr>
        <w:t>no reasonable basis to believe</w:t>
      </w:r>
      <w:r w:rsidRPr="005A759C">
        <w:rPr>
          <w:rFonts w:ascii="Arial" w:hAnsi="Arial" w:cs="Arial"/>
          <w:sz w:val="24"/>
          <w:szCs w:val="24"/>
        </w:rPr>
        <w:t xml:space="preserve"> that the food is adulterated, tainted, contaminated, or harmful to the health or well-being of </w:t>
      </w:r>
      <w:r>
        <w:rPr>
          <w:rFonts w:ascii="Arial" w:hAnsi="Arial" w:cs="Arial"/>
          <w:sz w:val="24"/>
          <w:szCs w:val="24"/>
        </w:rPr>
        <w:t>a</w:t>
      </w:r>
      <w:r w:rsidRPr="005A759C">
        <w:rPr>
          <w:rFonts w:ascii="Arial" w:hAnsi="Arial" w:cs="Arial"/>
          <w:sz w:val="24"/>
          <w:szCs w:val="24"/>
        </w:rPr>
        <w:t xml:space="preserve"> person consuming the food.</w:t>
      </w:r>
    </w:p>
    <w:p w14:paraId="4435FEDC" w14:textId="77777777" w:rsidR="007246A0" w:rsidRPr="00C30E5B" w:rsidRDefault="007246A0" w:rsidP="007246A0">
      <w:pPr>
        <w:rPr>
          <w:rFonts w:ascii="Arial" w:hAnsi="Arial" w:cs="Arial"/>
          <w:sz w:val="24"/>
          <w:szCs w:val="24"/>
        </w:rPr>
      </w:pPr>
    </w:p>
    <w:p w14:paraId="139E5AF1" w14:textId="03C27447" w:rsidR="00E9048B" w:rsidRDefault="00E9048B"/>
    <w:sectPr w:rsidR="00E904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E036" w14:textId="77777777" w:rsidR="00934F46" w:rsidRDefault="00934F46">
      <w:pPr>
        <w:spacing w:after="0" w:line="240" w:lineRule="auto"/>
      </w:pPr>
      <w:r>
        <w:separator/>
      </w:r>
    </w:p>
  </w:endnote>
  <w:endnote w:type="continuationSeparator" w:id="0">
    <w:p w14:paraId="2BB3EE8D" w14:textId="77777777" w:rsidR="00934F46" w:rsidRDefault="0093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03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8B301" w14:textId="02777819" w:rsidR="00F513A2" w:rsidRDefault="00FD3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D7E411" w14:textId="77777777" w:rsidR="00F513A2" w:rsidRDefault="00F5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DF99" w14:textId="77777777" w:rsidR="00934F46" w:rsidRDefault="00934F46" w:rsidP="007246A0">
      <w:pPr>
        <w:spacing w:after="0" w:line="240" w:lineRule="auto"/>
      </w:pPr>
      <w:r>
        <w:separator/>
      </w:r>
    </w:p>
  </w:footnote>
  <w:footnote w:type="continuationSeparator" w:id="0">
    <w:p w14:paraId="7292F10A" w14:textId="77777777" w:rsidR="00934F46" w:rsidRDefault="00934F46" w:rsidP="007246A0">
      <w:pPr>
        <w:spacing w:after="0" w:line="240" w:lineRule="auto"/>
      </w:pPr>
      <w:r>
        <w:continuationSeparator/>
      </w:r>
    </w:p>
  </w:footnote>
  <w:footnote w:id="1">
    <w:p w14:paraId="761FFC99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Definitions are a combination of </w:t>
      </w:r>
      <w:r w:rsidRPr="00B14A61">
        <w:t>Vermont definitions</w:t>
      </w:r>
      <w:r>
        <w:t>, Bill Emerson Good Samaritan Food Donation Act, and created by authors.</w:t>
      </w:r>
    </w:p>
  </w:footnote>
  <w:footnote w:id="2">
    <w:p w14:paraId="442A7EA8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Food Residual Management is a modification of Vermont’s system. See </w:t>
      </w:r>
      <w:r w:rsidRPr="00B14A61">
        <w:t>10 V.S.A. § 6605k</w:t>
      </w:r>
      <w:r>
        <w:t>.</w:t>
      </w:r>
    </w:p>
  </w:footnote>
  <w:footnote w:id="3">
    <w:p w14:paraId="2D49BD49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States can add other means of composting or green disposal technology as they become available.</w:t>
      </w:r>
    </w:p>
  </w:footnote>
  <w:footnote w:id="4">
    <w:p w14:paraId="2E1B2D63" w14:textId="221A944F" w:rsidR="00043A7B" w:rsidRDefault="00FD3543" w:rsidP="00043A7B">
      <w:pPr>
        <w:pStyle w:val="CommentText"/>
      </w:pPr>
      <w:r>
        <w:rPr>
          <w:rStyle w:val="FootnoteReference"/>
        </w:rPr>
        <w:footnoteRef/>
      </w:r>
      <w:r>
        <w:t xml:space="preserve"> Each state should carry out a baseline analysis of their food residuals on a county</w:t>
      </w:r>
      <w:r w:rsidR="0028311A">
        <w:t>-</w:t>
      </w:r>
      <w:r>
        <w:t>by</w:t>
      </w:r>
      <w:r w:rsidR="0028311A">
        <w:t>-</w:t>
      </w:r>
      <w:r>
        <w:t xml:space="preserve">county basis to understand what threshold to set for paragraph (1) of this subsection. </w:t>
      </w:r>
    </w:p>
    <w:p w14:paraId="48AA47A9" w14:textId="63A90355" w:rsidR="00043A7B" w:rsidRDefault="00043A7B">
      <w:pPr>
        <w:pStyle w:val="FootnoteText"/>
      </w:pPr>
    </w:p>
  </w:footnote>
  <w:footnote w:id="5">
    <w:p w14:paraId="00EF7396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The standards required under this section should mandate that composting facilities have methane traps.</w:t>
      </w:r>
    </w:p>
  </w:footnote>
  <w:footnote w:id="6">
    <w:p w14:paraId="7D3201B4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Enforcement powers a modification of Vermont Statute. See </w:t>
      </w:r>
      <w:r w:rsidRPr="005A16AD">
        <w:t>10 V.S.A. § 6603</w:t>
      </w:r>
      <w:r>
        <w:t>.</w:t>
      </w:r>
    </w:p>
  </w:footnote>
  <w:footnote w:id="7">
    <w:p w14:paraId="027849C9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Whatever decision a state makes with regards to liability should be harmonized with the state’s code surrounding food safety and negligence.</w:t>
      </w:r>
    </w:p>
  </w:footnote>
  <w:footnote w:id="8">
    <w:p w14:paraId="5BB3588B" w14:textId="77777777" w:rsidR="007246A0" w:rsidRDefault="00FD3543" w:rsidP="007246A0">
      <w:pPr>
        <w:pStyle w:val="FootnoteText"/>
      </w:pPr>
      <w:r>
        <w:rPr>
          <w:rStyle w:val="FootnoteReference"/>
        </w:rPr>
        <w:footnoteRef/>
      </w:r>
      <w:r>
        <w:t xml:space="preserve"> Liability section a modification of Vermont’s Good Samaritan Law for Donations of Food. See </w:t>
      </w:r>
      <w:r w:rsidRPr="005A16AD">
        <w:t>12 V.S.A § 5762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4CDA"/>
    <w:multiLevelType w:val="hybridMultilevel"/>
    <w:tmpl w:val="34C26436"/>
    <w:lvl w:ilvl="0" w:tplc="1F72C2E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8B18AA0E" w:tentative="1">
      <w:start w:val="1"/>
      <w:numFmt w:val="lowerLetter"/>
      <w:lvlText w:val="%2."/>
      <w:lvlJc w:val="left"/>
      <w:pPr>
        <w:ind w:left="1440" w:hanging="360"/>
      </w:pPr>
    </w:lvl>
    <w:lvl w:ilvl="2" w:tplc="5010D02C" w:tentative="1">
      <w:start w:val="1"/>
      <w:numFmt w:val="lowerRoman"/>
      <w:lvlText w:val="%3."/>
      <w:lvlJc w:val="right"/>
      <w:pPr>
        <w:ind w:left="2160" w:hanging="180"/>
      </w:pPr>
    </w:lvl>
    <w:lvl w:ilvl="3" w:tplc="D026B766" w:tentative="1">
      <w:start w:val="1"/>
      <w:numFmt w:val="decimal"/>
      <w:lvlText w:val="%4."/>
      <w:lvlJc w:val="left"/>
      <w:pPr>
        <w:ind w:left="2880" w:hanging="360"/>
      </w:pPr>
    </w:lvl>
    <w:lvl w:ilvl="4" w:tplc="3F6C8314" w:tentative="1">
      <w:start w:val="1"/>
      <w:numFmt w:val="lowerLetter"/>
      <w:lvlText w:val="%5."/>
      <w:lvlJc w:val="left"/>
      <w:pPr>
        <w:ind w:left="3600" w:hanging="360"/>
      </w:pPr>
    </w:lvl>
    <w:lvl w:ilvl="5" w:tplc="FBB0318E" w:tentative="1">
      <w:start w:val="1"/>
      <w:numFmt w:val="lowerRoman"/>
      <w:lvlText w:val="%6."/>
      <w:lvlJc w:val="right"/>
      <w:pPr>
        <w:ind w:left="4320" w:hanging="180"/>
      </w:pPr>
    </w:lvl>
    <w:lvl w:ilvl="6" w:tplc="76448C58" w:tentative="1">
      <w:start w:val="1"/>
      <w:numFmt w:val="decimal"/>
      <w:lvlText w:val="%7."/>
      <w:lvlJc w:val="left"/>
      <w:pPr>
        <w:ind w:left="5040" w:hanging="360"/>
      </w:pPr>
    </w:lvl>
    <w:lvl w:ilvl="7" w:tplc="873C9E3C" w:tentative="1">
      <w:start w:val="1"/>
      <w:numFmt w:val="lowerLetter"/>
      <w:lvlText w:val="%8."/>
      <w:lvlJc w:val="left"/>
      <w:pPr>
        <w:ind w:left="5760" w:hanging="360"/>
      </w:pPr>
    </w:lvl>
    <w:lvl w:ilvl="8" w:tplc="0B90F8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8B"/>
    <w:rsid w:val="00043A7B"/>
    <w:rsid w:val="00050704"/>
    <w:rsid w:val="0028311A"/>
    <w:rsid w:val="00330A04"/>
    <w:rsid w:val="003646D9"/>
    <w:rsid w:val="00370F09"/>
    <w:rsid w:val="00520C94"/>
    <w:rsid w:val="005A16AD"/>
    <w:rsid w:val="005A759C"/>
    <w:rsid w:val="0060798A"/>
    <w:rsid w:val="00672D0D"/>
    <w:rsid w:val="006914CD"/>
    <w:rsid w:val="00693C3F"/>
    <w:rsid w:val="006F51BE"/>
    <w:rsid w:val="007246A0"/>
    <w:rsid w:val="008051FC"/>
    <w:rsid w:val="009116A0"/>
    <w:rsid w:val="00934F46"/>
    <w:rsid w:val="00940807"/>
    <w:rsid w:val="00B05903"/>
    <w:rsid w:val="00B14A61"/>
    <w:rsid w:val="00BE1781"/>
    <w:rsid w:val="00C30E5B"/>
    <w:rsid w:val="00C604CD"/>
    <w:rsid w:val="00E9048B"/>
    <w:rsid w:val="00F513A2"/>
    <w:rsid w:val="00FC0A5C"/>
    <w:rsid w:val="00FC7DC5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2B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6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6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6A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2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A0"/>
  </w:style>
  <w:style w:type="character" w:styleId="CommentReference">
    <w:name w:val="annotation reference"/>
    <w:basedOn w:val="DefaultParagraphFont"/>
    <w:uiPriority w:val="99"/>
    <w:semiHidden/>
    <w:unhideWhenUsed/>
    <w:rsid w:val="0072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6A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2021-10-13T01:28:00Z</dcterms:created>
  <dcterms:modified xsi:type="dcterms:W3CDTF">2021-10-13T01:28:00Z</dcterms:modified>
</cp:coreProperties>
</file>